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A3" w:rsidRDefault="00C80DA3">
      <w:pPr>
        <w:pStyle w:val="Titel"/>
      </w:pPr>
      <w:r>
        <w:t>MEMO</w:t>
      </w:r>
    </w:p>
    <w:tbl>
      <w:tblPr>
        <w:tblW w:w="0" w:type="auto"/>
        <w:tblLayout w:type="fixed"/>
        <w:tblCellMar>
          <w:left w:w="70" w:type="dxa"/>
          <w:right w:w="70" w:type="dxa"/>
        </w:tblCellMar>
        <w:tblLook w:val="0000"/>
      </w:tblPr>
      <w:tblGrid>
        <w:gridCol w:w="1204"/>
        <w:gridCol w:w="8008"/>
      </w:tblGrid>
      <w:tr w:rsidR="00C80DA3">
        <w:tblPrEx>
          <w:tblCellMar>
            <w:top w:w="0" w:type="dxa"/>
            <w:bottom w:w="0" w:type="dxa"/>
          </w:tblCellMar>
        </w:tblPrEx>
        <w:trPr>
          <w:trHeight w:hRule="exact" w:val="480"/>
        </w:trPr>
        <w:tc>
          <w:tcPr>
            <w:tcW w:w="1204" w:type="dxa"/>
            <w:tcBorders>
              <w:top w:val="single" w:sz="4" w:space="0" w:color="auto"/>
            </w:tcBorders>
            <w:vAlign w:val="center"/>
          </w:tcPr>
          <w:p w:rsidR="00C80DA3" w:rsidRDefault="00C80DA3">
            <w:pPr>
              <w:tabs>
                <w:tab w:val="left" w:pos="993"/>
              </w:tabs>
              <w:rPr>
                <w:sz w:val="20"/>
              </w:rPr>
            </w:pPr>
            <w:r>
              <w:rPr>
                <w:sz w:val="20"/>
              </w:rPr>
              <w:t>Aan</w:t>
            </w:r>
            <w:r>
              <w:rPr>
                <w:sz w:val="20"/>
              </w:rPr>
              <w:tab/>
              <w:t>:</w:t>
            </w:r>
          </w:p>
        </w:tc>
        <w:tc>
          <w:tcPr>
            <w:tcW w:w="8008" w:type="dxa"/>
            <w:tcBorders>
              <w:top w:val="single" w:sz="4" w:space="0" w:color="auto"/>
            </w:tcBorders>
            <w:vAlign w:val="center"/>
          </w:tcPr>
          <w:p w:rsidR="00C80DA3" w:rsidRDefault="00735CE2">
            <w:pPr>
              <w:rPr>
                <w:position w:val="-10"/>
                <w:sz w:val="20"/>
              </w:rPr>
            </w:pPr>
            <w:r>
              <w:rPr>
                <w:position w:val="-10"/>
                <w:sz w:val="20"/>
              </w:rPr>
              <w:t>Ferry van der Koelen</w:t>
            </w:r>
          </w:p>
        </w:tc>
      </w:tr>
      <w:tr w:rsidR="00C80DA3">
        <w:tblPrEx>
          <w:tblCellMar>
            <w:top w:w="0" w:type="dxa"/>
            <w:bottom w:w="0" w:type="dxa"/>
          </w:tblCellMar>
        </w:tblPrEx>
        <w:trPr>
          <w:trHeight w:hRule="exact" w:val="480"/>
        </w:trPr>
        <w:tc>
          <w:tcPr>
            <w:tcW w:w="1204" w:type="dxa"/>
            <w:vAlign w:val="center"/>
          </w:tcPr>
          <w:p w:rsidR="00C80DA3" w:rsidRDefault="00C80DA3">
            <w:pPr>
              <w:tabs>
                <w:tab w:val="left" w:pos="993"/>
              </w:tabs>
              <w:rPr>
                <w:position w:val="-10"/>
                <w:sz w:val="20"/>
              </w:rPr>
            </w:pPr>
            <w:r>
              <w:rPr>
                <w:position w:val="-10"/>
                <w:sz w:val="20"/>
              </w:rPr>
              <w:t>Van</w:t>
            </w:r>
            <w:r>
              <w:rPr>
                <w:position w:val="-10"/>
                <w:sz w:val="20"/>
              </w:rPr>
              <w:tab/>
              <w:t>:</w:t>
            </w:r>
          </w:p>
        </w:tc>
        <w:tc>
          <w:tcPr>
            <w:tcW w:w="8008" w:type="dxa"/>
            <w:vAlign w:val="center"/>
          </w:tcPr>
          <w:p w:rsidR="00C80DA3" w:rsidRDefault="00EE6867">
            <w:pPr>
              <w:rPr>
                <w:position w:val="-10"/>
                <w:sz w:val="20"/>
              </w:rPr>
            </w:pPr>
            <w:r>
              <w:rPr>
                <w:position w:val="-10"/>
                <w:sz w:val="20"/>
              </w:rPr>
              <w:t>Dick Rumpff</w:t>
            </w:r>
          </w:p>
        </w:tc>
      </w:tr>
      <w:tr w:rsidR="00C80DA3">
        <w:tblPrEx>
          <w:tblCellMar>
            <w:top w:w="0" w:type="dxa"/>
            <w:bottom w:w="0" w:type="dxa"/>
          </w:tblCellMar>
        </w:tblPrEx>
        <w:trPr>
          <w:trHeight w:hRule="exact" w:val="480"/>
        </w:trPr>
        <w:tc>
          <w:tcPr>
            <w:tcW w:w="1204" w:type="dxa"/>
            <w:vAlign w:val="center"/>
          </w:tcPr>
          <w:p w:rsidR="00C80DA3" w:rsidRDefault="00C80DA3">
            <w:pPr>
              <w:tabs>
                <w:tab w:val="left" w:pos="993"/>
              </w:tabs>
              <w:rPr>
                <w:position w:val="-10"/>
                <w:sz w:val="20"/>
              </w:rPr>
            </w:pPr>
            <w:r>
              <w:rPr>
                <w:position w:val="-10"/>
                <w:sz w:val="20"/>
              </w:rPr>
              <w:t>Betreft</w:t>
            </w:r>
            <w:r>
              <w:rPr>
                <w:position w:val="-10"/>
                <w:sz w:val="20"/>
              </w:rPr>
              <w:tab/>
              <w:t>:</w:t>
            </w:r>
          </w:p>
        </w:tc>
        <w:tc>
          <w:tcPr>
            <w:tcW w:w="8008" w:type="dxa"/>
            <w:vAlign w:val="center"/>
          </w:tcPr>
          <w:p w:rsidR="00C80DA3" w:rsidRDefault="00735CE2" w:rsidP="001D7AD9">
            <w:pPr>
              <w:rPr>
                <w:position w:val="-10"/>
                <w:sz w:val="20"/>
              </w:rPr>
            </w:pPr>
            <w:r>
              <w:rPr>
                <w:position w:val="-10"/>
                <w:sz w:val="20"/>
              </w:rPr>
              <w:t>Bodemkwaliteit mogelijke locaties crematorium bij begraafplaats Haarweg</w:t>
            </w:r>
          </w:p>
        </w:tc>
      </w:tr>
      <w:tr w:rsidR="00C80DA3">
        <w:tblPrEx>
          <w:tblCellMar>
            <w:top w:w="0" w:type="dxa"/>
            <w:bottom w:w="0" w:type="dxa"/>
          </w:tblCellMar>
        </w:tblPrEx>
        <w:trPr>
          <w:trHeight w:hRule="exact" w:val="480"/>
        </w:trPr>
        <w:tc>
          <w:tcPr>
            <w:tcW w:w="1204" w:type="dxa"/>
            <w:tcBorders>
              <w:bottom w:val="single" w:sz="4" w:space="0" w:color="auto"/>
            </w:tcBorders>
            <w:vAlign w:val="center"/>
          </w:tcPr>
          <w:p w:rsidR="00C80DA3" w:rsidRDefault="00C80DA3">
            <w:pPr>
              <w:tabs>
                <w:tab w:val="left" w:pos="993"/>
              </w:tabs>
              <w:rPr>
                <w:position w:val="-10"/>
                <w:sz w:val="20"/>
              </w:rPr>
            </w:pPr>
            <w:r>
              <w:rPr>
                <w:position w:val="-10"/>
                <w:sz w:val="20"/>
              </w:rPr>
              <w:t>Datum</w:t>
            </w:r>
            <w:r>
              <w:rPr>
                <w:position w:val="-10"/>
                <w:sz w:val="20"/>
              </w:rPr>
              <w:tab/>
              <w:t>:</w:t>
            </w:r>
          </w:p>
        </w:tc>
        <w:tc>
          <w:tcPr>
            <w:tcW w:w="8008" w:type="dxa"/>
            <w:tcBorders>
              <w:bottom w:val="single" w:sz="4" w:space="0" w:color="auto"/>
            </w:tcBorders>
            <w:vAlign w:val="center"/>
          </w:tcPr>
          <w:p w:rsidR="00C80DA3" w:rsidRDefault="00735CE2">
            <w:pPr>
              <w:rPr>
                <w:position w:val="-10"/>
                <w:sz w:val="20"/>
              </w:rPr>
            </w:pPr>
            <w:r>
              <w:rPr>
                <w:position w:val="-10"/>
                <w:sz w:val="20"/>
              </w:rPr>
              <w:t>13 oktober 2016</w:t>
            </w:r>
          </w:p>
        </w:tc>
      </w:tr>
    </w:tbl>
    <w:p w:rsidR="001E525E" w:rsidRDefault="00ED564B" w:rsidP="009D34BE">
      <w:pPr>
        <w:rPr>
          <w:sz w:val="20"/>
        </w:rPr>
      </w:pPr>
      <w:r>
        <w:rPr>
          <w:sz w:val="20"/>
        </w:rPr>
        <w:t xml:space="preserve"> </w:t>
      </w:r>
    </w:p>
    <w:p w:rsidR="00735CE2" w:rsidRDefault="00FF3C03" w:rsidP="009D34BE">
      <w:pPr>
        <w:rPr>
          <w:sz w:val="20"/>
        </w:rPr>
      </w:pPr>
      <w:r>
        <w:rPr>
          <w:sz w:val="20"/>
        </w:rPr>
        <w:t>Er zijn twee mogelijke locaties voorgesteld:</w:t>
      </w:r>
    </w:p>
    <w:p w:rsidR="00FF3C03" w:rsidRDefault="00FF3C03" w:rsidP="00FF3C03">
      <w:pPr>
        <w:numPr>
          <w:ilvl w:val="0"/>
          <w:numId w:val="4"/>
        </w:numPr>
        <w:rPr>
          <w:sz w:val="20"/>
        </w:rPr>
      </w:pPr>
      <w:r>
        <w:rPr>
          <w:sz w:val="20"/>
        </w:rPr>
        <w:t>De zuidwesthoek van de terp van de begraafplaats;</w:t>
      </w:r>
    </w:p>
    <w:p w:rsidR="00FF3C03" w:rsidRDefault="00FF3C03" w:rsidP="00FF3C03">
      <w:pPr>
        <w:numPr>
          <w:ilvl w:val="0"/>
          <w:numId w:val="4"/>
        </w:numPr>
        <w:rPr>
          <w:sz w:val="20"/>
        </w:rPr>
      </w:pPr>
      <w:r>
        <w:rPr>
          <w:sz w:val="20"/>
        </w:rPr>
        <w:t>Ter plaatse van de vijver achter/ten zuiden van de aula van de begraafplaats</w:t>
      </w:r>
    </w:p>
    <w:p w:rsidR="00FF3C03" w:rsidRDefault="00FF3C03" w:rsidP="00FF3C03">
      <w:pPr>
        <w:rPr>
          <w:sz w:val="20"/>
        </w:rPr>
      </w:pPr>
    </w:p>
    <w:p w:rsidR="005634E0" w:rsidRPr="005634E0" w:rsidRDefault="005634E0" w:rsidP="00FF3C03">
      <w:pPr>
        <w:rPr>
          <w:sz w:val="20"/>
          <w:u w:val="single"/>
        </w:rPr>
      </w:pPr>
      <w:r w:rsidRPr="005634E0">
        <w:rPr>
          <w:sz w:val="20"/>
          <w:u w:val="single"/>
        </w:rPr>
        <w:t>Bodemrapporten</w:t>
      </w:r>
    </w:p>
    <w:p w:rsidR="005634E0" w:rsidRDefault="005634E0" w:rsidP="00FF3C03">
      <w:pPr>
        <w:rPr>
          <w:sz w:val="20"/>
        </w:rPr>
      </w:pPr>
      <w:r>
        <w:rPr>
          <w:sz w:val="20"/>
        </w:rPr>
        <w:t>Van beide locaties zijn geen bodemrapporten beschikbaar. Tussen beide locaties is een rapport uit 1999 beschikbaar. Hier zijn geen bijzondere verontreinigingen aangetoond. Ter plaatse van de huidige aula is in 1992 een bodemonderzoek uitgevoerd. Ook hier zijn geen bijzondere verontreinigingen aangetroffen.</w:t>
      </w:r>
    </w:p>
    <w:p w:rsidR="005634E0" w:rsidRDefault="005634E0" w:rsidP="00FF3C03">
      <w:pPr>
        <w:rPr>
          <w:sz w:val="20"/>
        </w:rPr>
      </w:pPr>
    </w:p>
    <w:p w:rsidR="00FF3C03" w:rsidRPr="004E621B" w:rsidRDefault="00FF3C03" w:rsidP="00FF3C03">
      <w:pPr>
        <w:rPr>
          <w:sz w:val="20"/>
          <w:u w:val="single"/>
        </w:rPr>
      </w:pPr>
      <w:r w:rsidRPr="004E621B">
        <w:rPr>
          <w:sz w:val="20"/>
          <w:u w:val="single"/>
        </w:rPr>
        <w:t>Bodemkwaliteit</w:t>
      </w:r>
      <w:r w:rsidR="00A74BFF" w:rsidRPr="004E621B">
        <w:rPr>
          <w:sz w:val="20"/>
          <w:u w:val="single"/>
        </w:rPr>
        <w:t xml:space="preserve"> algemeen</w:t>
      </w:r>
      <w:r w:rsidRPr="004E621B">
        <w:rPr>
          <w:sz w:val="20"/>
          <w:u w:val="single"/>
        </w:rPr>
        <w:t>:</w:t>
      </w:r>
    </w:p>
    <w:p w:rsidR="00FF3C03" w:rsidRDefault="00FF3C03" w:rsidP="00FF3C03">
      <w:pPr>
        <w:rPr>
          <w:sz w:val="20"/>
        </w:rPr>
      </w:pPr>
      <w:r>
        <w:rPr>
          <w:sz w:val="20"/>
        </w:rPr>
        <w:t xml:space="preserve">Beide locaties liggen in de </w:t>
      </w:r>
      <w:proofErr w:type="spellStart"/>
      <w:r>
        <w:rPr>
          <w:sz w:val="20"/>
        </w:rPr>
        <w:t>bodemkwaliteitszone</w:t>
      </w:r>
      <w:proofErr w:type="spellEnd"/>
      <w:r>
        <w:rPr>
          <w:sz w:val="20"/>
        </w:rPr>
        <w:t xml:space="preserve"> “</w:t>
      </w:r>
      <w:r w:rsidR="00A74BFF">
        <w:rPr>
          <w:sz w:val="20"/>
        </w:rPr>
        <w:t>Haarweg Oost en Papland (GO5)</w:t>
      </w:r>
      <w:r>
        <w:rPr>
          <w:sz w:val="20"/>
        </w:rPr>
        <w:t>”</w:t>
      </w:r>
      <w:r w:rsidR="00A74BFF">
        <w:rPr>
          <w:sz w:val="20"/>
        </w:rPr>
        <w:t>. De natuurlijke bodem heeft hier een kwaliteit “Wonen”, wat betekent dat er sprake is van lichte verontreinigingen, die geen belemmering zijn voor een bestemming “Wonen met tuin”. Beneden een halve meter onder het oorspronkelijke maaiveld heeft de bodem een kwaliteit AW 2000 (“schoon”)</w:t>
      </w:r>
      <w:r w:rsidR="004E621B">
        <w:rPr>
          <w:sz w:val="20"/>
        </w:rPr>
        <w:t>. Wel worden hier en daar overschrijdingen van de streefwaarde voor de component nikkel aangetroffen. Deze doen echter geen afbreuk aan de gemiddelde bodemkwaliteit en hebben een natuurlijke oorsprong.</w:t>
      </w:r>
    </w:p>
    <w:p w:rsidR="00A74BFF" w:rsidRDefault="00A74BFF" w:rsidP="00FF3C03">
      <w:pPr>
        <w:rPr>
          <w:sz w:val="20"/>
        </w:rPr>
      </w:pPr>
    </w:p>
    <w:p w:rsidR="00A74BFF" w:rsidRPr="004E621B" w:rsidRDefault="00A74BFF" w:rsidP="00FF3C03">
      <w:pPr>
        <w:rPr>
          <w:sz w:val="20"/>
          <w:u w:val="single"/>
        </w:rPr>
      </w:pPr>
      <w:r w:rsidRPr="004E621B">
        <w:rPr>
          <w:sz w:val="20"/>
          <w:u w:val="single"/>
        </w:rPr>
        <w:t>Speciale verontreinigingen:</w:t>
      </w:r>
    </w:p>
    <w:p w:rsidR="004E621B" w:rsidRDefault="00A74BFF" w:rsidP="00FF3C03">
      <w:pPr>
        <w:rPr>
          <w:sz w:val="20"/>
        </w:rPr>
      </w:pPr>
      <w:r>
        <w:rPr>
          <w:sz w:val="20"/>
        </w:rPr>
        <w:t xml:space="preserve">Voor beide locaties geldt, dat deze gesitueerd zijn in gebieden waar in het verleden boomgaarden aanwezig waren. Daarom is er een risico op de aanwezigheid van bestrijdingsmiddelen ter hoogte van het oorspronkelijke maaiveld. </w:t>
      </w:r>
    </w:p>
    <w:p w:rsidR="004E621B" w:rsidRDefault="004E621B" w:rsidP="00FF3C03">
      <w:pPr>
        <w:rPr>
          <w:sz w:val="20"/>
        </w:rPr>
      </w:pPr>
      <w:r>
        <w:rPr>
          <w:sz w:val="20"/>
        </w:rPr>
        <w:t xml:space="preserve">Verder is het mogelijk dat binnen het gebied slootdempingen voorkomen. Hiervan is niet uit te sluiten dat deze gedempt zijn met bodemvreemd materiaal of met verontreinigde grond. De ervaring binnen dit gebied is echter dat bodemvreemd materiaal of verontreinigde grond in slootdempingen niet of nauwelijks worden aangetroffen. </w:t>
      </w:r>
    </w:p>
    <w:p w:rsidR="004E621B" w:rsidRDefault="004E621B" w:rsidP="00FF3C03">
      <w:pPr>
        <w:rPr>
          <w:sz w:val="20"/>
        </w:rPr>
      </w:pPr>
    </w:p>
    <w:p w:rsidR="004E621B" w:rsidRDefault="00A74BFF" w:rsidP="00FF3C03">
      <w:pPr>
        <w:rPr>
          <w:sz w:val="20"/>
        </w:rPr>
      </w:pPr>
      <w:r>
        <w:rPr>
          <w:sz w:val="20"/>
        </w:rPr>
        <w:t xml:space="preserve">Ter plaats van de terp (locatie 1) is minstens twee meter schoon zand opgebracht. </w:t>
      </w:r>
      <w:r w:rsidR="004E621B">
        <w:rPr>
          <w:sz w:val="20"/>
        </w:rPr>
        <w:t>Hierdoor is het contactrisico met het oorspronkelijke maaiveld tijdens bouwactiviteiten erg beperkt.</w:t>
      </w:r>
    </w:p>
    <w:p w:rsidR="004E621B" w:rsidRDefault="004E621B" w:rsidP="00FF3C03">
      <w:pPr>
        <w:rPr>
          <w:sz w:val="20"/>
        </w:rPr>
      </w:pPr>
    </w:p>
    <w:p w:rsidR="00A74BFF" w:rsidRPr="001E525E" w:rsidRDefault="00A74BFF" w:rsidP="00FF3C03">
      <w:pPr>
        <w:rPr>
          <w:sz w:val="20"/>
        </w:rPr>
      </w:pPr>
      <w:r>
        <w:rPr>
          <w:sz w:val="20"/>
        </w:rPr>
        <w:t>Bij locatie 2 is het oorspronkelijk maaiveld grotendeels afgegraven en is daar nu sprake van een waterbodem. De slibkwaliteit in de sloten in het gebied is van klasse 1 of hooguit klasse 2. Dit betekent dat het slib op de aangrenzende percelen kan worden verspreid.</w:t>
      </w:r>
    </w:p>
    <w:sectPr w:rsidR="00A74BFF" w:rsidRPr="001E525E">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0699D"/>
    <w:multiLevelType w:val="singleLevel"/>
    <w:tmpl w:val="B79C4D18"/>
    <w:lvl w:ilvl="0">
      <w:start w:val="1"/>
      <w:numFmt w:val="bullet"/>
      <w:lvlText w:val=""/>
      <w:lvlJc w:val="left"/>
      <w:pPr>
        <w:tabs>
          <w:tab w:val="num" w:pos="360"/>
        </w:tabs>
        <w:ind w:left="360" w:hanging="360"/>
      </w:pPr>
      <w:rPr>
        <w:rFonts w:ascii="Symbol" w:hAnsi="Symbol" w:hint="default"/>
      </w:rPr>
    </w:lvl>
  </w:abstractNum>
  <w:abstractNum w:abstractNumId="1">
    <w:nsid w:val="276F1123"/>
    <w:multiLevelType w:val="hybridMultilevel"/>
    <w:tmpl w:val="5C5CC9F8"/>
    <w:lvl w:ilvl="0" w:tplc="ABC89D98">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5930BD5"/>
    <w:multiLevelType w:val="hybridMultilevel"/>
    <w:tmpl w:val="49DE1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D033D66"/>
    <w:multiLevelType w:val="hybridMultilevel"/>
    <w:tmpl w:val="2FA08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cCount" w:val="0"/>
    <w:docVar w:name="DocIndex" w:val="1"/>
  </w:docVars>
  <w:rsids>
    <w:rsidRoot w:val="00EE6867"/>
    <w:rsid w:val="000177D1"/>
    <w:rsid w:val="001A3816"/>
    <w:rsid w:val="001C7D82"/>
    <w:rsid w:val="001D7AD9"/>
    <w:rsid w:val="001E525E"/>
    <w:rsid w:val="001E625C"/>
    <w:rsid w:val="00262E92"/>
    <w:rsid w:val="003E65CD"/>
    <w:rsid w:val="004042FB"/>
    <w:rsid w:val="00404925"/>
    <w:rsid w:val="004E621B"/>
    <w:rsid w:val="005356AE"/>
    <w:rsid w:val="005634E0"/>
    <w:rsid w:val="00735CE2"/>
    <w:rsid w:val="00756CC0"/>
    <w:rsid w:val="0082251A"/>
    <w:rsid w:val="00883A71"/>
    <w:rsid w:val="00887D56"/>
    <w:rsid w:val="009D34BE"/>
    <w:rsid w:val="00A70C4E"/>
    <w:rsid w:val="00A74BFF"/>
    <w:rsid w:val="00A86732"/>
    <w:rsid w:val="00AB048B"/>
    <w:rsid w:val="00B70679"/>
    <w:rsid w:val="00C80DA3"/>
    <w:rsid w:val="00E1705F"/>
    <w:rsid w:val="00EC3E24"/>
    <w:rsid w:val="00EC4A1C"/>
    <w:rsid w:val="00ED564B"/>
    <w:rsid w:val="00EE6867"/>
    <w:rsid w:val="00FC2084"/>
    <w:rsid w:val="00FD7B26"/>
    <w:rsid w:val="00FF3C0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hAnsi="Arial"/>
      <w:sz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Titel">
    <w:name w:val="Title"/>
    <w:basedOn w:val="Standaard"/>
    <w:qFormat/>
    <w:pPr>
      <w:spacing w:line="360" w:lineRule="auto"/>
      <w:jc w:val="center"/>
    </w:pPr>
    <w:rPr>
      <w:b/>
      <w:sz w:val="38"/>
    </w:rPr>
  </w:style>
  <w:style w:type="paragraph" w:customStyle="1" w:styleId="Default">
    <w:name w:val="Default"/>
    <w:rsid w:val="0040492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Broekhuis%20Sjabloon\Memo\Memo.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10</TotalTime>
  <Pages>1</Pages>
  <Words>333</Words>
  <Characters>1954</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MEMO</vt:lpstr>
    </vt:vector>
  </TitlesOfParts>
  <Company>Broekhuis Solutions</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dicrum</dc:creator>
  <cp:lastModifiedBy>teuste</cp:lastModifiedBy>
  <cp:revision>2</cp:revision>
  <dcterms:created xsi:type="dcterms:W3CDTF">2016-10-14T06:37:00Z</dcterms:created>
  <dcterms:modified xsi:type="dcterms:W3CDTF">2016-10-14T06:37:00Z</dcterms:modified>
</cp:coreProperties>
</file>