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AAE30" w14:textId="77777777" w:rsidR="00BF6F9A" w:rsidRDefault="00AF117A" w:rsidP="008F7EA7">
      <w:pPr>
        <w:rPr>
          <w:sz w:val="56"/>
          <w:szCs w:val="56"/>
        </w:rPr>
      </w:pPr>
      <w:bookmarkStart w:id="0" w:name="dpStart"/>
      <w:bookmarkStart w:id="1" w:name="_GoBack"/>
      <w:bookmarkEnd w:id="0"/>
      <w:bookmarkEnd w:id="1"/>
      <w:r w:rsidRPr="00AF117A">
        <w:rPr>
          <w:sz w:val="56"/>
          <w:szCs w:val="56"/>
        </w:rPr>
        <w:t>Annexen</w:t>
      </w:r>
    </w:p>
    <w:p w14:paraId="55144824" w14:textId="06207B9A" w:rsidR="00F52132" w:rsidRPr="00F52132" w:rsidRDefault="00F52132" w:rsidP="008F7EA7">
      <w:pPr>
        <w:rPr>
          <w:sz w:val="36"/>
          <w:szCs w:val="56"/>
        </w:rPr>
      </w:pPr>
      <w:r w:rsidRPr="00F52132">
        <w:rPr>
          <w:sz w:val="36"/>
          <w:szCs w:val="56"/>
        </w:rPr>
        <w:t>Bijlage H</w:t>
      </w:r>
    </w:p>
    <w:p w14:paraId="3D294493" w14:textId="77777777" w:rsidR="00AF117A" w:rsidRDefault="00AF117A" w:rsidP="008F7EA7">
      <w:pPr>
        <w:rPr>
          <w:sz w:val="56"/>
          <w:szCs w:val="56"/>
        </w:rPr>
      </w:pPr>
    </w:p>
    <w:p w14:paraId="73388CC6" w14:textId="77777777" w:rsidR="00AF117A" w:rsidRDefault="00AF117A" w:rsidP="008F7EA7">
      <w:pPr>
        <w:rPr>
          <w:sz w:val="56"/>
          <w:szCs w:val="56"/>
        </w:rPr>
      </w:pPr>
    </w:p>
    <w:p w14:paraId="5B7D6BCF" w14:textId="77777777" w:rsidR="00AF117A" w:rsidRDefault="00AF117A" w:rsidP="008F7EA7">
      <w:pPr>
        <w:rPr>
          <w:sz w:val="56"/>
          <w:szCs w:val="56"/>
        </w:rPr>
      </w:pPr>
    </w:p>
    <w:p w14:paraId="759DC2FB" w14:textId="77777777" w:rsidR="00AF117A" w:rsidRDefault="00AF117A" w:rsidP="008F7EA7">
      <w:pPr>
        <w:rPr>
          <w:sz w:val="36"/>
          <w:szCs w:val="36"/>
        </w:rPr>
      </w:pPr>
      <w:r w:rsidRPr="00AF117A">
        <w:rPr>
          <w:sz w:val="36"/>
          <w:szCs w:val="36"/>
        </w:rPr>
        <w:t>Overeenkomst OVL Blaricum en Laren</w:t>
      </w:r>
    </w:p>
    <w:p w14:paraId="404E0EC5" w14:textId="77777777" w:rsidR="00AF117A" w:rsidRDefault="00AF117A" w:rsidP="008F7EA7">
      <w:pPr>
        <w:rPr>
          <w:sz w:val="36"/>
          <w:szCs w:val="36"/>
        </w:rPr>
      </w:pPr>
    </w:p>
    <w:p w14:paraId="0D997183" w14:textId="55800435" w:rsidR="00AF117A" w:rsidRDefault="00AF117A" w:rsidP="008F7EA7">
      <w:pPr>
        <w:rPr>
          <w:sz w:val="36"/>
          <w:szCs w:val="36"/>
        </w:rPr>
      </w:pPr>
      <w:r>
        <w:rPr>
          <w:sz w:val="36"/>
          <w:szCs w:val="36"/>
        </w:rPr>
        <w:t>Ju</w:t>
      </w:r>
      <w:r w:rsidR="00F52132">
        <w:rPr>
          <w:sz w:val="36"/>
          <w:szCs w:val="36"/>
        </w:rPr>
        <w:t>l</w:t>
      </w:r>
      <w:r>
        <w:rPr>
          <w:sz w:val="36"/>
          <w:szCs w:val="36"/>
        </w:rPr>
        <w:t>i 2016</w:t>
      </w:r>
    </w:p>
    <w:p w14:paraId="52A46F2D" w14:textId="77777777" w:rsidR="00AF117A" w:rsidRDefault="00AF117A" w:rsidP="00AF117A">
      <w:pPr>
        <w:spacing w:after="1800"/>
      </w:pPr>
      <w:r>
        <w:rPr>
          <w:sz w:val="36"/>
          <w:szCs w:val="36"/>
        </w:rPr>
        <w:br w:type="page"/>
      </w:r>
    </w:p>
    <w:p w14:paraId="094A0138" w14:textId="77777777" w:rsidR="00AF117A" w:rsidRDefault="00AF117A" w:rsidP="00AF117A">
      <w:pPr>
        <w:pStyle w:val="Titel"/>
        <w:spacing w:after="1560"/>
      </w:pPr>
      <w:r>
        <w:lastRenderedPageBreak/>
        <w:t>Inhoudsopgave</w:t>
      </w:r>
    </w:p>
    <w:p w14:paraId="771D7C16" w14:textId="77777777" w:rsidR="00AF117A" w:rsidRDefault="00AF117A" w:rsidP="00AF117A">
      <w:pPr>
        <w:pStyle w:val="Inhopg1"/>
        <w:rPr>
          <w:rFonts w:asciiTheme="minorHAnsi" w:eastAsiaTheme="minorEastAsia" w:hAnsiTheme="minorHAnsi" w:cstheme="minorBidi"/>
          <w:b w:val="0"/>
          <w:sz w:val="22"/>
          <w:szCs w:val="22"/>
          <w:lang w:eastAsia="nl-NL"/>
        </w:rPr>
      </w:pPr>
      <w:r>
        <w:fldChar w:fldCharType="begin"/>
      </w:r>
      <w:r>
        <w:instrText xml:space="preserve"> TOC \o "1-3" \" pag. "</w:instrText>
      </w:r>
      <w:r>
        <w:fldChar w:fldCharType="separate"/>
      </w:r>
      <w:r>
        <w:t>Annex I . Vergunningen, ontheffingen, beschikkingen en toestemmingen die door Opdrachtgever moeten worden verkregen</w:t>
      </w:r>
      <w:r>
        <w:tab/>
      </w:r>
      <w:r>
        <w:fldChar w:fldCharType="begin"/>
      </w:r>
      <w:r>
        <w:instrText xml:space="preserve"> PAGEREF _Toc360780674 \h </w:instrText>
      </w:r>
      <w:r>
        <w:fldChar w:fldCharType="separate"/>
      </w:r>
      <w:r>
        <w:t>3</w:t>
      </w:r>
      <w:r>
        <w:fldChar w:fldCharType="end"/>
      </w:r>
    </w:p>
    <w:p w14:paraId="412E416B" w14:textId="77777777" w:rsidR="00AF117A" w:rsidRPr="00AF117A" w:rsidRDefault="00AF117A" w:rsidP="00AF117A">
      <w:pPr>
        <w:pStyle w:val="Inhopg1"/>
        <w:rPr>
          <w:rFonts w:asciiTheme="minorHAnsi" w:eastAsiaTheme="minorEastAsia" w:hAnsiTheme="minorHAnsi" w:cstheme="minorBidi"/>
          <w:b w:val="0"/>
          <w:sz w:val="22"/>
          <w:szCs w:val="22"/>
          <w:lang w:val="en-US" w:eastAsia="nl-NL"/>
        </w:rPr>
      </w:pPr>
      <w:r w:rsidRPr="00AF117A">
        <w:rPr>
          <w:lang w:val="en-US"/>
        </w:rPr>
        <w:t>Annex II . Planning</w:t>
      </w:r>
      <w:r w:rsidRPr="00AF117A">
        <w:rPr>
          <w:lang w:val="en-US"/>
        </w:rPr>
        <w:tab/>
      </w:r>
      <w:r>
        <w:fldChar w:fldCharType="begin"/>
      </w:r>
      <w:r w:rsidRPr="00AF117A">
        <w:rPr>
          <w:lang w:val="en-US"/>
        </w:rPr>
        <w:instrText xml:space="preserve"> PAGEREF _Toc360780675 \h </w:instrText>
      </w:r>
      <w:r>
        <w:fldChar w:fldCharType="separate"/>
      </w:r>
      <w:r w:rsidRPr="00AF117A">
        <w:rPr>
          <w:lang w:val="en-US"/>
        </w:rPr>
        <w:t>4</w:t>
      </w:r>
      <w:r>
        <w:fldChar w:fldCharType="end"/>
      </w:r>
    </w:p>
    <w:p w14:paraId="26906F3A" w14:textId="77777777" w:rsidR="00AF117A" w:rsidRDefault="00AF117A" w:rsidP="00AF117A">
      <w:pPr>
        <w:pStyle w:val="Inhopg1"/>
        <w:rPr>
          <w:rFonts w:asciiTheme="minorHAnsi" w:eastAsiaTheme="minorEastAsia" w:hAnsiTheme="minorHAnsi" w:cstheme="minorBidi"/>
          <w:b w:val="0"/>
          <w:sz w:val="22"/>
          <w:szCs w:val="22"/>
          <w:lang w:eastAsia="nl-NL"/>
        </w:rPr>
      </w:pPr>
      <w:r w:rsidRPr="00AF117A">
        <w:rPr>
          <w:lang w:val="en-US"/>
        </w:rPr>
        <w:t xml:space="preserve">Annex III . </w:t>
      </w:r>
      <w:r>
        <w:t>Acceptatieplan</w:t>
      </w:r>
      <w:r>
        <w:tab/>
      </w:r>
      <w:r>
        <w:fldChar w:fldCharType="begin"/>
      </w:r>
      <w:r>
        <w:instrText xml:space="preserve"> PAGEREF _Toc360780676 \h </w:instrText>
      </w:r>
      <w:r>
        <w:fldChar w:fldCharType="separate"/>
      </w:r>
      <w:r>
        <w:t>5</w:t>
      </w:r>
      <w:r>
        <w:fldChar w:fldCharType="end"/>
      </w:r>
    </w:p>
    <w:p w14:paraId="0E07D73E" w14:textId="77777777" w:rsidR="00AF117A" w:rsidRDefault="00AF117A" w:rsidP="00AF117A">
      <w:pPr>
        <w:pStyle w:val="Inhopg1"/>
        <w:rPr>
          <w:rFonts w:asciiTheme="minorHAnsi" w:eastAsiaTheme="minorEastAsia" w:hAnsiTheme="minorHAnsi" w:cstheme="minorBidi"/>
          <w:b w:val="0"/>
          <w:sz w:val="22"/>
          <w:szCs w:val="22"/>
          <w:lang w:eastAsia="nl-NL"/>
        </w:rPr>
      </w:pPr>
      <w:r>
        <w:t>Annex IV. Toetsingsplan Ontwerpwerkzaamheden</w:t>
      </w:r>
      <w:r>
        <w:tab/>
      </w:r>
      <w:r>
        <w:fldChar w:fldCharType="begin"/>
      </w:r>
      <w:r>
        <w:instrText xml:space="preserve"> PAGEREF _Toc360780677 \h </w:instrText>
      </w:r>
      <w:r>
        <w:fldChar w:fldCharType="separate"/>
      </w:r>
      <w:r>
        <w:t>6</w:t>
      </w:r>
      <w:r>
        <w:fldChar w:fldCharType="end"/>
      </w:r>
    </w:p>
    <w:p w14:paraId="5DD930D3" w14:textId="77777777" w:rsidR="00AF117A" w:rsidRDefault="00AF117A" w:rsidP="00AF117A">
      <w:pPr>
        <w:pStyle w:val="Inhopg1"/>
        <w:rPr>
          <w:rFonts w:asciiTheme="minorHAnsi" w:eastAsiaTheme="minorEastAsia" w:hAnsiTheme="minorHAnsi" w:cstheme="minorBidi"/>
          <w:b w:val="0"/>
          <w:sz w:val="22"/>
          <w:szCs w:val="22"/>
          <w:lang w:eastAsia="nl-NL"/>
        </w:rPr>
      </w:pPr>
      <w:r>
        <w:t>Annex V. Vrijkomende materialen</w:t>
      </w:r>
      <w:r>
        <w:tab/>
      </w:r>
      <w:r>
        <w:fldChar w:fldCharType="begin"/>
      </w:r>
      <w:r>
        <w:instrText xml:space="preserve"> PAGEREF _Toc360780678 \h </w:instrText>
      </w:r>
      <w:r>
        <w:fldChar w:fldCharType="separate"/>
      </w:r>
      <w:r>
        <w:t>7</w:t>
      </w:r>
      <w:r>
        <w:fldChar w:fldCharType="end"/>
      </w:r>
    </w:p>
    <w:p w14:paraId="7032FD8B" w14:textId="77777777" w:rsidR="00AF117A" w:rsidRDefault="00AF117A" w:rsidP="00AF117A">
      <w:pPr>
        <w:pStyle w:val="Inhopg1"/>
        <w:rPr>
          <w:rFonts w:asciiTheme="minorHAnsi" w:eastAsiaTheme="minorEastAsia" w:hAnsiTheme="minorHAnsi" w:cstheme="minorBidi"/>
          <w:b w:val="0"/>
          <w:sz w:val="22"/>
          <w:szCs w:val="22"/>
          <w:lang w:eastAsia="nl-NL"/>
        </w:rPr>
      </w:pPr>
      <w:r>
        <w:t>Annex VI. Overzicht werkzaamheden uitgevoerd door neven-opdrachtnemers, alsmede de tijdstippen waarop deze worden uitgevoerd</w:t>
      </w:r>
      <w:r>
        <w:tab/>
      </w:r>
      <w:r>
        <w:fldChar w:fldCharType="begin"/>
      </w:r>
      <w:r>
        <w:instrText xml:space="preserve"> PAGEREF _Toc360780679 \h </w:instrText>
      </w:r>
      <w:r>
        <w:fldChar w:fldCharType="separate"/>
      </w:r>
      <w:r>
        <w:t>8</w:t>
      </w:r>
      <w:r>
        <w:fldChar w:fldCharType="end"/>
      </w:r>
    </w:p>
    <w:p w14:paraId="6F35B71A" w14:textId="77777777" w:rsidR="00AF117A" w:rsidRDefault="00AF117A" w:rsidP="00AF117A">
      <w:pPr>
        <w:pStyle w:val="Inhopg1"/>
        <w:rPr>
          <w:rFonts w:asciiTheme="minorHAnsi" w:eastAsiaTheme="minorEastAsia" w:hAnsiTheme="minorHAnsi" w:cstheme="minorBidi"/>
          <w:b w:val="0"/>
          <w:sz w:val="22"/>
          <w:szCs w:val="22"/>
          <w:lang w:eastAsia="nl-NL"/>
        </w:rPr>
      </w:pPr>
      <w:r>
        <w:t>Annex VII. Verrekening van wijzigingen van lonen, sociale lasten, prijzen, huren en vrachten</w:t>
      </w:r>
      <w:r>
        <w:tab/>
      </w:r>
      <w:r>
        <w:fldChar w:fldCharType="begin"/>
      </w:r>
      <w:r>
        <w:instrText xml:space="preserve"> PAGEREF _Toc360780680 \h </w:instrText>
      </w:r>
      <w:r>
        <w:fldChar w:fldCharType="separate"/>
      </w:r>
      <w:r>
        <w:t>9</w:t>
      </w:r>
      <w:r>
        <w:fldChar w:fldCharType="end"/>
      </w:r>
    </w:p>
    <w:p w14:paraId="7ABE5927" w14:textId="77777777" w:rsidR="00AF117A" w:rsidRDefault="00AF117A" w:rsidP="00AF117A">
      <w:pPr>
        <w:pStyle w:val="Inhopg1"/>
        <w:rPr>
          <w:rFonts w:asciiTheme="minorHAnsi" w:eastAsiaTheme="minorEastAsia" w:hAnsiTheme="minorHAnsi" w:cstheme="minorBidi"/>
          <w:b w:val="0"/>
          <w:sz w:val="22"/>
          <w:szCs w:val="22"/>
          <w:lang w:eastAsia="nl-NL"/>
        </w:rPr>
      </w:pPr>
      <w:r>
        <w:t>Annex VIII. Stelposten</w:t>
      </w:r>
      <w:r>
        <w:tab/>
      </w:r>
      <w:r>
        <w:fldChar w:fldCharType="begin"/>
      </w:r>
      <w:r>
        <w:instrText xml:space="preserve"> PAGEREF _Toc360780681 \h </w:instrText>
      </w:r>
      <w:r>
        <w:fldChar w:fldCharType="separate"/>
      </w:r>
      <w:r>
        <w:t>11</w:t>
      </w:r>
      <w:r>
        <w:fldChar w:fldCharType="end"/>
      </w:r>
    </w:p>
    <w:p w14:paraId="736F1EFB" w14:textId="77777777" w:rsidR="00AF117A" w:rsidRDefault="00AF117A" w:rsidP="00AF117A">
      <w:pPr>
        <w:pStyle w:val="Inhopg1"/>
        <w:rPr>
          <w:rFonts w:asciiTheme="minorHAnsi" w:eastAsiaTheme="minorEastAsia" w:hAnsiTheme="minorHAnsi" w:cstheme="minorBidi"/>
          <w:b w:val="0"/>
          <w:sz w:val="22"/>
          <w:szCs w:val="22"/>
          <w:lang w:eastAsia="nl-NL"/>
        </w:rPr>
      </w:pPr>
      <w:r>
        <w:t>Annex IX. Bankgarantie</w:t>
      </w:r>
      <w:r>
        <w:tab/>
      </w:r>
      <w:r>
        <w:fldChar w:fldCharType="begin"/>
      </w:r>
      <w:r>
        <w:instrText xml:space="preserve"> PAGEREF _Toc360780682 \h </w:instrText>
      </w:r>
      <w:r>
        <w:fldChar w:fldCharType="separate"/>
      </w:r>
      <w:r>
        <w:t>12</w:t>
      </w:r>
      <w:r>
        <w:fldChar w:fldCharType="end"/>
      </w:r>
    </w:p>
    <w:p w14:paraId="09048018" w14:textId="77777777" w:rsidR="00AF117A" w:rsidRDefault="00AF117A" w:rsidP="00AF117A">
      <w:pPr>
        <w:pStyle w:val="Inhopg1"/>
        <w:rPr>
          <w:rFonts w:asciiTheme="minorHAnsi" w:eastAsiaTheme="minorEastAsia" w:hAnsiTheme="minorHAnsi" w:cstheme="minorBidi"/>
          <w:b w:val="0"/>
          <w:sz w:val="22"/>
          <w:szCs w:val="22"/>
          <w:lang w:eastAsia="nl-NL"/>
        </w:rPr>
      </w:pPr>
      <w:r>
        <w:t>Annex X. Verzekeringen</w:t>
      </w:r>
      <w:r>
        <w:tab/>
      </w:r>
      <w:r>
        <w:fldChar w:fldCharType="begin"/>
      </w:r>
      <w:r>
        <w:instrText xml:space="preserve"> PAGEREF _Toc360780683 \h </w:instrText>
      </w:r>
      <w:r>
        <w:fldChar w:fldCharType="separate"/>
      </w:r>
      <w:r>
        <w:t>13</w:t>
      </w:r>
      <w:r>
        <w:fldChar w:fldCharType="end"/>
      </w:r>
    </w:p>
    <w:p w14:paraId="0CB2C468" w14:textId="77777777" w:rsidR="00AF117A" w:rsidRDefault="00AF117A" w:rsidP="00AF117A">
      <w:pPr>
        <w:pStyle w:val="Inhopg1"/>
        <w:rPr>
          <w:rFonts w:asciiTheme="minorHAnsi" w:eastAsiaTheme="minorEastAsia" w:hAnsiTheme="minorHAnsi" w:cstheme="minorBidi"/>
          <w:b w:val="0"/>
          <w:sz w:val="22"/>
          <w:szCs w:val="22"/>
          <w:lang w:eastAsia="nl-NL"/>
        </w:rPr>
      </w:pPr>
      <w:r>
        <w:t>Annex XI. Geschillenregeling Raad van Deskundigen</w:t>
      </w:r>
      <w:r>
        <w:tab/>
      </w:r>
      <w:r>
        <w:fldChar w:fldCharType="begin"/>
      </w:r>
      <w:r>
        <w:instrText xml:space="preserve"> PAGEREF _Toc360780684 \h </w:instrText>
      </w:r>
      <w:r>
        <w:fldChar w:fldCharType="separate"/>
      </w:r>
      <w:r>
        <w:t>14</w:t>
      </w:r>
      <w:r>
        <w:fldChar w:fldCharType="end"/>
      </w:r>
    </w:p>
    <w:p w14:paraId="41257949" w14:textId="77777777" w:rsidR="00AF117A" w:rsidRDefault="00AF117A" w:rsidP="00AF117A">
      <w:pPr>
        <w:pStyle w:val="Inhopg1"/>
        <w:rPr>
          <w:rFonts w:asciiTheme="minorHAnsi" w:eastAsiaTheme="minorEastAsia" w:hAnsiTheme="minorHAnsi" w:cstheme="minorBidi"/>
          <w:b w:val="0"/>
          <w:sz w:val="22"/>
          <w:szCs w:val="22"/>
          <w:lang w:eastAsia="nl-NL"/>
        </w:rPr>
      </w:pPr>
      <w:r>
        <w:t>Annex XII. Wijzigingen op de UAV-GC 2005</w:t>
      </w:r>
      <w:r>
        <w:tab/>
      </w:r>
      <w:r>
        <w:fldChar w:fldCharType="begin"/>
      </w:r>
      <w:r>
        <w:instrText xml:space="preserve"> PAGEREF _Toc360780685 \h </w:instrText>
      </w:r>
      <w:r>
        <w:fldChar w:fldCharType="separate"/>
      </w:r>
      <w:r>
        <w:t>15</w:t>
      </w:r>
      <w:r>
        <w:fldChar w:fldCharType="end"/>
      </w:r>
    </w:p>
    <w:p w14:paraId="55AAC580" w14:textId="77777777" w:rsidR="00AF117A" w:rsidRDefault="00AF117A" w:rsidP="00AF117A">
      <w:pPr>
        <w:pStyle w:val="Inhopg1"/>
        <w:rPr>
          <w:rFonts w:asciiTheme="minorHAnsi" w:eastAsiaTheme="minorEastAsia" w:hAnsiTheme="minorHAnsi" w:cstheme="minorBidi"/>
          <w:b w:val="0"/>
          <w:sz w:val="22"/>
          <w:szCs w:val="22"/>
          <w:lang w:eastAsia="nl-NL"/>
        </w:rPr>
      </w:pPr>
      <w:r>
        <w:t>Annex XIII. Begripsbepalingen</w:t>
      </w:r>
      <w:r>
        <w:tab/>
      </w:r>
      <w:r>
        <w:fldChar w:fldCharType="begin"/>
      </w:r>
      <w:r>
        <w:instrText xml:space="preserve"> PAGEREF _Toc360780686 \h </w:instrText>
      </w:r>
      <w:r>
        <w:fldChar w:fldCharType="separate"/>
      </w:r>
      <w:r>
        <w:t>17</w:t>
      </w:r>
      <w:r>
        <w:fldChar w:fldCharType="end"/>
      </w:r>
    </w:p>
    <w:p w14:paraId="1367B37E" w14:textId="77777777" w:rsidR="00AF117A" w:rsidRDefault="00AF117A" w:rsidP="00AF117A">
      <w:pPr>
        <w:pStyle w:val="Inhopg1"/>
        <w:rPr>
          <w:rFonts w:asciiTheme="minorHAnsi" w:eastAsiaTheme="minorEastAsia" w:hAnsiTheme="minorHAnsi" w:cstheme="minorBidi"/>
          <w:b w:val="0"/>
          <w:sz w:val="22"/>
          <w:szCs w:val="22"/>
          <w:lang w:eastAsia="nl-NL"/>
        </w:rPr>
      </w:pPr>
      <w:r>
        <w:t>Annex XV. Garanties</w:t>
      </w:r>
      <w:r>
        <w:tab/>
      </w:r>
      <w:r>
        <w:fldChar w:fldCharType="begin"/>
      </w:r>
      <w:r>
        <w:instrText xml:space="preserve"> PAGEREF _Toc360780687 \h </w:instrText>
      </w:r>
      <w:r>
        <w:fldChar w:fldCharType="separate"/>
      </w:r>
      <w:r>
        <w:t>19</w:t>
      </w:r>
      <w:r>
        <w:fldChar w:fldCharType="end"/>
      </w:r>
    </w:p>
    <w:p w14:paraId="0C5DA325" w14:textId="77777777" w:rsidR="00AF117A" w:rsidRDefault="00AF117A" w:rsidP="00AF117A">
      <w:r>
        <w:fldChar w:fldCharType="end"/>
      </w:r>
    </w:p>
    <w:p w14:paraId="7F488905" w14:textId="77777777" w:rsidR="00AF117A" w:rsidRDefault="00AF117A" w:rsidP="00AF117A">
      <w:pPr>
        <w:pStyle w:val="Kop1"/>
        <w:numPr>
          <w:ilvl w:val="0"/>
          <w:numId w:val="0"/>
        </w:numPr>
      </w:pPr>
      <w:bookmarkStart w:id="2" w:name="_Toc360780674"/>
      <w:r>
        <w:lastRenderedPageBreak/>
        <w:t>Annex I . Vergunningen, ontheffingen, beschikkingen en toestemmingen die door Opdrachtgever moeten worden verkregen</w:t>
      </w:r>
      <w:bookmarkEnd w:id="2"/>
    </w:p>
    <w:p w14:paraId="1CBD8911" w14:textId="77777777" w:rsidR="00AF117A" w:rsidRDefault="00AF117A" w:rsidP="00AF117A">
      <w:pPr>
        <w:spacing w:line="240" w:lineRule="auto"/>
      </w:pPr>
    </w:p>
    <w:p w14:paraId="2E401B95" w14:textId="77777777" w:rsidR="00AF117A" w:rsidRDefault="00AF117A" w:rsidP="00AF117A">
      <w:pPr>
        <w:spacing w:line="240" w:lineRule="auto"/>
      </w:pPr>
    </w:p>
    <w:p w14:paraId="6C6EE4C4" w14:textId="77777777" w:rsidR="00AF117A" w:rsidRDefault="00AF117A" w:rsidP="00AF117A">
      <w:pPr>
        <w:spacing w:line="240" w:lineRule="auto"/>
      </w:pPr>
    </w:p>
    <w:p w14:paraId="754B1189" w14:textId="77777777" w:rsidR="00AF117A" w:rsidRDefault="00AF117A" w:rsidP="00AF117A">
      <w:pPr>
        <w:spacing w:line="240" w:lineRule="auto"/>
      </w:pPr>
    </w:p>
    <w:p w14:paraId="5BECA8FB" w14:textId="77777777" w:rsidR="00AF117A" w:rsidRDefault="00AF117A" w:rsidP="00AF117A">
      <w:pPr>
        <w:spacing w:line="240" w:lineRule="auto"/>
      </w:pPr>
      <w:r>
        <w:t>Deze annex is niet van toepassing op de overeenkomst.</w:t>
      </w:r>
      <w:r>
        <w:br w:type="page"/>
      </w:r>
    </w:p>
    <w:p w14:paraId="211B9AE6" w14:textId="77777777" w:rsidR="00AF117A" w:rsidRDefault="00AF117A" w:rsidP="00AF117A">
      <w:pPr>
        <w:pStyle w:val="Kop1"/>
        <w:numPr>
          <w:ilvl w:val="0"/>
          <w:numId w:val="0"/>
        </w:numPr>
      </w:pPr>
      <w:bookmarkStart w:id="3" w:name="_Toc360780675"/>
      <w:r>
        <w:lastRenderedPageBreak/>
        <w:t>Annex II . Planning</w:t>
      </w:r>
      <w:bookmarkEnd w:id="3"/>
    </w:p>
    <w:p w14:paraId="3B122ABE" w14:textId="77777777" w:rsidR="00AF117A" w:rsidRDefault="00AF117A" w:rsidP="00AF117A">
      <w:pPr>
        <w:spacing w:line="240" w:lineRule="auto"/>
      </w:pPr>
    </w:p>
    <w:p w14:paraId="42FE95E9"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In overeenstemming met artikel 2, lid 5 van de Basisovereenkomst en met inachtneming van het gestelde in § 7 UAV-GC 2005 dient de Opdrachtnemer bij de uitvoering van de Overeenkomst de volgende data en de eventueel in de Vraagspecificatie daarop betrekking hebbende eisen in acht te nemen:</w:t>
      </w:r>
    </w:p>
    <w:p w14:paraId="3BC9F226" w14:textId="77777777" w:rsidR="00AF117A" w:rsidRPr="00B01555" w:rsidRDefault="00AF117A" w:rsidP="00AF117A">
      <w:pPr>
        <w:autoSpaceDE w:val="0"/>
        <w:autoSpaceDN w:val="0"/>
        <w:adjustRightInd w:val="0"/>
        <w:spacing w:line="240" w:lineRule="auto"/>
        <w:rPr>
          <w:rFonts w:cs="Verdana"/>
          <w:lang w:eastAsia="nl-NL"/>
        </w:rPr>
      </w:pPr>
    </w:p>
    <w:tbl>
      <w:tblPr>
        <w:tblStyle w:val="Tabelraster"/>
        <w:tblW w:w="0" w:type="auto"/>
        <w:tblLook w:val="04A0" w:firstRow="1" w:lastRow="0" w:firstColumn="1" w:lastColumn="0" w:noHBand="0" w:noVBand="1"/>
      </w:tblPr>
      <w:tblGrid>
        <w:gridCol w:w="523"/>
        <w:gridCol w:w="5518"/>
        <w:gridCol w:w="3018"/>
      </w:tblGrid>
      <w:tr w:rsidR="00AF117A" w:rsidRPr="00B01555" w14:paraId="192BBA4C" w14:textId="77777777" w:rsidTr="0068315E">
        <w:trPr>
          <w:cnfStyle w:val="100000000000" w:firstRow="1" w:lastRow="0" w:firstColumn="0" w:lastColumn="0" w:oddVBand="0" w:evenVBand="0" w:oddHBand="0" w:evenHBand="0" w:firstRowFirstColumn="0" w:firstRowLastColumn="0" w:lastRowFirstColumn="0" w:lastRowLastColumn="0"/>
        </w:trPr>
        <w:tc>
          <w:tcPr>
            <w:tcW w:w="523" w:type="dxa"/>
          </w:tcPr>
          <w:p w14:paraId="4D5B61DD" w14:textId="77777777" w:rsidR="00AF117A" w:rsidRPr="00B01555" w:rsidRDefault="00AF117A" w:rsidP="0068315E">
            <w:pPr>
              <w:autoSpaceDE w:val="0"/>
              <w:autoSpaceDN w:val="0"/>
              <w:adjustRightInd w:val="0"/>
              <w:spacing w:line="240" w:lineRule="auto"/>
              <w:rPr>
                <w:rFonts w:cs="Verdana"/>
                <w:b w:val="0"/>
                <w:szCs w:val="18"/>
                <w:lang w:eastAsia="nl-NL"/>
              </w:rPr>
            </w:pPr>
            <w:r w:rsidRPr="00B01555">
              <w:rPr>
                <w:rFonts w:cs="Verdana"/>
                <w:szCs w:val="18"/>
                <w:lang w:eastAsia="nl-NL"/>
              </w:rPr>
              <w:t>Nr.</w:t>
            </w:r>
          </w:p>
        </w:tc>
        <w:tc>
          <w:tcPr>
            <w:tcW w:w="5518" w:type="dxa"/>
          </w:tcPr>
          <w:p w14:paraId="45C62EC1" w14:textId="77777777" w:rsidR="00AF117A" w:rsidRPr="00B01555" w:rsidRDefault="00AF117A" w:rsidP="0068315E">
            <w:pPr>
              <w:autoSpaceDE w:val="0"/>
              <w:autoSpaceDN w:val="0"/>
              <w:adjustRightInd w:val="0"/>
              <w:spacing w:line="240" w:lineRule="auto"/>
              <w:rPr>
                <w:rFonts w:cs="Verdana"/>
                <w:b w:val="0"/>
                <w:szCs w:val="18"/>
                <w:lang w:eastAsia="nl-NL"/>
              </w:rPr>
            </w:pPr>
            <w:r w:rsidRPr="00B01555">
              <w:rPr>
                <w:rFonts w:cs="Verdana"/>
                <w:szCs w:val="18"/>
                <w:lang w:eastAsia="nl-NL"/>
              </w:rPr>
              <w:t>Activiteit</w:t>
            </w:r>
          </w:p>
        </w:tc>
        <w:tc>
          <w:tcPr>
            <w:tcW w:w="3018" w:type="dxa"/>
          </w:tcPr>
          <w:p w14:paraId="5EFC894A" w14:textId="77777777" w:rsidR="00AF117A" w:rsidRPr="00B01555" w:rsidRDefault="00AF117A" w:rsidP="0068315E">
            <w:pPr>
              <w:autoSpaceDE w:val="0"/>
              <w:autoSpaceDN w:val="0"/>
              <w:adjustRightInd w:val="0"/>
              <w:spacing w:line="240" w:lineRule="auto"/>
              <w:rPr>
                <w:rFonts w:cs="Verdana"/>
                <w:b w:val="0"/>
                <w:szCs w:val="18"/>
                <w:lang w:eastAsia="nl-NL"/>
              </w:rPr>
            </w:pPr>
            <w:r w:rsidRPr="00B01555">
              <w:rPr>
                <w:rFonts w:cs="Verdana"/>
                <w:szCs w:val="18"/>
                <w:lang w:eastAsia="nl-NL"/>
              </w:rPr>
              <w:t>Datum gereed</w:t>
            </w:r>
          </w:p>
        </w:tc>
      </w:tr>
      <w:tr w:rsidR="00AF117A" w:rsidRPr="00B01555" w14:paraId="43146B3E" w14:textId="77777777" w:rsidTr="0068315E">
        <w:tc>
          <w:tcPr>
            <w:tcW w:w="523" w:type="dxa"/>
          </w:tcPr>
          <w:p w14:paraId="3D96A3FE" w14:textId="77777777" w:rsidR="00AF117A" w:rsidRPr="00B01555" w:rsidRDefault="00AF117A" w:rsidP="0068315E">
            <w:pPr>
              <w:autoSpaceDE w:val="0"/>
              <w:autoSpaceDN w:val="0"/>
              <w:adjustRightInd w:val="0"/>
              <w:spacing w:line="240" w:lineRule="auto"/>
              <w:rPr>
                <w:rFonts w:cs="Verdana"/>
                <w:szCs w:val="18"/>
                <w:lang w:eastAsia="nl-NL"/>
              </w:rPr>
            </w:pPr>
            <w:r w:rsidRPr="00B01555">
              <w:rPr>
                <w:rFonts w:cs="Verdana"/>
                <w:szCs w:val="18"/>
                <w:lang w:eastAsia="nl-NL"/>
              </w:rPr>
              <w:t>1</w:t>
            </w:r>
          </w:p>
        </w:tc>
        <w:tc>
          <w:tcPr>
            <w:tcW w:w="5518" w:type="dxa"/>
          </w:tcPr>
          <w:p w14:paraId="571E0B75" w14:textId="77777777" w:rsidR="00AF117A" w:rsidRPr="00B01555" w:rsidRDefault="00AF117A" w:rsidP="00AF117A">
            <w:pPr>
              <w:autoSpaceDE w:val="0"/>
              <w:autoSpaceDN w:val="0"/>
              <w:adjustRightInd w:val="0"/>
              <w:spacing w:line="240" w:lineRule="auto"/>
              <w:rPr>
                <w:rFonts w:cs="Verdana"/>
                <w:szCs w:val="18"/>
                <w:lang w:eastAsia="nl-NL"/>
              </w:rPr>
            </w:pPr>
            <w:r>
              <w:rPr>
                <w:rFonts w:cs="Verdana"/>
                <w:szCs w:val="18"/>
                <w:lang w:eastAsia="nl-NL"/>
              </w:rPr>
              <w:t>Vervanging OVL wijk Bijvanck gemeente Blaricum</w:t>
            </w:r>
          </w:p>
        </w:tc>
        <w:tc>
          <w:tcPr>
            <w:tcW w:w="3018" w:type="dxa"/>
          </w:tcPr>
          <w:p w14:paraId="36AA6C95" w14:textId="1C25E075" w:rsidR="00AF117A" w:rsidRPr="00B01555" w:rsidRDefault="00AF117A" w:rsidP="00475249">
            <w:pPr>
              <w:autoSpaceDE w:val="0"/>
              <w:autoSpaceDN w:val="0"/>
              <w:adjustRightInd w:val="0"/>
              <w:spacing w:line="240" w:lineRule="auto"/>
              <w:rPr>
                <w:rFonts w:cs="Verdana"/>
                <w:szCs w:val="18"/>
                <w:lang w:eastAsia="nl-NL"/>
              </w:rPr>
            </w:pPr>
            <w:r w:rsidRPr="00B01555">
              <w:rPr>
                <w:rFonts w:cs="Verdana"/>
                <w:szCs w:val="18"/>
                <w:lang w:eastAsia="nl-NL"/>
              </w:rPr>
              <w:t xml:space="preserve">1 </w:t>
            </w:r>
            <w:r w:rsidR="00475249">
              <w:rPr>
                <w:rFonts w:cs="Verdana"/>
                <w:szCs w:val="18"/>
                <w:lang w:eastAsia="nl-NL"/>
              </w:rPr>
              <w:t>juni</w:t>
            </w:r>
            <w:r w:rsidRPr="00B01555">
              <w:rPr>
                <w:rFonts w:cs="Verdana"/>
                <w:szCs w:val="18"/>
                <w:lang w:eastAsia="nl-NL"/>
              </w:rPr>
              <w:t xml:space="preserve"> 20</w:t>
            </w:r>
            <w:r>
              <w:rPr>
                <w:rFonts w:cs="Verdana"/>
                <w:szCs w:val="18"/>
                <w:lang w:eastAsia="nl-NL"/>
              </w:rPr>
              <w:t>17</w:t>
            </w:r>
          </w:p>
        </w:tc>
      </w:tr>
    </w:tbl>
    <w:p w14:paraId="745FE389" w14:textId="77777777" w:rsidR="00AF117A" w:rsidRPr="00B01555" w:rsidRDefault="00AF117A" w:rsidP="00AF117A">
      <w:pPr>
        <w:autoSpaceDE w:val="0"/>
        <w:autoSpaceDN w:val="0"/>
        <w:adjustRightInd w:val="0"/>
        <w:spacing w:line="240" w:lineRule="auto"/>
        <w:rPr>
          <w:rFonts w:cs="Verdana"/>
          <w:lang w:eastAsia="nl-NL"/>
        </w:rPr>
      </w:pPr>
    </w:p>
    <w:p w14:paraId="74310BE5" w14:textId="08EEFF43" w:rsidR="00AF117A" w:rsidRPr="00B01555" w:rsidRDefault="00AF117A" w:rsidP="0068315E">
      <w:pPr>
        <w:autoSpaceDE w:val="0"/>
        <w:autoSpaceDN w:val="0"/>
        <w:adjustRightInd w:val="0"/>
        <w:spacing w:line="240" w:lineRule="auto"/>
      </w:pPr>
      <w:r w:rsidRPr="00B01555">
        <w:rPr>
          <w:rFonts w:cs="Verdana"/>
          <w:lang w:eastAsia="nl-NL"/>
        </w:rPr>
        <w:t>Met betrekking tot de mijlpaaldata en de uiterste datum van oplevering wordt</w:t>
      </w:r>
      <w:r w:rsidR="00A511BC">
        <w:rPr>
          <w:rFonts w:cs="Verdana"/>
          <w:lang w:eastAsia="nl-NL"/>
        </w:rPr>
        <w:t xml:space="preserve"> </w:t>
      </w:r>
      <w:r w:rsidRPr="00B01555">
        <w:rPr>
          <w:rFonts w:cs="Verdana"/>
          <w:lang w:eastAsia="nl-NL"/>
        </w:rPr>
        <w:t>verwezen naar artikel 2, lid 5 en lid 6 van de Basisovereenkomst.</w:t>
      </w:r>
    </w:p>
    <w:p w14:paraId="18A2496E" w14:textId="77777777" w:rsidR="00AF117A" w:rsidRDefault="00AF117A" w:rsidP="00AF117A">
      <w:pPr>
        <w:pStyle w:val="Kop1"/>
        <w:numPr>
          <w:ilvl w:val="0"/>
          <w:numId w:val="0"/>
        </w:numPr>
      </w:pPr>
      <w:bookmarkStart w:id="4" w:name="_Toc360780676"/>
      <w:r>
        <w:lastRenderedPageBreak/>
        <w:t>Annex III . Acceptatieplan</w:t>
      </w:r>
      <w:bookmarkEnd w:id="4"/>
    </w:p>
    <w:p w14:paraId="24E7B08B" w14:textId="77777777" w:rsidR="00AF117A" w:rsidRDefault="00AF117A" w:rsidP="00AF117A"/>
    <w:p w14:paraId="676C8515" w14:textId="77777777" w:rsidR="00AF117A" w:rsidRPr="00B01555" w:rsidRDefault="00AF117A" w:rsidP="00AF117A"/>
    <w:p w14:paraId="493A667F" w14:textId="77777777" w:rsidR="00AF117A" w:rsidRDefault="00AF117A" w:rsidP="00AF117A">
      <w:pPr>
        <w:spacing w:line="240" w:lineRule="auto"/>
      </w:pPr>
    </w:p>
    <w:tbl>
      <w:tblPr>
        <w:tblStyle w:val="Tabelraster"/>
        <w:tblW w:w="9130" w:type="dxa"/>
        <w:tblLayout w:type="fixed"/>
        <w:tblLook w:val="04A0" w:firstRow="1" w:lastRow="0" w:firstColumn="1" w:lastColumn="0" w:noHBand="0" w:noVBand="1"/>
      </w:tblPr>
      <w:tblGrid>
        <w:gridCol w:w="2171"/>
        <w:gridCol w:w="1797"/>
        <w:gridCol w:w="1385"/>
        <w:gridCol w:w="1985"/>
        <w:gridCol w:w="1792"/>
      </w:tblGrid>
      <w:tr w:rsidR="00AF117A" w:rsidRPr="004F63B6" w14:paraId="7C13115F" w14:textId="77777777" w:rsidTr="00B33DCE">
        <w:trPr>
          <w:cnfStyle w:val="100000000000" w:firstRow="1" w:lastRow="0" w:firstColumn="0" w:lastColumn="0" w:oddVBand="0" w:evenVBand="0" w:oddHBand="0" w:evenHBand="0" w:firstRowFirstColumn="0" w:firstRowLastColumn="0" w:lastRowFirstColumn="0" w:lastRowLastColumn="0"/>
        </w:trPr>
        <w:tc>
          <w:tcPr>
            <w:tcW w:w="2171" w:type="dxa"/>
          </w:tcPr>
          <w:p w14:paraId="607AF73E" w14:textId="77777777" w:rsidR="00AF117A" w:rsidRPr="004F63B6" w:rsidRDefault="00AF117A" w:rsidP="0068315E">
            <w:pPr>
              <w:spacing w:line="240" w:lineRule="auto"/>
              <w:rPr>
                <w:b w:val="0"/>
              </w:rPr>
            </w:pPr>
            <w:r w:rsidRPr="004F63B6">
              <w:t>Document(en) ter acceptatie</w:t>
            </w:r>
          </w:p>
        </w:tc>
        <w:tc>
          <w:tcPr>
            <w:tcW w:w="1797" w:type="dxa"/>
          </w:tcPr>
          <w:p w14:paraId="686BEEF2" w14:textId="77777777" w:rsidR="00AF117A" w:rsidRPr="004F63B6" w:rsidRDefault="00AF117A" w:rsidP="0068315E">
            <w:pPr>
              <w:spacing w:line="240" w:lineRule="auto"/>
              <w:rPr>
                <w:b w:val="0"/>
              </w:rPr>
            </w:pPr>
            <w:r w:rsidRPr="004F63B6">
              <w:t>Uiterlijk indienen voor aanvang werkzaamheden (dagen)</w:t>
            </w:r>
          </w:p>
        </w:tc>
        <w:tc>
          <w:tcPr>
            <w:tcW w:w="1385" w:type="dxa"/>
          </w:tcPr>
          <w:p w14:paraId="0FBAA98F" w14:textId="77777777" w:rsidR="00AF117A" w:rsidRPr="004F63B6" w:rsidRDefault="00AF117A" w:rsidP="0068315E">
            <w:pPr>
              <w:spacing w:line="240" w:lineRule="auto"/>
              <w:rPr>
                <w:b w:val="0"/>
              </w:rPr>
            </w:pPr>
            <w:r w:rsidRPr="004F63B6">
              <w:t>Aantal exemplaren</w:t>
            </w:r>
          </w:p>
        </w:tc>
        <w:tc>
          <w:tcPr>
            <w:tcW w:w="1985" w:type="dxa"/>
          </w:tcPr>
          <w:p w14:paraId="07079F28" w14:textId="77777777" w:rsidR="00AF117A" w:rsidRPr="004F63B6" w:rsidRDefault="00AF117A" w:rsidP="0068315E">
            <w:pPr>
              <w:spacing w:line="240" w:lineRule="auto"/>
              <w:rPr>
                <w:b w:val="0"/>
              </w:rPr>
            </w:pPr>
            <w:r w:rsidRPr="004F63B6">
              <w:t>Acceptatietermijn (werkdagen)</w:t>
            </w:r>
          </w:p>
        </w:tc>
        <w:tc>
          <w:tcPr>
            <w:tcW w:w="1792" w:type="dxa"/>
          </w:tcPr>
          <w:p w14:paraId="4A716A97" w14:textId="77777777" w:rsidR="00AF117A" w:rsidRPr="004F63B6" w:rsidRDefault="00AF117A" w:rsidP="0068315E">
            <w:pPr>
              <w:spacing w:line="240" w:lineRule="auto"/>
              <w:rPr>
                <w:b w:val="0"/>
              </w:rPr>
            </w:pPr>
            <w:r w:rsidRPr="004F63B6">
              <w:t>Eisen</w:t>
            </w:r>
          </w:p>
        </w:tc>
      </w:tr>
      <w:tr w:rsidR="00AF117A" w14:paraId="2C04889B" w14:textId="77777777" w:rsidTr="00B33DCE">
        <w:tc>
          <w:tcPr>
            <w:tcW w:w="9130" w:type="dxa"/>
            <w:gridSpan w:val="5"/>
          </w:tcPr>
          <w:p w14:paraId="028E66A5" w14:textId="77777777" w:rsidR="00AF117A" w:rsidRPr="004F63B6" w:rsidRDefault="00AF117A" w:rsidP="0068315E">
            <w:pPr>
              <w:spacing w:line="240" w:lineRule="auto"/>
              <w:rPr>
                <w:b/>
              </w:rPr>
            </w:pPr>
            <w:r>
              <w:rPr>
                <w:b/>
              </w:rPr>
              <w:t>Projectmanagement</w:t>
            </w:r>
          </w:p>
        </w:tc>
      </w:tr>
      <w:tr w:rsidR="00AF117A" w14:paraId="1047672A" w14:textId="77777777" w:rsidTr="00B33DCE">
        <w:tc>
          <w:tcPr>
            <w:tcW w:w="2171" w:type="dxa"/>
          </w:tcPr>
          <w:p w14:paraId="44F972C9" w14:textId="77777777" w:rsidR="00AF117A" w:rsidRDefault="00AF117A" w:rsidP="0068315E">
            <w:pPr>
              <w:spacing w:line="240" w:lineRule="auto"/>
            </w:pPr>
            <w:r>
              <w:t>Projectmanagementplan (inclusief eventuele onderliggende plannen per deelproces)</w:t>
            </w:r>
          </w:p>
        </w:tc>
        <w:tc>
          <w:tcPr>
            <w:tcW w:w="1797" w:type="dxa"/>
          </w:tcPr>
          <w:p w14:paraId="30B556A6" w14:textId="77777777" w:rsidR="00AF117A" w:rsidRDefault="00AF117A" w:rsidP="0068315E">
            <w:pPr>
              <w:spacing w:line="240" w:lineRule="auto"/>
            </w:pPr>
            <w:r>
              <w:t>4 weken voor gunning en iedere 2 jaar 4 weken voor aanvang kalenderjaar</w:t>
            </w:r>
          </w:p>
        </w:tc>
        <w:tc>
          <w:tcPr>
            <w:tcW w:w="1385" w:type="dxa"/>
          </w:tcPr>
          <w:p w14:paraId="37C9D8AD" w14:textId="77777777" w:rsidR="00AF117A" w:rsidRDefault="00AF117A" w:rsidP="0068315E">
            <w:pPr>
              <w:spacing w:line="240" w:lineRule="auto"/>
            </w:pPr>
            <w:r>
              <w:t>2</w:t>
            </w:r>
          </w:p>
        </w:tc>
        <w:tc>
          <w:tcPr>
            <w:tcW w:w="1985" w:type="dxa"/>
          </w:tcPr>
          <w:p w14:paraId="558A2B6E" w14:textId="77777777" w:rsidR="00AF117A" w:rsidRDefault="00AF117A" w:rsidP="0068315E">
            <w:pPr>
              <w:spacing w:line="240" w:lineRule="auto"/>
            </w:pPr>
            <w:r>
              <w:t>10</w:t>
            </w:r>
          </w:p>
        </w:tc>
        <w:tc>
          <w:tcPr>
            <w:tcW w:w="1792" w:type="dxa"/>
          </w:tcPr>
          <w:p w14:paraId="30B0F8D9" w14:textId="49D372C6" w:rsidR="00AF117A" w:rsidRDefault="00AF117A" w:rsidP="00AF117A">
            <w:pPr>
              <w:spacing w:line="240" w:lineRule="auto"/>
            </w:pPr>
            <w:r>
              <w:t>Vraagspecificatie</w:t>
            </w:r>
            <w:r w:rsidR="0068315E">
              <w:t xml:space="preserve"> proces</w:t>
            </w:r>
            <w:r>
              <w:t xml:space="preserve"> </w:t>
            </w:r>
            <w:r w:rsidR="0068315E">
              <w:t>4.2</w:t>
            </w:r>
          </w:p>
        </w:tc>
      </w:tr>
      <w:tr w:rsidR="00AF117A" w14:paraId="04CDFF13" w14:textId="77777777" w:rsidTr="00B33DCE">
        <w:tc>
          <w:tcPr>
            <w:tcW w:w="2171" w:type="dxa"/>
          </w:tcPr>
          <w:p w14:paraId="1E4D70EE" w14:textId="77777777" w:rsidR="00AF117A" w:rsidRDefault="00AF117A" w:rsidP="0068315E">
            <w:pPr>
              <w:spacing w:line="240" w:lineRule="auto"/>
            </w:pPr>
            <w:r>
              <w:t>Beschrijving werkpakket en Work Breakdown Structure (WBS)</w:t>
            </w:r>
          </w:p>
        </w:tc>
        <w:tc>
          <w:tcPr>
            <w:tcW w:w="1797" w:type="dxa"/>
          </w:tcPr>
          <w:p w14:paraId="1BF2168E" w14:textId="77777777" w:rsidR="00AF117A" w:rsidRDefault="00AF117A" w:rsidP="0068315E">
            <w:pPr>
              <w:spacing w:line="240" w:lineRule="auto"/>
            </w:pPr>
            <w:r>
              <w:t>Gelijktijdig met het PMP</w:t>
            </w:r>
          </w:p>
        </w:tc>
        <w:tc>
          <w:tcPr>
            <w:tcW w:w="1385" w:type="dxa"/>
          </w:tcPr>
          <w:p w14:paraId="315812FD" w14:textId="77777777" w:rsidR="00AF117A" w:rsidRDefault="00AF117A" w:rsidP="0068315E">
            <w:pPr>
              <w:spacing w:line="240" w:lineRule="auto"/>
            </w:pPr>
            <w:r>
              <w:t>2</w:t>
            </w:r>
          </w:p>
        </w:tc>
        <w:tc>
          <w:tcPr>
            <w:tcW w:w="1985" w:type="dxa"/>
          </w:tcPr>
          <w:p w14:paraId="1ADD3FBD" w14:textId="7248C1FF" w:rsidR="00AF117A" w:rsidRDefault="0068315E" w:rsidP="0068315E">
            <w:pPr>
              <w:spacing w:line="240" w:lineRule="auto"/>
            </w:pPr>
            <w:r>
              <w:t>15</w:t>
            </w:r>
          </w:p>
        </w:tc>
        <w:tc>
          <w:tcPr>
            <w:tcW w:w="1792" w:type="dxa"/>
          </w:tcPr>
          <w:p w14:paraId="34E3089B" w14:textId="29409D9F" w:rsidR="00AF117A" w:rsidRDefault="00AF117A" w:rsidP="00AF117A">
            <w:pPr>
              <w:spacing w:line="240" w:lineRule="auto"/>
            </w:pPr>
            <w:r>
              <w:t xml:space="preserve">Vraagspecificatie </w:t>
            </w:r>
            <w:r w:rsidR="00B33DCE">
              <w:t>proces 4.2.1.3</w:t>
            </w:r>
          </w:p>
        </w:tc>
      </w:tr>
      <w:tr w:rsidR="00AF117A" w14:paraId="59CBB672" w14:textId="77777777" w:rsidTr="00B33DCE">
        <w:tc>
          <w:tcPr>
            <w:tcW w:w="9130" w:type="dxa"/>
            <w:gridSpan w:val="5"/>
          </w:tcPr>
          <w:p w14:paraId="6DBF2A6E" w14:textId="77777777" w:rsidR="00AF117A" w:rsidRPr="004F63B6" w:rsidRDefault="00AF117A" w:rsidP="0068315E">
            <w:pPr>
              <w:spacing w:line="240" w:lineRule="auto"/>
              <w:rPr>
                <w:b/>
              </w:rPr>
            </w:pPr>
            <w:r>
              <w:rPr>
                <w:b/>
              </w:rPr>
              <w:t>Technisch management</w:t>
            </w:r>
          </w:p>
        </w:tc>
      </w:tr>
      <w:tr w:rsidR="00AF117A" w14:paraId="404C0AD8" w14:textId="77777777" w:rsidTr="00B33DCE">
        <w:tc>
          <w:tcPr>
            <w:tcW w:w="2171" w:type="dxa"/>
          </w:tcPr>
          <w:p w14:paraId="7723103F" w14:textId="487E722A" w:rsidR="00AF117A" w:rsidRDefault="00B33DCE" w:rsidP="0068315E">
            <w:pPr>
              <w:spacing w:line="240" w:lineRule="auto"/>
            </w:pPr>
            <w:r>
              <w:t>TCD</w:t>
            </w:r>
          </w:p>
        </w:tc>
        <w:tc>
          <w:tcPr>
            <w:tcW w:w="1797" w:type="dxa"/>
          </w:tcPr>
          <w:p w14:paraId="1733431D" w14:textId="1AD72FC4" w:rsidR="00AF117A" w:rsidRDefault="00A12B5B" w:rsidP="0068315E">
            <w:pPr>
              <w:spacing w:line="240" w:lineRule="auto"/>
            </w:pPr>
            <w:r>
              <w:t>3 maanden v</w:t>
            </w:r>
            <w:r w:rsidR="00AF117A">
              <w:t>oor oplevering werk</w:t>
            </w:r>
          </w:p>
        </w:tc>
        <w:tc>
          <w:tcPr>
            <w:tcW w:w="1385" w:type="dxa"/>
          </w:tcPr>
          <w:p w14:paraId="24A27DB0" w14:textId="77777777" w:rsidR="00AF117A" w:rsidRDefault="00AF117A" w:rsidP="0068315E">
            <w:pPr>
              <w:spacing w:line="240" w:lineRule="auto"/>
            </w:pPr>
            <w:r>
              <w:t>2</w:t>
            </w:r>
          </w:p>
        </w:tc>
        <w:tc>
          <w:tcPr>
            <w:tcW w:w="1985" w:type="dxa"/>
          </w:tcPr>
          <w:p w14:paraId="08BC8DBA" w14:textId="4BDA0A19" w:rsidR="00AF117A" w:rsidRDefault="0068315E" w:rsidP="0068315E">
            <w:pPr>
              <w:spacing w:line="240" w:lineRule="auto"/>
            </w:pPr>
            <w:r>
              <w:t>15</w:t>
            </w:r>
          </w:p>
        </w:tc>
        <w:tc>
          <w:tcPr>
            <w:tcW w:w="1792" w:type="dxa"/>
          </w:tcPr>
          <w:p w14:paraId="43CD5822" w14:textId="77777777" w:rsidR="00AF117A" w:rsidRDefault="00AF117A" w:rsidP="00AF117A">
            <w:pPr>
              <w:spacing w:line="240" w:lineRule="auto"/>
            </w:pPr>
            <w:r>
              <w:t xml:space="preserve">Vraagspecificatie </w:t>
            </w:r>
          </w:p>
          <w:p w14:paraId="4495C24E" w14:textId="348046AA" w:rsidR="00B33DCE" w:rsidRDefault="00B33DCE" w:rsidP="00AF117A">
            <w:pPr>
              <w:spacing w:line="240" w:lineRule="auto"/>
            </w:pPr>
            <w:r>
              <w:t>Proces 6.8.1</w:t>
            </w:r>
          </w:p>
        </w:tc>
      </w:tr>
      <w:tr w:rsidR="00AF117A" w14:paraId="083BCE64" w14:textId="77777777" w:rsidTr="00B33DCE">
        <w:tc>
          <w:tcPr>
            <w:tcW w:w="2171" w:type="dxa"/>
          </w:tcPr>
          <w:p w14:paraId="4048D883" w14:textId="77777777" w:rsidR="00AF117A" w:rsidRDefault="00AF117A" w:rsidP="0068315E">
            <w:pPr>
              <w:spacing w:line="240" w:lineRule="auto"/>
            </w:pPr>
            <w:r>
              <w:t>Beveiligingsplan</w:t>
            </w:r>
          </w:p>
        </w:tc>
        <w:tc>
          <w:tcPr>
            <w:tcW w:w="1797" w:type="dxa"/>
          </w:tcPr>
          <w:p w14:paraId="45A6DD7A" w14:textId="77777777" w:rsidR="00AF117A" w:rsidRDefault="00AF117A" w:rsidP="0068315E">
            <w:pPr>
              <w:spacing w:line="240" w:lineRule="auto"/>
            </w:pPr>
            <w:r>
              <w:t>4 weken na gunning</w:t>
            </w:r>
          </w:p>
        </w:tc>
        <w:tc>
          <w:tcPr>
            <w:tcW w:w="1385" w:type="dxa"/>
          </w:tcPr>
          <w:p w14:paraId="2D8B5A87" w14:textId="77777777" w:rsidR="00AF117A" w:rsidRDefault="00AF117A" w:rsidP="0068315E">
            <w:pPr>
              <w:spacing w:line="240" w:lineRule="auto"/>
            </w:pPr>
            <w:r>
              <w:t>1</w:t>
            </w:r>
          </w:p>
        </w:tc>
        <w:tc>
          <w:tcPr>
            <w:tcW w:w="1985" w:type="dxa"/>
          </w:tcPr>
          <w:p w14:paraId="561CB247" w14:textId="77777777" w:rsidR="00AF117A" w:rsidRDefault="00AF117A" w:rsidP="0068315E">
            <w:pPr>
              <w:spacing w:line="240" w:lineRule="auto"/>
            </w:pPr>
            <w:r>
              <w:t>10</w:t>
            </w:r>
          </w:p>
        </w:tc>
        <w:tc>
          <w:tcPr>
            <w:tcW w:w="1792" w:type="dxa"/>
          </w:tcPr>
          <w:p w14:paraId="25F02157" w14:textId="13124C80" w:rsidR="00AF117A" w:rsidRDefault="00AF117A" w:rsidP="00AF117A">
            <w:pPr>
              <w:spacing w:line="240" w:lineRule="auto"/>
            </w:pPr>
            <w:r>
              <w:t xml:space="preserve">Vraagspecificatie </w:t>
            </w:r>
            <w:r w:rsidR="00B33DCE">
              <w:t>proces 4.2.4.3</w:t>
            </w:r>
          </w:p>
        </w:tc>
      </w:tr>
      <w:tr w:rsidR="00AF117A" w14:paraId="2C9C6B73" w14:textId="77777777" w:rsidTr="00B33DCE">
        <w:tc>
          <w:tcPr>
            <w:tcW w:w="2171" w:type="dxa"/>
          </w:tcPr>
          <w:p w14:paraId="55CD7296" w14:textId="77777777" w:rsidR="00AF117A" w:rsidRDefault="00AF117A" w:rsidP="0068315E">
            <w:pPr>
              <w:spacing w:line="240" w:lineRule="auto"/>
            </w:pPr>
            <w:r>
              <w:t>Verbetervoorstel</w:t>
            </w:r>
          </w:p>
        </w:tc>
        <w:tc>
          <w:tcPr>
            <w:tcW w:w="1797" w:type="dxa"/>
          </w:tcPr>
          <w:p w14:paraId="45B1C347" w14:textId="77777777" w:rsidR="00AF117A" w:rsidRDefault="00AF117A" w:rsidP="0068315E">
            <w:pPr>
              <w:spacing w:line="240" w:lineRule="auto"/>
            </w:pPr>
          </w:p>
        </w:tc>
        <w:tc>
          <w:tcPr>
            <w:tcW w:w="1385" w:type="dxa"/>
          </w:tcPr>
          <w:p w14:paraId="4F9D4C04" w14:textId="77777777" w:rsidR="00AF117A" w:rsidRDefault="00AF117A" w:rsidP="0068315E">
            <w:pPr>
              <w:spacing w:line="240" w:lineRule="auto"/>
            </w:pPr>
            <w:r>
              <w:t>1</w:t>
            </w:r>
          </w:p>
        </w:tc>
        <w:tc>
          <w:tcPr>
            <w:tcW w:w="1985" w:type="dxa"/>
          </w:tcPr>
          <w:p w14:paraId="607A0B65" w14:textId="67B35277" w:rsidR="00AF117A" w:rsidRDefault="0068315E" w:rsidP="0068315E">
            <w:pPr>
              <w:spacing w:line="240" w:lineRule="auto"/>
            </w:pPr>
            <w:r>
              <w:t>15</w:t>
            </w:r>
          </w:p>
        </w:tc>
        <w:tc>
          <w:tcPr>
            <w:tcW w:w="1792" w:type="dxa"/>
          </w:tcPr>
          <w:p w14:paraId="451408A5" w14:textId="354D9ADC" w:rsidR="00AF117A" w:rsidRDefault="00AF117A" w:rsidP="00AF117A">
            <w:pPr>
              <w:spacing w:line="240" w:lineRule="auto"/>
            </w:pPr>
            <w:r>
              <w:t xml:space="preserve">Vraagspecificatie </w:t>
            </w:r>
            <w:r w:rsidR="00B33DCE">
              <w:t>proces 6.7.1</w:t>
            </w:r>
          </w:p>
        </w:tc>
      </w:tr>
      <w:tr w:rsidR="00AF117A" w14:paraId="3E5638BE" w14:textId="77777777" w:rsidTr="00B33DCE">
        <w:tc>
          <w:tcPr>
            <w:tcW w:w="9130" w:type="dxa"/>
            <w:gridSpan w:val="5"/>
          </w:tcPr>
          <w:p w14:paraId="07D2D586" w14:textId="77777777" w:rsidR="00AF117A" w:rsidRDefault="00AF117A" w:rsidP="0068315E">
            <w:pPr>
              <w:spacing w:line="240" w:lineRule="auto"/>
            </w:pPr>
            <w:r>
              <w:rPr>
                <w:b/>
              </w:rPr>
              <w:t>Technisch management activiteiten</w:t>
            </w:r>
          </w:p>
        </w:tc>
      </w:tr>
      <w:tr w:rsidR="00AF117A" w14:paraId="6C51890B" w14:textId="77777777" w:rsidTr="00B33DCE">
        <w:tc>
          <w:tcPr>
            <w:tcW w:w="2171" w:type="dxa"/>
          </w:tcPr>
          <w:p w14:paraId="067165B2" w14:textId="77777777" w:rsidR="00AF117A" w:rsidRDefault="00AF117A" w:rsidP="0068315E">
            <w:pPr>
              <w:spacing w:line="240" w:lineRule="auto"/>
            </w:pPr>
            <w:r>
              <w:t>Ontwerpactiviteiten door ON</w:t>
            </w:r>
          </w:p>
        </w:tc>
        <w:tc>
          <w:tcPr>
            <w:tcW w:w="1797" w:type="dxa"/>
          </w:tcPr>
          <w:p w14:paraId="47571C87" w14:textId="77777777" w:rsidR="00AF117A" w:rsidRDefault="00AF117A" w:rsidP="0068315E">
            <w:pPr>
              <w:spacing w:line="240" w:lineRule="auto"/>
            </w:pPr>
            <w:r>
              <w:t>Na acceptatie van het voorstel</w:t>
            </w:r>
          </w:p>
        </w:tc>
        <w:tc>
          <w:tcPr>
            <w:tcW w:w="1385" w:type="dxa"/>
          </w:tcPr>
          <w:p w14:paraId="73EE5017" w14:textId="77777777" w:rsidR="00AF117A" w:rsidRDefault="00AF117A" w:rsidP="0068315E">
            <w:pPr>
              <w:spacing w:line="240" w:lineRule="auto"/>
            </w:pPr>
            <w:r>
              <w:t>1</w:t>
            </w:r>
          </w:p>
        </w:tc>
        <w:tc>
          <w:tcPr>
            <w:tcW w:w="1985" w:type="dxa"/>
          </w:tcPr>
          <w:p w14:paraId="18837586" w14:textId="5F6EDF57" w:rsidR="00AF117A" w:rsidRDefault="0068315E" w:rsidP="0068315E">
            <w:pPr>
              <w:spacing w:line="240" w:lineRule="auto"/>
            </w:pPr>
            <w:r>
              <w:t>10</w:t>
            </w:r>
          </w:p>
        </w:tc>
        <w:tc>
          <w:tcPr>
            <w:tcW w:w="1792" w:type="dxa"/>
          </w:tcPr>
          <w:p w14:paraId="06405034" w14:textId="6D7C1050" w:rsidR="00AF117A" w:rsidRDefault="00AF117A" w:rsidP="00AF117A">
            <w:pPr>
              <w:spacing w:line="240" w:lineRule="auto"/>
            </w:pPr>
            <w:r>
              <w:t xml:space="preserve">Vraagspecificatie </w:t>
            </w:r>
            <w:r w:rsidR="000A7B5F">
              <w:t>proces 5.1</w:t>
            </w:r>
          </w:p>
        </w:tc>
      </w:tr>
      <w:tr w:rsidR="00AF117A" w14:paraId="2C430D0F" w14:textId="77777777" w:rsidTr="00B33DCE">
        <w:tc>
          <w:tcPr>
            <w:tcW w:w="9130" w:type="dxa"/>
            <w:gridSpan w:val="5"/>
          </w:tcPr>
          <w:p w14:paraId="1DC511A8" w14:textId="77777777" w:rsidR="00AF117A" w:rsidRPr="004F63B6" w:rsidRDefault="00AF117A" w:rsidP="0068315E">
            <w:pPr>
              <w:spacing w:line="240" w:lineRule="auto"/>
              <w:rPr>
                <w:b/>
              </w:rPr>
            </w:pPr>
            <w:r>
              <w:rPr>
                <w:b/>
              </w:rPr>
              <w:t>Projectbeheersing</w:t>
            </w:r>
          </w:p>
        </w:tc>
      </w:tr>
      <w:tr w:rsidR="00AF117A" w14:paraId="33667904" w14:textId="77777777" w:rsidTr="00B33DCE">
        <w:tc>
          <w:tcPr>
            <w:tcW w:w="2171" w:type="dxa"/>
          </w:tcPr>
          <w:p w14:paraId="2358C6AD" w14:textId="77777777" w:rsidR="00AF117A" w:rsidRDefault="00AF117A" w:rsidP="0068315E">
            <w:pPr>
              <w:spacing w:line="240" w:lineRule="auto"/>
            </w:pPr>
            <w:r>
              <w:t>Overall planning</w:t>
            </w:r>
          </w:p>
        </w:tc>
        <w:tc>
          <w:tcPr>
            <w:tcW w:w="1797" w:type="dxa"/>
          </w:tcPr>
          <w:p w14:paraId="1FCAA69A" w14:textId="77777777" w:rsidR="00AF117A" w:rsidRDefault="00AF117A" w:rsidP="0068315E">
            <w:pPr>
              <w:spacing w:line="240" w:lineRule="auto"/>
            </w:pPr>
            <w:r>
              <w:t>4 weken na gunning</w:t>
            </w:r>
          </w:p>
        </w:tc>
        <w:tc>
          <w:tcPr>
            <w:tcW w:w="1385" w:type="dxa"/>
          </w:tcPr>
          <w:p w14:paraId="3C662DEC" w14:textId="77777777" w:rsidR="00AF117A" w:rsidRDefault="00AF117A" w:rsidP="0068315E">
            <w:pPr>
              <w:spacing w:line="240" w:lineRule="auto"/>
            </w:pPr>
            <w:r>
              <w:t>2</w:t>
            </w:r>
          </w:p>
        </w:tc>
        <w:tc>
          <w:tcPr>
            <w:tcW w:w="1985" w:type="dxa"/>
          </w:tcPr>
          <w:p w14:paraId="36FC979E" w14:textId="77777777" w:rsidR="00AF117A" w:rsidRDefault="00AF117A" w:rsidP="0068315E">
            <w:pPr>
              <w:spacing w:line="240" w:lineRule="auto"/>
            </w:pPr>
            <w:r>
              <w:t>10</w:t>
            </w:r>
          </w:p>
        </w:tc>
        <w:tc>
          <w:tcPr>
            <w:tcW w:w="1792" w:type="dxa"/>
          </w:tcPr>
          <w:p w14:paraId="13515CEC" w14:textId="40F4174D" w:rsidR="00AF117A" w:rsidRDefault="00AF117A" w:rsidP="00AF117A">
            <w:pPr>
              <w:spacing w:line="240" w:lineRule="auto"/>
            </w:pPr>
            <w:r>
              <w:t xml:space="preserve">Vraagspecificatie </w:t>
            </w:r>
            <w:r w:rsidR="000A7B5F">
              <w:t>proces 6.6.2</w:t>
            </w:r>
          </w:p>
        </w:tc>
      </w:tr>
      <w:tr w:rsidR="00AF117A" w14:paraId="22616A13" w14:textId="77777777" w:rsidTr="00B33DCE">
        <w:tc>
          <w:tcPr>
            <w:tcW w:w="2171" w:type="dxa"/>
          </w:tcPr>
          <w:p w14:paraId="7D3D5987" w14:textId="77777777" w:rsidR="00AF117A" w:rsidRDefault="00AF117A" w:rsidP="0068315E">
            <w:pPr>
              <w:spacing w:line="240" w:lineRule="auto"/>
            </w:pPr>
            <w:r>
              <w:t>Termijnstaat</w:t>
            </w:r>
          </w:p>
        </w:tc>
        <w:tc>
          <w:tcPr>
            <w:tcW w:w="1797" w:type="dxa"/>
          </w:tcPr>
          <w:p w14:paraId="35A09065" w14:textId="77777777" w:rsidR="00AF117A" w:rsidRDefault="00AF117A" w:rsidP="0068315E">
            <w:pPr>
              <w:spacing w:line="240" w:lineRule="auto"/>
            </w:pPr>
            <w:r>
              <w:t>Volgend uit planning ON</w:t>
            </w:r>
          </w:p>
        </w:tc>
        <w:tc>
          <w:tcPr>
            <w:tcW w:w="1385" w:type="dxa"/>
          </w:tcPr>
          <w:p w14:paraId="6BD0525F" w14:textId="77777777" w:rsidR="00AF117A" w:rsidRDefault="00AF117A" w:rsidP="0068315E">
            <w:pPr>
              <w:spacing w:line="240" w:lineRule="auto"/>
            </w:pPr>
            <w:r>
              <w:t>2</w:t>
            </w:r>
          </w:p>
        </w:tc>
        <w:tc>
          <w:tcPr>
            <w:tcW w:w="1985" w:type="dxa"/>
          </w:tcPr>
          <w:p w14:paraId="31F504FE" w14:textId="77777777" w:rsidR="00AF117A" w:rsidRDefault="00AF117A" w:rsidP="0068315E">
            <w:pPr>
              <w:spacing w:line="240" w:lineRule="auto"/>
            </w:pPr>
            <w:r>
              <w:t>10</w:t>
            </w:r>
          </w:p>
        </w:tc>
        <w:tc>
          <w:tcPr>
            <w:tcW w:w="1792" w:type="dxa"/>
          </w:tcPr>
          <w:p w14:paraId="1FCD4F21" w14:textId="58D4961C" w:rsidR="00AF117A" w:rsidRDefault="00AF117A" w:rsidP="00AF117A">
            <w:pPr>
              <w:spacing w:line="240" w:lineRule="auto"/>
            </w:pPr>
            <w:r>
              <w:t>Vraagspecificatie</w:t>
            </w:r>
            <w:r w:rsidR="000A7B5F">
              <w:t xml:space="preserve"> proces </w:t>
            </w:r>
            <w:r>
              <w:t xml:space="preserve"> </w:t>
            </w:r>
            <w:r w:rsidR="000A7B5F">
              <w:t>6.6.4</w:t>
            </w:r>
          </w:p>
        </w:tc>
      </w:tr>
      <w:tr w:rsidR="00AF117A" w:rsidRPr="004F63B6" w14:paraId="40FF119D" w14:textId="77777777" w:rsidTr="00B33DCE">
        <w:tc>
          <w:tcPr>
            <w:tcW w:w="9130" w:type="dxa"/>
            <w:gridSpan w:val="5"/>
          </w:tcPr>
          <w:p w14:paraId="0E2F2084" w14:textId="77777777" w:rsidR="00AF117A" w:rsidRPr="004F63B6" w:rsidRDefault="00AF117A" w:rsidP="0068315E">
            <w:pPr>
              <w:spacing w:line="240" w:lineRule="auto"/>
              <w:rPr>
                <w:b/>
              </w:rPr>
            </w:pPr>
            <w:r w:rsidRPr="004F63B6">
              <w:rPr>
                <w:b/>
              </w:rPr>
              <w:t>Projectondersteuning</w:t>
            </w:r>
          </w:p>
        </w:tc>
      </w:tr>
      <w:tr w:rsidR="00AF117A" w14:paraId="378DC1C1" w14:textId="77777777" w:rsidTr="00B33DCE">
        <w:tc>
          <w:tcPr>
            <w:tcW w:w="2171" w:type="dxa"/>
          </w:tcPr>
          <w:p w14:paraId="14538D94" w14:textId="77777777" w:rsidR="00AF117A" w:rsidRDefault="00AF117A" w:rsidP="0068315E">
            <w:pPr>
              <w:spacing w:line="240" w:lineRule="auto"/>
            </w:pPr>
            <w:r>
              <w:t>V&amp;G-plan</w:t>
            </w:r>
          </w:p>
        </w:tc>
        <w:tc>
          <w:tcPr>
            <w:tcW w:w="1797" w:type="dxa"/>
          </w:tcPr>
          <w:p w14:paraId="646B1C90" w14:textId="77777777" w:rsidR="00AF117A" w:rsidRDefault="00AF117A" w:rsidP="0068315E">
            <w:pPr>
              <w:spacing w:line="240" w:lineRule="auto"/>
            </w:pPr>
            <w:r>
              <w:t>4 weken voor aanvang Werk</w:t>
            </w:r>
          </w:p>
        </w:tc>
        <w:tc>
          <w:tcPr>
            <w:tcW w:w="1385" w:type="dxa"/>
          </w:tcPr>
          <w:p w14:paraId="7C33AA2F" w14:textId="77777777" w:rsidR="00AF117A" w:rsidRDefault="00AF117A" w:rsidP="0068315E">
            <w:pPr>
              <w:spacing w:line="240" w:lineRule="auto"/>
            </w:pPr>
            <w:r>
              <w:t>2</w:t>
            </w:r>
          </w:p>
        </w:tc>
        <w:tc>
          <w:tcPr>
            <w:tcW w:w="1985" w:type="dxa"/>
          </w:tcPr>
          <w:p w14:paraId="6514C02A" w14:textId="77777777" w:rsidR="00AF117A" w:rsidRDefault="00AF117A" w:rsidP="0068315E">
            <w:pPr>
              <w:spacing w:line="240" w:lineRule="auto"/>
            </w:pPr>
            <w:r>
              <w:t>10</w:t>
            </w:r>
          </w:p>
        </w:tc>
        <w:tc>
          <w:tcPr>
            <w:tcW w:w="1792" w:type="dxa"/>
          </w:tcPr>
          <w:p w14:paraId="681CE518" w14:textId="5174FE74" w:rsidR="00AF117A" w:rsidRDefault="00AF117A" w:rsidP="00AF117A">
            <w:pPr>
              <w:spacing w:line="240" w:lineRule="auto"/>
            </w:pPr>
            <w:r>
              <w:t xml:space="preserve">Vraagspecificatie </w:t>
            </w:r>
            <w:r w:rsidR="000A7B5F">
              <w:t>proces 6.7.2</w:t>
            </w:r>
          </w:p>
        </w:tc>
      </w:tr>
    </w:tbl>
    <w:p w14:paraId="544EE280" w14:textId="77777777" w:rsidR="00AF117A" w:rsidRDefault="00AF117A" w:rsidP="00AF117A">
      <w:pPr>
        <w:spacing w:line="240" w:lineRule="auto"/>
      </w:pPr>
      <w:r>
        <w:br w:type="page"/>
      </w:r>
    </w:p>
    <w:p w14:paraId="71543D16" w14:textId="33016A9E" w:rsidR="00AF117A" w:rsidRDefault="00AF117A" w:rsidP="00AF117A">
      <w:pPr>
        <w:pStyle w:val="Kop1"/>
        <w:numPr>
          <w:ilvl w:val="0"/>
          <w:numId w:val="0"/>
        </w:numPr>
      </w:pPr>
      <w:bookmarkStart w:id="5" w:name="_Toc360780677"/>
      <w:r>
        <w:lastRenderedPageBreak/>
        <w:t>Annex IV. Toetsingsplan Ontwerpwerkzaamheden</w:t>
      </w:r>
      <w:bookmarkEnd w:id="5"/>
      <w:r>
        <w:t xml:space="preserve"> </w:t>
      </w:r>
      <w:r w:rsidR="000A7B5F">
        <w:t>Vervangingen</w:t>
      </w:r>
      <w:r>
        <w:t xml:space="preserve"> </w:t>
      </w:r>
    </w:p>
    <w:p w14:paraId="47B8671C" w14:textId="77777777" w:rsidR="00AF117A" w:rsidRDefault="00AF117A" w:rsidP="00AF117A">
      <w:pPr>
        <w:spacing w:line="240" w:lineRule="auto"/>
      </w:pPr>
    </w:p>
    <w:p w14:paraId="0858693A" w14:textId="77777777" w:rsidR="00AF117A" w:rsidRDefault="00AF117A" w:rsidP="00AF117A">
      <w:pPr>
        <w:spacing w:line="240" w:lineRule="auto"/>
      </w:pPr>
    </w:p>
    <w:p w14:paraId="42C9978F" w14:textId="77777777" w:rsidR="00AF117A" w:rsidRDefault="00AF117A" w:rsidP="00AF117A">
      <w:pPr>
        <w:spacing w:line="240" w:lineRule="auto"/>
      </w:pPr>
    </w:p>
    <w:tbl>
      <w:tblPr>
        <w:tblStyle w:val="Tabelraster"/>
        <w:tblW w:w="9130" w:type="dxa"/>
        <w:tblLayout w:type="fixed"/>
        <w:tblLook w:val="04A0" w:firstRow="1" w:lastRow="0" w:firstColumn="1" w:lastColumn="0" w:noHBand="0" w:noVBand="1"/>
      </w:tblPr>
      <w:tblGrid>
        <w:gridCol w:w="2171"/>
        <w:gridCol w:w="1797"/>
        <w:gridCol w:w="1385"/>
        <w:gridCol w:w="1985"/>
        <w:gridCol w:w="1792"/>
      </w:tblGrid>
      <w:tr w:rsidR="00AF117A" w:rsidRPr="004F63B6" w14:paraId="4D70DD90" w14:textId="77777777" w:rsidTr="000A7B5F">
        <w:trPr>
          <w:cnfStyle w:val="100000000000" w:firstRow="1" w:lastRow="0" w:firstColumn="0" w:lastColumn="0" w:oddVBand="0" w:evenVBand="0" w:oddHBand="0" w:evenHBand="0" w:firstRowFirstColumn="0" w:firstRowLastColumn="0" w:lastRowFirstColumn="0" w:lastRowLastColumn="0"/>
        </w:trPr>
        <w:tc>
          <w:tcPr>
            <w:tcW w:w="2171" w:type="dxa"/>
          </w:tcPr>
          <w:p w14:paraId="4AC81959" w14:textId="77777777" w:rsidR="00AF117A" w:rsidRPr="004F63B6" w:rsidRDefault="00AF117A" w:rsidP="0068315E">
            <w:pPr>
              <w:spacing w:line="240" w:lineRule="auto"/>
              <w:rPr>
                <w:b w:val="0"/>
              </w:rPr>
            </w:pPr>
            <w:bookmarkStart w:id="6" w:name="_Toc360780678"/>
            <w:r w:rsidRPr="004F63B6">
              <w:t>Document(en) ter acceptatie</w:t>
            </w:r>
          </w:p>
        </w:tc>
        <w:tc>
          <w:tcPr>
            <w:tcW w:w="1797" w:type="dxa"/>
          </w:tcPr>
          <w:p w14:paraId="79814159" w14:textId="77777777" w:rsidR="00AF117A" w:rsidRPr="004F63B6" w:rsidRDefault="00AF117A" w:rsidP="0068315E">
            <w:pPr>
              <w:spacing w:line="240" w:lineRule="auto"/>
              <w:rPr>
                <w:b w:val="0"/>
              </w:rPr>
            </w:pPr>
            <w:r w:rsidRPr="004F63B6">
              <w:t>Uiterlijk indienen voor aanvang werkzaamheden (dagen)</w:t>
            </w:r>
          </w:p>
        </w:tc>
        <w:tc>
          <w:tcPr>
            <w:tcW w:w="1385" w:type="dxa"/>
          </w:tcPr>
          <w:p w14:paraId="6EB4E140" w14:textId="77777777" w:rsidR="00AF117A" w:rsidRPr="004F63B6" w:rsidRDefault="00AF117A" w:rsidP="0068315E">
            <w:pPr>
              <w:spacing w:line="240" w:lineRule="auto"/>
              <w:rPr>
                <w:b w:val="0"/>
              </w:rPr>
            </w:pPr>
            <w:r w:rsidRPr="004F63B6">
              <w:t>Aantal exemplaren</w:t>
            </w:r>
          </w:p>
        </w:tc>
        <w:tc>
          <w:tcPr>
            <w:tcW w:w="1985" w:type="dxa"/>
          </w:tcPr>
          <w:p w14:paraId="2C324013" w14:textId="77777777" w:rsidR="00AF117A" w:rsidRPr="004F63B6" w:rsidRDefault="00AF117A" w:rsidP="0068315E">
            <w:pPr>
              <w:spacing w:line="240" w:lineRule="auto"/>
              <w:rPr>
                <w:b w:val="0"/>
              </w:rPr>
            </w:pPr>
            <w:r w:rsidRPr="004F63B6">
              <w:t>Acceptatietermijn (werkdagen)</w:t>
            </w:r>
          </w:p>
        </w:tc>
        <w:tc>
          <w:tcPr>
            <w:tcW w:w="1792" w:type="dxa"/>
          </w:tcPr>
          <w:p w14:paraId="1ED0DB11" w14:textId="77777777" w:rsidR="00AF117A" w:rsidRPr="004F63B6" w:rsidRDefault="00AF117A" w:rsidP="0068315E">
            <w:pPr>
              <w:spacing w:line="240" w:lineRule="auto"/>
              <w:rPr>
                <w:b w:val="0"/>
              </w:rPr>
            </w:pPr>
            <w:r w:rsidRPr="004F63B6">
              <w:t>Eisen</w:t>
            </w:r>
          </w:p>
        </w:tc>
      </w:tr>
      <w:tr w:rsidR="00AF117A" w14:paraId="164D693D" w14:textId="77777777" w:rsidTr="000A7B5F">
        <w:tc>
          <w:tcPr>
            <w:tcW w:w="9130" w:type="dxa"/>
            <w:gridSpan w:val="5"/>
          </w:tcPr>
          <w:p w14:paraId="7DF0B49A" w14:textId="77777777" w:rsidR="00AF117A" w:rsidRPr="004F63B6" w:rsidRDefault="00AF117A" w:rsidP="0068315E">
            <w:pPr>
              <w:spacing w:line="240" w:lineRule="auto"/>
              <w:rPr>
                <w:b/>
              </w:rPr>
            </w:pPr>
            <w:r>
              <w:rPr>
                <w:b/>
              </w:rPr>
              <w:t>Projectmanagement</w:t>
            </w:r>
          </w:p>
        </w:tc>
      </w:tr>
      <w:tr w:rsidR="00AF117A" w14:paraId="519F4538" w14:textId="77777777" w:rsidTr="000A7B5F">
        <w:tc>
          <w:tcPr>
            <w:tcW w:w="2171" w:type="dxa"/>
          </w:tcPr>
          <w:p w14:paraId="32CB1537" w14:textId="77777777" w:rsidR="00AF117A" w:rsidRDefault="00AF117A" w:rsidP="0068315E">
            <w:pPr>
              <w:spacing w:line="240" w:lineRule="auto"/>
            </w:pPr>
            <w:r>
              <w:t xml:space="preserve">Deel projectmanagementplan </w:t>
            </w:r>
          </w:p>
        </w:tc>
        <w:tc>
          <w:tcPr>
            <w:tcW w:w="1797" w:type="dxa"/>
          </w:tcPr>
          <w:p w14:paraId="33F9A078" w14:textId="77777777" w:rsidR="00AF117A" w:rsidRDefault="00AF117A" w:rsidP="0068315E">
            <w:pPr>
              <w:spacing w:line="240" w:lineRule="auto"/>
            </w:pPr>
            <w:r>
              <w:t>4 weken voor gunning en iedere 2 jaar 4 weken voor aanvang kalenderjaar</w:t>
            </w:r>
          </w:p>
        </w:tc>
        <w:tc>
          <w:tcPr>
            <w:tcW w:w="1385" w:type="dxa"/>
          </w:tcPr>
          <w:p w14:paraId="0A8DEBFF" w14:textId="77777777" w:rsidR="00AF117A" w:rsidRDefault="00AF117A" w:rsidP="0068315E">
            <w:pPr>
              <w:spacing w:line="240" w:lineRule="auto"/>
            </w:pPr>
            <w:r>
              <w:t>2</w:t>
            </w:r>
          </w:p>
        </w:tc>
        <w:tc>
          <w:tcPr>
            <w:tcW w:w="1985" w:type="dxa"/>
          </w:tcPr>
          <w:p w14:paraId="01A3454C" w14:textId="77777777" w:rsidR="00AF117A" w:rsidRDefault="00AF117A" w:rsidP="0068315E">
            <w:pPr>
              <w:spacing w:line="240" w:lineRule="auto"/>
            </w:pPr>
            <w:r>
              <w:t>10</w:t>
            </w:r>
          </w:p>
        </w:tc>
        <w:tc>
          <w:tcPr>
            <w:tcW w:w="1792" w:type="dxa"/>
          </w:tcPr>
          <w:p w14:paraId="6FA615CD" w14:textId="77777777" w:rsidR="00AF117A" w:rsidRDefault="00AF117A" w:rsidP="00AF117A">
            <w:pPr>
              <w:spacing w:line="240" w:lineRule="auto"/>
            </w:pPr>
            <w:r>
              <w:t xml:space="preserve">Vraagspecificatie </w:t>
            </w:r>
          </w:p>
        </w:tc>
      </w:tr>
      <w:tr w:rsidR="00AF117A" w14:paraId="42DD6EA4" w14:textId="77777777" w:rsidTr="000A7B5F">
        <w:tc>
          <w:tcPr>
            <w:tcW w:w="9130" w:type="dxa"/>
            <w:gridSpan w:val="5"/>
          </w:tcPr>
          <w:p w14:paraId="662F625D" w14:textId="77777777" w:rsidR="00AF117A" w:rsidRPr="004F63B6" w:rsidRDefault="00AF117A" w:rsidP="0068315E">
            <w:pPr>
              <w:spacing w:line="240" w:lineRule="auto"/>
              <w:rPr>
                <w:b/>
              </w:rPr>
            </w:pPr>
            <w:r>
              <w:rPr>
                <w:b/>
              </w:rPr>
              <w:t>Technisch management</w:t>
            </w:r>
          </w:p>
        </w:tc>
      </w:tr>
      <w:tr w:rsidR="00AF117A" w14:paraId="036E1994" w14:textId="77777777" w:rsidTr="000A7B5F">
        <w:tc>
          <w:tcPr>
            <w:tcW w:w="2171" w:type="dxa"/>
          </w:tcPr>
          <w:p w14:paraId="43EA4FC9" w14:textId="77777777" w:rsidR="00AF117A" w:rsidRDefault="00AF117A" w:rsidP="00AF117A">
            <w:pPr>
              <w:spacing w:line="240" w:lineRule="auto"/>
            </w:pPr>
            <w:r>
              <w:t>Definitief ontwerp Bijvanck</w:t>
            </w:r>
          </w:p>
        </w:tc>
        <w:tc>
          <w:tcPr>
            <w:tcW w:w="1797" w:type="dxa"/>
          </w:tcPr>
          <w:p w14:paraId="0F03B36E" w14:textId="77777777" w:rsidR="00AF117A" w:rsidRDefault="00AF117A" w:rsidP="0068315E">
            <w:pPr>
              <w:spacing w:line="240" w:lineRule="auto"/>
            </w:pPr>
            <w:r>
              <w:t>4 weken voor realisatie</w:t>
            </w:r>
          </w:p>
        </w:tc>
        <w:tc>
          <w:tcPr>
            <w:tcW w:w="1385" w:type="dxa"/>
          </w:tcPr>
          <w:p w14:paraId="1C073B89" w14:textId="77777777" w:rsidR="00AF117A" w:rsidRDefault="00AF117A" w:rsidP="0068315E">
            <w:pPr>
              <w:spacing w:line="240" w:lineRule="auto"/>
            </w:pPr>
            <w:r>
              <w:t>2</w:t>
            </w:r>
          </w:p>
        </w:tc>
        <w:tc>
          <w:tcPr>
            <w:tcW w:w="1985" w:type="dxa"/>
          </w:tcPr>
          <w:p w14:paraId="5C83AF90" w14:textId="4E4ECB3D" w:rsidR="00AF117A" w:rsidRDefault="00C329CF" w:rsidP="0068315E">
            <w:pPr>
              <w:spacing w:line="240" w:lineRule="auto"/>
            </w:pPr>
            <w:r>
              <w:t>15</w:t>
            </w:r>
          </w:p>
        </w:tc>
        <w:tc>
          <w:tcPr>
            <w:tcW w:w="1792" w:type="dxa"/>
          </w:tcPr>
          <w:p w14:paraId="42F31B60" w14:textId="77777777" w:rsidR="00AF117A" w:rsidRDefault="00AF117A" w:rsidP="00AF117A">
            <w:pPr>
              <w:spacing w:line="240" w:lineRule="auto"/>
            </w:pPr>
            <w:r>
              <w:t xml:space="preserve">Vraagspecificatie </w:t>
            </w:r>
          </w:p>
        </w:tc>
      </w:tr>
      <w:tr w:rsidR="007A6468" w14:paraId="6BAB633E" w14:textId="77777777" w:rsidTr="000A7B5F">
        <w:tc>
          <w:tcPr>
            <w:tcW w:w="2171" w:type="dxa"/>
          </w:tcPr>
          <w:p w14:paraId="69E2EE8D" w14:textId="1FC90FB4" w:rsidR="007A6468" w:rsidRDefault="007A6468" w:rsidP="00AF117A">
            <w:pPr>
              <w:spacing w:line="240" w:lineRule="auto"/>
            </w:pPr>
            <w:r>
              <w:t>Definitief ontwerp vervanging gemeente Laren</w:t>
            </w:r>
            <w:r w:rsidR="00C329CF">
              <w:t xml:space="preserve"> per straat</w:t>
            </w:r>
          </w:p>
        </w:tc>
        <w:tc>
          <w:tcPr>
            <w:tcW w:w="1797" w:type="dxa"/>
          </w:tcPr>
          <w:p w14:paraId="41E68717" w14:textId="6CFF65A6" w:rsidR="007A6468" w:rsidRDefault="00C329CF" w:rsidP="0068315E">
            <w:pPr>
              <w:spacing w:line="240" w:lineRule="auto"/>
            </w:pPr>
            <w:r>
              <w:t>4 weken voor realisatie</w:t>
            </w:r>
          </w:p>
        </w:tc>
        <w:tc>
          <w:tcPr>
            <w:tcW w:w="1385" w:type="dxa"/>
          </w:tcPr>
          <w:p w14:paraId="43D95E76" w14:textId="1CEB7C3B" w:rsidR="007A6468" w:rsidRDefault="00C329CF" w:rsidP="0068315E">
            <w:pPr>
              <w:spacing w:line="240" w:lineRule="auto"/>
            </w:pPr>
            <w:r>
              <w:t>2</w:t>
            </w:r>
          </w:p>
        </w:tc>
        <w:tc>
          <w:tcPr>
            <w:tcW w:w="1985" w:type="dxa"/>
          </w:tcPr>
          <w:p w14:paraId="0509BE4C" w14:textId="52F8F4FB" w:rsidR="007A6468" w:rsidRDefault="00C329CF" w:rsidP="0068315E">
            <w:pPr>
              <w:spacing w:line="240" w:lineRule="auto"/>
            </w:pPr>
            <w:r>
              <w:t>15</w:t>
            </w:r>
          </w:p>
        </w:tc>
        <w:tc>
          <w:tcPr>
            <w:tcW w:w="1792" w:type="dxa"/>
          </w:tcPr>
          <w:p w14:paraId="61D60C86" w14:textId="391A2CDE" w:rsidR="007A6468" w:rsidRDefault="00C329CF" w:rsidP="00AF117A">
            <w:pPr>
              <w:spacing w:line="240" w:lineRule="auto"/>
            </w:pPr>
            <w:r>
              <w:t>Vraagspecificatie</w:t>
            </w:r>
          </w:p>
        </w:tc>
      </w:tr>
      <w:tr w:rsidR="00AF117A" w14:paraId="4728B9C4" w14:textId="77777777" w:rsidTr="000A7B5F">
        <w:tc>
          <w:tcPr>
            <w:tcW w:w="2171" w:type="dxa"/>
          </w:tcPr>
          <w:p w14:paraId="31D8053A" w14:textId="77777777" w:rsidR="00AF117A" w:rsidRDefault="00AF117A" w:rsidP="0068315E">
            <w:pPr>
              <w:spacing w:line="240" w:lineRule="auto"/>
            </w:pPr>
            <w:r>
              <w:t>Testplan OV</w:t>
            </w:r>
            <w:r w:rsidR="00E67792">
              <w:t>L</w:t>
            </w:r>
            <w:r>
              <w:t xml:space="preserve"> </w:t>
            </w:r>
            <w:r w:rsidR="00E67792">
              <w:t>management</w:t>
            </w:r>
          </w:p>
        </w:tc>
        <w:tc>
          <w:tcPr>
            <w:tcW w:w="1797" w:type="dxa"/>
          </w:tcPr>
          <w:p w14:paraId="474D6054" w14:textId="77777777" w:rsidR="00AF117A" w:rsidRDefault="00AF117A" w:rsidP="0068315E">
            <w:pPr>
              <w:spacing w:line="240" w:lineRule="auto"/>
            </w:pPr>
            <w:r>
              <w:t>4 weken voor realisatie</w:t>
            </w:r>
          </w:p>
        </w:tc>
        <w:tc>
          <w:tcPr>
            <w:tcW w:w="1385" w:type="dxa"/>
          </w:tcPr>
          <w:p w14:paraId="7E7563AF" w14:textId="77777777" w:rsidR="00AF117A" w:rsidRDefault="00AF117A" w:rsidP="0068315E">
            <w:pPr>
              <w:spacing w:line="240" w:lineRule="auto"/>
            </w:pPr>
            <w:r>
              <w:t>1</w:t>
            </w:r>
          </w:p>
        </w:tc>
        <w:tc>
          <w:tcPr>
            <w:tcW w:w="1985" w:type="dxa"/>
          </w:tcPr>
          <w:p w14:paraId="787E235C" w14:textId="77777777" w:rsidR="00AF117A" w:rsidRDefault="00AF117A" w:rsidP="0068315E">
            <w:pPr>
              <w:spacing w:line="240" w:lineRule="auto"/>
            </w:pPr>
            <w:r>
              <w:t>10</w:t>
            </w:r>
          </w:p>
        </w:tc>
        <w:tc>
          <w:tcPr>
            <w:tcW w:w="1792" w:type="dxa"/>
          </w:tcPr>
          <w:p w14:paraId="1A1F8B1E" w14:textId="77777777" w:rsidR="00AF117A" w:rsidRDefault="00AF117A" w:rsidP="00AF117A">
            <w:pPr>
              <w:spacing w:line="240" w:lineRule="auto"/>
            </w:pPr>
            <w:r>
              <w:t xml:space="preserve">Vraagspecificatie </w:t>
            </w:r>
          </w:p>
        </w:tc>
      </w:tr>
    </w:tbl>
    <w:p w14:paraId="079D10A7" w14:textId="77777777" w:rsidR="00AF117A" w:rsidRDefault="00AF117A" w:rsidP="00AF117A">
      <w:pPr>
        <w:pStyle w:val="Kop1"/>
        <w:numPr>
          <w:ilvl w:val="0"/>
          <w:numId w:val="0"/>
        </w:numPr>
      </w:pPr>
      <w:r>
        <w:lastRenderedPageBreak/>
        <w:t>Annex V. Vrijkomende materialen</w:t>
      </w:r>
      <w:bookmarkEnd w:id="6"/>
    </w:p>
    <w:p w14:paraId="2F94875F" w14:textId="77777777" w:rsidR="00AF117A" w:rsidRDefault="00AF117A" w:rsidP="00AF117A"/>
    <w:p w14:paraId="701A23E5" w14:textId="6E2C428E"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 xml:space="preserve">Deze annex V Vrijkomende materialen dient gelezen te worden in samenhang met de bepalingen over vrijkomende materialen in Vraagspecificatie </w:t>
      </w:r>
      <w:r w:rsidR="009152B9">
        <w:rPr>
          <w:rFonts w:cs="Verdana"/>
          <w:lang w:eastAsia="nl-NL"/>
        </w:rPr>
        <w:t xml:space="preserve">Proces </w:t>
      </w:r>
      <w:r w:rsidR="00E67792">
        <w:rPr>
          <w:rFonts w:cs="Verdana"/>
          <w:lang w:eastAsia="nl-NL"/>
        </w:rPr>
        <w:t>hoofdstuk 5</w:t>
      </w:r>
      <w:r w:rsidR="009152B9">
        <w:rPr>
          <w:rFonts w:cs="Verdana"/>
          <w:lang w:eastAsia="nl-NL"/>
        </w:rPr>
        <w:t xml:space="preserve"> paragraaf 5.5</w:t>
      </w:r>
      <w:r w:rsidRPr="00B01555">
        <w:rPr>
          <w:rFonts w:cs="Verdana"/>
          <w:lang w:eastAsia="nl-NL"/>
        </w:rPr>
        <w:t>.</w:t>
      </w:r>
    </w:p>
    <w:p w14:paraId="35E006F9" w14:textId="77777777" w:rsidR="00AF117A" w:rsidRDefault="00AF117A" w:rsidP="00AF117A">
      <w:pPr>
        <w:autoSpaceDE w:val="0"/>
        <w:autoSpaceDN w:val="0"/>
        <w:adjustRightInd w:val="0"/>
        <w:spacing w:line="240" w:lineRule="auto"/>
        <w:rPr>
          <w:rFonts w:cs="Verdana"/>
          <w:lang w:eastAsia="nl-NL"/>
        </w:rPr>
      </w:pPr>
    </w:p>
    <w:p w14:paraId="5F99D884" w14:textId="77777777" w:rsidR="004F4D21" w:rsidRPr="004F4D21" w:rsidRDefault="004F4D21" w:rsidP="004F4D21">
      <w:pPr>
        <w:autoSpaceDE w:val="0"/>
        <w:autoSpaceDN w:val="0"/>
        <w:adjustRightInd w:val="0"/>
        <w:spacing w:line="240" w:lineRule="auto"/>
        <w:rPr>
          <w:rFonts w:cs="Verdana"/>
          <w:b/>
          <w:lang w:eastAsia="nl-NL"/>
        </w:rPr>
      </w:pPr>
      <w:r w:rsidRPr="004F4D21">
        <w:rPr>
          <w:rFonts w:cs="Verdana"/>
          <w:b/>
          <w:lang w:eastAsia="nl-NL"/>
        </w:rPr>
        <w:t>Artikel 1 - Vrijkomende materialen</w:t>
      </w:r>
    </w:p>
    <w:p w14:paraId="2C14270E" w14:textId="77777777" w:rsidR="004F4D21" w:rsidRPr="004F4D21" w:rsidRDefault="004F4D21" w:rsidP="004F4D21">
      <w:pPr>
        <w:numPr>
          <w:ilvl w:val="0"/>
          <w:numId w:val="38"/>
        </w:numPr>
        <w:autoSpaceDE w:val="0"/>
        <w:autoSpaceDN w:val="0"/>
        <w:adjustRightInd w:val="0"/>
        <w:spacing w:line="240" w:lineRule="auto"/>
        <w:rPr>
          <w:rFonts w:cs="Verdana"/>
          <w:lang w:eastAsia="nl-NL"/>
        </w:rPr>
      </w:pPr>
      <w:r w:rsidRPr="004F4D21">
        <w:rPr>
          <w:rFonts w:cs="Verdana"/>
          <w:lang w:eastAsia="nl-NL"/>
        </w:rPr>
        <w:t>Onder vrijkomende materialen worden verstaan alle materialen die bij het verrichten van Werkzaamheden uit hun uitgangspositie worden verplaatst (bijvoorbeeld door ontgraven, breken, slopen, frezen, opnemen enz.). Ook vrijkomende grond en baggerspecie wordt beschouwd als vrijkomend materiaal.</w:t>
      </w:r>
    </w:p>
    <w:p w14:paraId="1C2B1B88" w14:textId="77777777" w:rsidR="004F4D21" w:rsidRPr="004F4D21" w:rsidRDefault="004F4D21" w:rsidP="004F4D21">
      <w:pPr>
        <w:autoSpaceDE w:val="0"/>
        <w:autoSpaceDN w:val="0"/>
        <w:adjustRightInd w:val="0"/>
        <w:spacing w:line="240" w:lineRule="auto"/>
        <w:rPr>
          <w:rFonts w:cs="Verdana"/>
          <w:lang w:eastAsia="nl-NL"/>
        </w:rPr>
      </w:pPr>
    </w:p>
    <w:p w14:paraId="3CCBE2E9" w14:textId="77777777" w:rsidR="004F4D21" w:rsidRPr="004F4D21" w:rsidRDefault="004F4D21" w:rsidP="004F4D21">
      <w:pPr>
        <w:numPr>
          <w:ilvl w:val="0"/>
          <w:numId w:val="38"/>
        </w:numPr>
        <w:autoSpaceDE w:val="0"/>
        <w:autoSpaceDN w:val="0"/>
        <w:adjustRightInd w:val="0"/>
        <w:spacing w:line="240" w:lineRule="auto"/>
        <w:rPr>
          <w:rFonts w:cs="Verdana"/>
          <w:lang w:eastAsia="nl-NL"/>
        </w:rPr>
      </w:pPr>
      <w:r w:rsidRPr="004F4D21">
        <w:rPr>
          <w:rFonts w:cs="Verdana"/>
          <w:lang w:eastAsia="nl-NL"/>
        </w:rPr>
        <w:t>Vrijkomende materialen dienen zoveel mogelijk nuttig binnen het Werk, dan wel elders te worden toegepast.</w:t>
      </w:r>
    </w:p>
    <w:p w14:paraId="74CCC874" w14:textId="77777777" w:rsidR="004F4D21" w:rsidRPr="004F4D21" w:rsidRDefault="004F4D21" w:rsidP="004F4D21">
      <w:pPr>
        <w:autoSpaceDE w:val="0"/>
        <w:autoSpaceDN w:val="0"/>
        <w:adjustRightInd w:val="0"/>
        <w:spacing w:line="240" w:lineRule="auto"/>
        <w:rPr>
          <w:rFonts w:cs="Verdana"/>
          <w:lang w:eastAsia="nl-NL"/>
        </w:rPr>
      </w:pPr>
    </w:p>
    <w:p w14:paraId="6F32F2BD" w14:textId="77777777" w:rsidR="004F4D21" w:rsidRPr="004F4D21" w:rsidRDefault="004F4D21" w:rsidP="004F4D21">
      <w:pPr>
        <w:numPr>
          <w:ilvl w:val="0"/>
          <w:numId w:val="38"/>
        </w:numPr>
        <w:autoSpaceDE w:val="0"/>
        <w:autoSpaceDN w:val="0"/>
        <w:adjustRightInd w:val="0"/>
        <w:spacing w:line="240" w:lineRule="auto"/>
        <w:rPr>
          <w:rFonts w:cs="Verdana"/>
          <w:lang w:eastAsia="nl-NL"/>
        </w:rPr>
      </w:pPr>
      <w:r w:rsidRPr="004F4D21">
        <w:rPr>
          <w:rFonts w:cs="Verdana"/>
          <w:lang w:eastAsia="nl-NL"/>
        </w:rPr>
        <w:t>Vrijkomende materialen die wettelijk niet mogen worden toegepast of in het Werk niet nuttig kunnen worden toegepast, worden, tenzij anders in deze Overeenkomst is vastgelegd, eigendom van de Opdrachtnemer.</w:t>
      </w:r>
    </w:p>
    <w:p w14:paraId="10972C62" w14:textId="77777777" w:rsidR="004F4D21" w:rsidRPr="004F4D21" w:rsidRDefault="004F4D21" w:rsidP="004F4D21">
      <w:pPr>
        <w:autoSpaceDE w:val="0"/>
        <w:autoSpaceDN w:val="0"/>
        <w:adjustRightInd w:val="0"/>
        <w:spacing w:line="240" w:lineRule="auto"/>
        <w:rPr>
          <w:rFonts w:cs="Verdana"/>
          <w:lang w:eastAsia="nl-NL"/>
        </w:rPr>
      </w:pPr>
    </w:p>
    <w:p w14:paraId="128E587D" w14:textId="77777777" w:rsidR="004F4D21" w:rsidRPr="004F4D21" w:rsidRDefault="004F4D21" w:rsidP="004F4D21">
      <w:pPr>
        <w:numPr>
          <w:ilvl w:val="0"/>
          <w:numId w:val="38"/>
        </w:numPr>
        <w:autoSpaceDE w:val="0"/>
        <w:autoSpaceDN w:val="0"/>
        <w:adjustRightInd w:val="0"/>
        <w:spacing w:line="240" w:lineRule="auto"/>
        <w:rPr>
          <w:rFonts w:cs="Verdana"/>
          <w:lang w:eastAsia="nl-NL"/>
        </w:rPr>
      </w:pPr>
      <w:r w:rsidRPr="004F4D21">
        <w:rPr>
          <w:rFonts w:cs="Verdana"/>
          <w:lang w:eastAsia="nl-NL"/>
        </w:rPr>
        <w:t>De vrijkomende materialen die wettelijk niet mogen worden toegepast (gevaarlijke afvalstoffen) dienen, tenzij anders in deze Overeenkomst is vastgelegd, direct van het werkterrein te worden afgevoerd door een erkende vervoerder die voorkomt op de VIHB lijst van nationaal erkende afvalvervoerders.</w:t>
      </w:r>
    </w:p>
    <w:p w14:paraId="79E55F51" w14:textId="77777777" w:rsidR="004F4D21" w:rsidRPr="004F4D21" w:rsidRDefault="004F4D21" w:rsidP="004F4D21">
      <w:pPr>
        <w:autoSpaceDE w:val="0"/>
        <w:autoSpaceDN w:val="0"/>
        <w:adjustRightInd w:val="0"/>
        <w:spacing w:line="240" w:lineRule="auto"/>
        <w:rPr>
          <w:rFonts w:cs="Verdana"/>
          <w:lang w:eastAsia="nl-NL"/>
        </w:rPr>
      </w:pPr>
    </w:p>
    <w:p w14:paraId="6F869132" w14:textId="77777777" w:rsidR="004F4D21" w:rsidRPr="004F4D21" w:rsidRDefault="004F4D21" w:rsidP="004F4D21">
      <w:pPr>
        <w:numPr>
          <w:ilvl w:val="0"/>
          <w:numId w:val="38"/>
        </w:numPr>
        <w:autoSpaceDE w:val="0"/>
        <w:autoSpaceDN w:val="0"/>
        <w:adjustRightInd w:val="0"/>
        <w:spacing w:line="240" w:lineRule="auto"/>
        <w:rPr>
          <w:rFonts w:cs="Verdana"/>
          <w:lang w:eastAsia="nl-NL"/>
        </w:rPr>
      </w:pPr>
      <w:r w:rsidRPr="004F4D21">
        <w:rPr>
          <w:rFonts w:cs="Verdana"/>
          <w:lang w:eastAsia="nl-NL"/>
        </w:rPr>
        <w:t>Op het moment dat de vrijkomende materialen van het werkterrein worden verwijderd worden deze vrijkomende materialen geacht te zijn geleverd aan de Opdrachtnemer ten behoeve van de eigendomsoverdracht daarvan, zoals bedoeld in artikel 3:84 BW.</w:t>
      </w:r>
    </w:p>
    <w:p w14:paraId="187D253A" w14:textId="77777777" w:rsidR="004F4D21" w:rsidRPr="004F4D21" w:rsidRDefault="004F4D21" w:rsidP="004F4D21">
      <w:pPr>
        <w:autoSpaceDE w:val="0"/>
        <w:autoSpaceDN w:val="0"/>
        <w:adjustRightInd w:val="0"/>
        <w:spacing w:line="240" w:lineRule="auto"/>
        <w:rPr>
          <w:rFonts w:cs="Verdana"/>
          <w:lang w:eastAsia="nl-NL"/>
        </w:rPr>
      </w:pPr>
    </w:p>
    <w:p w14:paraId="1409D181" w14:textId="77777777" w:rsidR="004F4D21" w:rsidRPr="004F4D21" w:rsidRDefault="004F4D21" w:rsidP="004F4D21">
      <w:pPr>
        <w:autoSpaceDE w:val="0"/>
        <w:autoSpaceDN w:val="0"/>
        <w:adjustRightInd w:val="0"/>
        <w:spacing w:line="240" w:lineRule="auto"/>
        <w:rPr>
          <w:rFonts w:cs="Verdana"/>
          <w:b/>
          <w:lang w:eastAsia="nl-NL"/>
        </w:rPr>
      </w:pPr>
      <w:r w:rsidRPr="004F4D21">
        <w:rPr>
          <w:rFonts w:cs="Verdana"/>
          <w:b/>
          <w:lang w:eastAsia="nl-NL"/>
        </w:rPr>
        <w:t>Artikel 2 - Uitzonderingen</w:t>
      </w:r>
    </w:p>
    <w:p w14:paraId="57B6F484" w14:textId="77777777" w:rsidR="004F4D21" w:rsidRPr="004F4D21" w:rsidRDefault="004F4D21" w:rsidP="004F4D21">
      <w:pPr>
        <w:numPr>
          <w:ilvl w:val="0"/>
          <w:numId w:val="39"/>
        </w:numPr>
        <w:autoSpaceDE w:val="0"/>
        <w:autoSpaceDN w:val="0"/>
        <w:adjustRightInd w:val="0"/>
        <w:spacing w:line="240" w:lineRule="auto"/>
        <w:rPr>
          <w:rFonts w:cs="Verdana"/>
          <w:lang w:eastAsia="nl-NL"/>
        </w:rPr>
      </w:pPr>
      <w:r w:rsidRPr="004F4D21">
        <w:rPr>
          <w:rFonts w:cs="Verdana"/>
          <w:lang w:eastAsia="nl-NL"/>
        </w:rPr>
        <w:t>De volgende vrijkomende materialen die van het werkterrein worden verwijderd, worden geen eigendom van de Opdrachtnemer:</w:t>
      </w:r>
    </w:p>
    <w:p w14:paraId="20CF3DB4" w14:textId="144BCF92" w:rsidR="004F4D21" w:rsidRPr="004F4D21" w:rsidRDefault="00B55937" w:rsidP="004F4D21">
      <w:pPr>
        <w:numPr>
          <w:ilvl w:val="1"/>
          <w:numId w:val="39"/>
        </w:numPr>
        <w:autoSpaceDE w:val="0"/>
        <w:autoSpaceDN w:val="0"/>
        <w:adjustRightInd w:val="0"/>
        <w:spacing w:line="240" w:lineRule="auto"/>
        <w:rPr>
          <w:rFonts w:cs="Verdana"/>
          <w:lang w:eastAsia="nl-NL"/>
        </w:rPr>
      </w:pPr>
      <w:r>
        <w:rPr>
          <w:rFonts w:cs="Verdana"/>
          <w:lang w:eastAsia="nl-NL"/>
        </w:rPr>
        <w:t>Geen</w:t>
      </w:r>
    </w:p>
    <w:p w14:paraId="2F02AD74" w14:textId="77777777" w:rsidR="004F4D21" w:rsidRPr="004F4D21" w:rsidRDefault="004F4D21" w:rsidP="004F4D21">
      <w:pPr>
        <w:autoSpaceDE w:val="0"/>
        <w:autoSpaceDN w:val="0"/>
        <w:adjustRightInd w:val="0"/>
        <w:spacing w:line="240" w:lineRule="auto"/>
        <w:rPr>
          <w:rFonts w:cs="Verdana"/>
          <w:lang w:eastAsia="nl-NL"/>
        </w:rPr>
      </w:pPr>
    </w:p>
    <w:p w14:paraId="14C50F70" w14:textId="77777777" w:rsidR="004F4D21" w:rsidRPr="004F4D21" w:rsidRDefault="004F4D21" w:rsidP="004F4D21">
      <w:pPr>
        <w:numPr>
          <w:ilvl w:val="0"/>
          <w:numId w:val="39"/>
        </w:numPr>
        <w:autoSpaceDE w:val="0"/>
        <w:autoSpaceDN w:val="0"/>
        <w:adjustRightInd w:val="0"/>
        <w:spacing w:line="240" w:lineRule="auto"/>
        <w:rPr>
          <w:rFonts w:cs="Verdana"/>
          <w:lang w:eastAsia="nl-NL"/>
        </w:rPr>
      </w:pPr>
      <w:r w:rsidRPr="004F4D21">
        <w:rPr>
          <w:rFonts w:cs="Verdana"/>
          <w:lang w:eastAsia="nl-NL"/>
        </w:rPr>
        <w:t>De materialen genoemd onder lid 1 dienen voor rekening van de Opdrachtnemer te worden getransporteerd naar:</w:t>
      </w:r>
    </w:p>
    <w:p w14:paraId="66EDFC6C" w14:textId="4F50D4F4" w:rsidR="004F4D21" w:rsidRPr="004F4D21" w:rsidRDefault="00B55937" w:rsidP="004F4D21">
      <w:pPr>
        <w:numPr>
          <w:ilvl w:val="0"/>
          <w:numId w:val="40"/>
        </w:numPr>
        <w:autoSpaceDE w:val="0"/>
        <w:autoSpaceDN w:val="0"/>
        <w:adjustRightInd w:val="0"/>
        <w:spacing w:line="240" w:lineRule="auto"/>
        <w:rPr>
          <w:rFonts w:cs="Verdana"/>
          <w:lang w:eastAsia="nl-NL"/>
        </w:rPr>
      </w:pPr>
      <w:r>
        <w:rPr>
          <w:rFonts w:cs="Verdana"/>
          <w:lang w:eastAsia="nl-NL"/>
        </w:rPr>
        <w:t>Nvt.</w:t>
      </w:r>
      <w:r w:rsidR="004F4D21" w:rsidRPr="004F4D21">
        <w:rPr>
          <w:rFonts w:cs="Verdana"/>
          <w:lang w:eastAsia="nl-NL"/>
        </w:rPr>
        <w:t>.</w:t>
      </w:r>
    </w:p>
    <w:p w14:paraId="296030F1" w14:textId="77777777" w:rsidR="004F4D21" w:rsidRDefault="004F4D21" w:rsidP="00AF117A">
      <w:pPr>
        <w:autoSpaceDE w:val="0"/>
        <w:autoSpaceDN w:val="0"/>
        <w:adjustRightInd w:val="0"/>
        <w:spacing w:line="240" w:lineRule="auto"/>
        <w:rPr>
          <w:rFonts w:cs="Verdana"/>
          <w:lang w:eastAsia="nl-NL"/>
        </w:rPr>
      </w:pPr>
    </w:p>
    <w:p w14:paraId="7948C930" w14:textId="77777777" w:rsidR="00AF117A" w:rsidRPr="00B01555" w:rsidRDefault="00AF117A" w:rsidP="00AF117A">
      <w:pPr>
        <w:spacing w:line="240" w:lineRule="auto"/>
      </w:pPr>
      <w:r w:rsidRPr="00B01555">
        <w:br w:type="page"/>
      </w:r>
    </w:p>
    <w:p w14:paraId="785B25B4" w14:textId="77777777" w:rsidR="00AF117A" w:rsidRDefault="00AF117A" w:rsidP="00AF117A">
      <w:pPr>
        <w:pStyle w:val="Kop1"/>
        <w:numPr>
          <w:ilvl w:val="0"/>
          <w:numId w:val="0"/>
        </w:numPr>
      </w:pPr>
      <w:bookmarkStart w:id="7" w:name="_Toc360780679"/>
      <w:r>
        <w:lastRenderedPageBreak/>
        <w:t>Annex VI. Overzicht werkzaamheden uitgevoerd door neven-opdrachtnemers, alsmede de tijdstippen waarop deze worden uitgevoerd</w:t>
      </w:r>
      <w:bookmarkEnd w:id="7"/>
    </w:p>
    <w:p w14:paraId="5BC2608D" w14:textId="77777777" w:rsidR="00AF117A" w:rsidRDefault="00AF117A" w:rsidP="00AF117A">
      <w:pPr>
        <w:spacing w:line="240" w:lineRule="auto"/>
      </w:pPr>
    </w:p>
    <w:p w14:paraId="4AFEEC4B" w14:textId="77777777" w:rsidR="00AF117A" w:rsidRDefault="00AF117A" w:rsidP="00AF117A">
      <w:pPr>
        <w:spacing w:line="240" w:lineRule="auto"/>
      </w:pPr>
    </w:p>
    <w:p w14:paraId="30BBE8BE" w14:textId="641CF113" w:rsidR="00AF117A" w:rsidRDefault="00572B33" w:rsidP="00AF117A">
      <w:pPr>
        <w:spacing w:line="240" w:lineRule="auto"/>
      </w:pPr>
      <w:r>
        <w:t>In de gemeenten Laren en Blaricum zijn reconstructie van een aantal straten voorzien waarbij gelijktijdig door neven opdrachtnemers de verlichting zal worden vervangen.</w:t>
      </w:r>
      <w:r w:rsidR="000A7B5F">
        <w:t xml:space="preserve"> De namen van de nevenopdrachtnemers zijn nog niet bekend. De aannemer van het Meerjarig Onderhoud is de coördinator.</w:t>
      </w:r>
      <w:r>
        <w:t xml:space="preserve"> </w:t>
      </w:r>
    </w:p>
    <w:p w14:paraId="33DC7F4A" w14:textId="77777777" w:rsidR="00AF117A" w:rsidRDefault="00AF117A" w:rsidP="00AF117A">
      <w:pPr>
        <w:spacing w:line="240" w:lineRule="auto"/>
      </w:pPr>
    </w:p>
    <w:tbl>
      <w:tblPr>
        <w:tblStyle w:val="Tabelraster"/>
        <w:tblW w:w="0" w:type="auto"/>
        <w:tblLook w:val="04A0" w:firstRow="1" w:lastRow="0" w:firstColumn="1" w:lastColumn="0" w:noHBand="0" w:noVBand="1"/>
      </w:tblPr>
      <w:tblGrid>
        <w:gridCol w:w="1706"/>
        <w:gridCol w:w="1975"/>
        <w:gridCol w:w="1975"/>
        <w:gridCol w:w="1975"/>
      </w:tblGrid>
      <w:tr w:rsidR="00572B33" w14:paraId="5FC38827" w14:textId="77777777" w:rsidTr="0068315E">
        <w:trPr>
          <w:cnfStyle w:val="100000000000" w:firstRow="1" w:lastRow="0" w:firstColumn="0" w:lastColumn="0" w:oddVBand="0" w:evenVBand="0" w:oddHBand="0" w:evenHBand="0" w:firstRowFirstColumn="0" w:firstRowLastColumn="0" w:lastRowFirstColumn="0" w:lastRowLastColumn="0"/>
        </w:trPr>
        <w:tc>
          <w:tcPr>
            <w:tcW w:w="1706" w:type="dxa"/>
          </w:tcPr>
          <w:p w14:paraId="2E19BBB5" w14:textId="77777777" w:rsidR="00572B33" w:rsidRDefault="00572B33" w:rsidP="0068315E">
            <w:bookmarkStart w:id="8" w:name="_Toc360780680"/>
            <w:r w:rsidRPr="004C222E">
              <w:t>2016</w:t>
            </w:r>
          </w:p>
        </w:tc>
        <w:tc>
          <w:tcPr>
            <w:tcW w:w="1975" w:type="dxa"/>
          </w:tcPr>
          <w:p w14:paraId="2C42DD5B" w14:textId="77777777" w:rsidR="00572B33" w:rsidRDefault="00572B33" w:rsidP="0068315E">
            <w:r w:rsidRPr="004C222E">
              <w:t>2017</w:t>
            </w:r>
          </w:p>
        </w:tc>
        <w:tc>
          <w:tcPr>
            <w:tcW w:w="1975" w:type="dxa"/>
          </w:tcPr>
          <w:p w14:paraId="1C32B44B" w14:textId="77777777" w:rsidR="00572B33" w:rsidRDefault="00572B33" w:rsidP="0068315E">
            <w:r w:rsidRPr="004C222E">
              <w:t>2018</w:t>
            </w:r>
          </w:p>
        </w:tc>
        <w:tc>
          <w:tcPr>
            <w:tcW w:w="1975" w:type="dxa"/>
          </w:tcPr>
          <w:p w14:paraId="603B589E" w14:textId="77777777" w:rsidR="00572B33" w:rsidRDefault="00572B33" w:rsidP="0068315E">
            <w:r w:rsidRPr="004C222E">
              <w:t>2019</w:t>
            </w:r>
          </w:p>
        </w:tc>
      </w:tr>
      <w:tr w:rsidR="00572B33" w14:paraId="36C8A658" w14:textId="77777777" w:rsidTr="0068315E">
        <w:tc>
          <w:tcPr>
            <w:tcW w:w="1706" w:type="dxa"/>
          </w:tcPr>
          <w:p w14:paraId="6B4B2971" w14:textId="77777777" w:rsidR="00572B33" w:rsidRDefault="00572B33" w:rsidP="0068315E">
            <w:r w:rsidRPr="004C222E">
              <w:t>Teunemijns</w:t>
            </w:r>
          </w:p>
        </w:tc>
        <w:tc>
          <w:tcPr>
            <w:tcW w:w="1975" w:type="dxa"/>
          </w:tcPr>
          <w:p w14:paraId="3D81B5C2" w14:textId="77777777" w:rsidR="00572B33" w:rsidRDefault="00572B33" w:rsidP="0068315E">
            <w:r w:rsidRPr="004C222E">
              <w:t>Houtweg tussen Esseboom en Rijksweg West</w:t>
            </w:r>
          </w:p>
        </w:tc>
        <w:tc>
          <w:tcPr>
            <w:tcW w:w="1975" w:type="dxa"/>
          </w:tcPr>
          <w:p w14:paraId="3426A7EC" w14:textId="77777777" w:rsidR="00572B33" w:rsidRDefault="00572B33" w:rsidP="0068315E">
            <w:r w:rsidRPr="004C222E">
              <w:t>Leemzeulder</w:t>
            </w:r>
          </w:p>
        </w:tc>
        <w:tc>
          <w:tcPr>
            <w:tcW w:w="1975" w:type="dxa"/>
          </w:tcPr>
          <w:p w14:paraId="4A04D769" w14:textId="77777777" w:rsidR="00572B33" w:rsidRDefault="00572B33" w:rsidP="0068315E">
            <w:r w:rsidRPr="004C222E">
              <w:t>Kwartel</w:t>
            </w:r>
          </w:p>
        </w:tc>
      </w:tr>
      <w:tr w:rsidR="00572B33" w14:paraId="15AFC197" w14:textId="77777777" w:rsidTr="0068315E">
        <w:tc>
          <w:tcPr>
            <w:tcW w:w="1706" w:type="dxa"/>
          </w:tcPr>
          <w:p w14:paraId="4AA25795" w14:textId="77777777" w:rsidR="00572B33" w:rsidRDefault="00572B33" w:rsidP="0068315E">
            <w:r w:rsidRPr="004C222E">
              <w:t>Smeekweg (stukje parallel tussen Postiljon en Engelsjan)</w:t>
            </w:r>
          </w:p>
        </w:tc>
        <w:tc>
          <w:tcPr>
            <w:tcW w:w="1975" w:type="dxa"/>
          </w:tcPr>
          <w:p w14:paraId="5106D242" w14:textId="77777777" w:rsidR="00572B33" w:rsidRDefault="00572B33" w:rsidP="0068315E">
            <w:r w:rsidRPr="004C222E">
              <w:t>Hoefloo</w:t>
            </w:r>
          </w:p>
        </w:tc>
        <w:tc>
          <w:tcPr>
            <w:tcW w:w="1975" w:type="dxa"/>
          </w:tcPr>
          <w:p w14:paraId="0DBD13BC" w14:textId="77777777" w:rsidR="00572B33" w:rsidRDefault="00572B33" w:rsidP="0068315E">
            <w:r w:rsidRPr="004C222E">
              <w:t>Tafelbergweg</w:t>
            </w:r>
          </w:p>
        </w:tc>
        <w:tc>
          <w:tcPr>
            <w:tcW w:w="1975" w:type="dxa"/>
          </w:tcPr>
          <w:p w14:paraId="29AABA09" w14:textId="77777777" w:rsidR="00572B33" w:rsidRDefault="00572B33" w:rsidP="0068315E">
            <w:r w:rsidRPr="004C222E">
              <w:t>Steffenshein</w:t>
            </w:r>
          </w:p>
        </w:tc>
      </w:tr>
      <w:tr w:rsidR="00572B33" w14:paraId="501A9732" w14:textId="77777777" w:rsidTr="0068315E">
        <w:tc>
          <w:tcPr>
            <w:tcW w:w="1706" w:type="dxa"/>
          </w:tcPr>
          <w:p w14:paraId="12A27AED" w14:textId="77777777" w:rsidR="00572B33" w:rsidRDefault="00572B33" w:rsidP="0068315E">
            <w:r w:rsidRPr="004C222E">
              <w:t>Veerweg</w:t>
            </w:r>
          </w:p>
        </w:tc>
        <w:tc>
          <w:tcPr>
            <w:tcW w:w="1975" w:type="dxa"/>
          </w:tcPr>
          <w:p w14:paraId="7E528AFE" w14:textId="77777777" w:rsidR="00572B33" w:rsidRDefault="00572B33" w:rsidP="0068315E">
            <w:r w:rsidRPr="004C222E">
              <w:t>Stationsweg</w:t>
            </w:r>
          </w:p>
        </w:tc>
        <w:tc>
          <w:tcPr>
            <w:tcW w:w="1975" w:type="dxa"/>
          </w:tcPr>
          <w:p w14:paraId="3FAB3B9E" w14:textId="77777777" w:rsidR="00572B33" w:rsidRDefault="00572B33" w:rsidP="0068315E"/>
        </w:tc>
        <w:tc>
          <w:tcPr>
            <w:tcW w:w="1975" w:type="dxa"/>
          </w:tcPr>
          <w:p w14:paraId="271AF44B" w14:textId="77777777" w:rsidR="00572B33" w:rsidRPr="004C222E" w:rsidRDefault="00572B33" w:rsidP="0068315E">
            <w:r w:rsidRPr="004C222E">
              <w:t>Steffenskamp</w:t>
            </w:r>
          </w:p>
        </w:tc>
      </w:tr>
      <w:tr w:rsidR="00572B33" w14:paraId="6F1C202F" w14:textId="77777777" w:rsidTr="0068315E">
        <w:tc>
          <w:tcPr>
            <w:tcW w:w="1706" w:type="dxa"/>
          </w:tcPr>
          <w:p w14:paraId="27272A9D" w14:textId="77777777" w:rsidR="00572B33" w:rsidRDefault="00572B33" w:rsidP="0068315E">
            <w:r w:rsidRPr="004C222E">
              <w:t>Graafland</w:t>
            </w:r>
          </w:p>
        </w:tc>
        <w:tc>
          <w:tcPr>
            <w:tcW w:w="1975" w:type="dxa"/>
          </w:tcPr>
          <w:p w14:paraId="249A8D86" w14:textId="77777777" w:rsidR="00572B33" w:rsidRDefault="00572B33" w:rsidP="0068315E"/>
        </w:tc>
        <w:tc>
          <w:tcPr>
            <w:tcW w:w="1975" w:type="dxa"/>
          </w:tcPr>
          <w:p w14:paraId="583401E7" w14:textId="77777777" w:rsidR="00572B33" w:rsidRDefault="00572B33" w:rsidP="0068315E"/>
        </w:tc>
        <w:tc>
          <w:tcPr>
            <w:tcW w:w="1975" w:type="dxa"/>
          </w:tcPr>
          <w:p w14:paraId="5E39EBE9" w14:textId="77777777" w:rsidR="00572B33" w:rsidRPr="004C222E" w:rsidRDefault="00572B33" w:rsidP="0068315E">
            <w:r w:rsidRPr="004C222E">
              <w:t>Jagerspad</w:t>
            </w:r>
          </w:p>
        </w:tc>
      </w:tr>
      <w:tr w:rsidR="00572B33" w14:paraId="13C4FF67" w14:textId="77777777" w:rsidTr="0068315E">
        <w:tc>
          <w:tcPr>
            <w:tcW w:w="1706" w:type="dxa"/>
          </w:tcPr>
          <w:p w14:paraId="250BA369" w14:textId="77777777" w:rsidR="00572B33" w:rsidRDefault="00572B33" w:rsidP="0068315E">
            <w:r w:rsidRPr="004C222E">
              <w:t>Mendes da Costalaan</w:t>
            </w:r>
          </w:p>
        </w:tc>
        <w:tc>
          <w:tcPr>
            <w:tcW w:w="1975" w:type="dxa"/>
          </w:tcPr>
          <w:p w14:paraId="4A88C232" w14:textId="77777777" w:rsidR="00572B33" w:rsidRDefault="00572B33" w:rsidP="0068315E"/>
        </w:tc>
        <w:tc>
          <w:tcPr>
            <w:tcW w:w="1975" w:type="dxa"/>
          </w:tcPr>
          <w:p w14:paraId="7B8EC3D7" w14:textId="77777777" w:rsidR="00572B33" w:rsidRDefault="00572B33" w:rsidP="0068315E"/>
        </w:tc>
        <w:tc>
          <w:tcPr>
            <w:tcW w:w="1975" w:type="dxa"/>
          </w:tcPr>
          <w:p w14:paraId="2EFBFA7B" w14:textId="77777777" w:rsidR="00572B33" w:rsidRPr="004C222E" w:rsidRDefault="00572B33" w:rsidP="0068315E"/>
        </w:tc>
      </w:tr>
      <w:tr w:rsidR="00572B33" w14:paraId="16C94EEE" w14:textId="77777777" w:rsidTr="0068315E">
        <w:tc>
          <w:tcPr>
            <w:tcW w:w="1706" w:type="dxa"/>
          </w:tcPr>
          <w:p w14:paraId="0786C72C" w14:textId="77777777" w:rsidR="00572B33" w:rsidRDefault="00572B33" w:rsidP="0068315E">
            <w:r w:rsidRPr="004C222E">
              <w:t>Voor en Naast het Singer museum</w:t>
            </w:r>
          </w:p>
        </w:tc>
        <w:tc>
          <w:tcPr>
            <w:tcW w:w="1975" w:type="dxa"/>
          </w:tcPr>
          <w:p w14:paraId="589391AA" w14:textId="77777777" w:rsidR="00572B33" w:rsidRDefault="00572B33" w:rsidP="0068315E"/>
        </w:tc>
        <w:tc>
          <w:tcPr>
            <w:tcW w:w="1975" w:type="dxa"/>
          </w:tcPr>
          <w:p w14:paraId="304806D1" w14:textId="77777777" w:rsidR="00572B33" w:rsidRDefault="00572B33" w:rsidP="0068315E"/>
        </w:tc>
        <w:tc>
          <w:tcPr>
            <w:tcW w:w="1975" w:type="dxa"/>
          </w:tcPr>
          <w:p w14:paraId="563A5485" w14:textId="77777777" w:rsidR="00572B33" w:rsidRPr="004C222E" w:rsidRDefault="00572B33" w:rsidP="0068315E"/>
        </w:tc>
      </w:tr>
    </w:tbl>
    <w:p w14:paraId="43E5C76B" w14:textId="77777777" w:rsidR="00572B33" w:rsidRDefault="00572B33" w:rsidP="00572B33"/>
    <w:p w14:paraId="430A15A1" w14:textId="77777777" w:rsidR="00AF117A" w:rsidRDefault="00AF117A" w:rsidP="00AF117A">
      <w:pPr>
        <w:pStyle w:val="Kop1"/>
        <w:numPr>
          <w:ilvl w:val="0"/>
          <w:numId w:val="0"/>
        </w:numPr>
      </w:pPr>
      <w:r>
        <w:lastRenderedPageBreak/>
        <w:t>Annex VII. Verrekening van wijzigingen van lonen, sociale lasten, prijzen, huren en vrachten</w:t>
      </w:r>
      <w:bookmarkEnd w:id="8"/>
    </w:p>
    <w:p w14:paraId="74EC9F4C" w14:textId="77777777" w:rsidR="00AF117A" w:rsidRDefault="00AF117A" w:rsidP="00AF117A"/>
    <w:p w14:paraId="34A81056" w14:textId="77777777" w:rsidR="00AF117A" w:rsidRDefault="00AF117A" w:rsidP="00AF117A">
      <w:pPr>
        <w:autoSpaceDE w:val="0"/>
        <w:autoSpaceDN w:val="0"/>
        <w:adjustRightInd w:val="0"/>
        <w:spacing w:line="240" w:lineRule="auto"/>
        <w:rPr>
          <w:rFonts w:ascii="Verdana" w:hAnsi="Verdana" w:cs="Verdana"/>
          <w:b/>
          <w:lang w:eastAsia="nl-NL"/>
        </w:rPr>
      </w:pPr>
    </w:p>
    <w:p w14:paraId="2E87721C" w14:textId="77777777" w:rsidR="00AF117A" w:rsidRPr="00B01555" w:rsidRDefault="00AF117A" w:rsidP="00AF117A">
      <w:pPr>
        <w:autoSpaceDE w:val="0"/>
        <w:autoSpaceDN w:val="0"/>
        <w:adjustRightInd w:val="0"/>
        <w:spacing w:line="240" w:lineRule="auto"/>
        <w:rPr>
          <w:rFonts w:cs="Verdana"/>
          <w:b/>
          <w:lang w:eastAsia="nl-NL"/>
        </w:rPr>
      </w:pPr>
      <w:r w:rsidRPr="00B01555">
        <w:rPr>
          <w:rFonts w:cs="Verdana"/>
          <w:b/>
          <w:lang w:eastAsia="nl-NL"/>
        </w:rPr>
        <w:t>Artikel 1 Algemeen</w:t>
      </w:r>
    </w:p>
    <w:p w14:paraId="1D315EDC"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1. Indien in vergelijking met de lonen en/of prijzen op de datum van aanbesteding van de Overeenkomst gedurende de realisatie van het Werk en, indien overeengekomen, gedurende de Meerjarige Onderhoudsperiode wijzigingen optreden zullen de uit deze wijzigingen voortvloeiende hogere of lagere kosten met de Opdrachtnemer worden verrekend conform deze annex.</w:t>
      </w:r>
    </w:p>
    <w:p w14:paraId="0A10EABA" w14:textId="77777777" w:rsidR="00AF117A" w:rsidRPr="00B01555" w:rsidRDefault="00AF117A" w:rsidP="00AF117A">
      <w:pPr>
        <w:autoSpaceDE w:val="0"/>
        <w:autoSpaceDN w:val="0"/>
        <w:adjustRightInd w:val="0"/>
        <w:spacing w:line="240" w:lineRule="auto"/>
        <w:rPr>
          <w:rFonts w:cs="Verdana"/>
          <w:lang w:eastAsia="nl-NL"/>
        </w:rPr>
      </w:pPr>
    </w:p>
    <w:p w14:paraId="46099C04" w14:textId="77777777" w:rsidR="00AF117A" w:rsidRPr="00B01555" w:rsidRDefault="00AF117A" w:rsidP="00AF117A">
      <w:pPr>
        <w:autoSpaceDE w:val="0"/>
        <w:autoSpaceDN w:val="0"/>
        <w:adjustRightInd w:val="0"/>
        <w:spacing w:line="240" w:lineRule="auto"/>
      </w:pPr>
    </w:p>
    <w:p w14:paraId="79B31300" w14:textId="77777777" w:rsidR="00AF117A" w:rsidRPr="00B01555" w:rsidRDefault="00AF117A" w:rsidP="00AF117A">
      <w:pPr>
        <w:autoSpaceDE w:val="0"/>
        <w:autoSpaceDN w:val="0"/>
        <w:adjustRightInd w:val="0"/>
        <w:spacing w:line="240" w:lineRule="auto"/>
        <w:rPr>
          <w:rFonts w:cs="Verdana"/>
          <w:b/>
          <w:lang w:eastAsia="nl-NL"/>
        </w:rPr>
      </w:pPr>
      <w:r w:rsidRPr="00B01555">
        <w:rPr>
          <w:rFonts w:cs="Verdana"/>
          <w:b/>
          <w:lang w:eastAsia="nl-NL"/>
        </w:rPr>
        <w:t>Artikel 2 Verrekeningsgrondslag</w:t>
      </w:r>
    </w:p>
    <w:p w14:paraId="65ECE720"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1. Voor de berekening van het voor verrekening in aanmerking komende bedrag dient de volgende formule te worden gehanteerd:</w:t>
      </w:r>
    </w:p>
    <w:p w14:paraId="4C6BA7D7" w14:textId="77777777" w:rsidR="00AF117A" w:rsidRPr="00B01555" w:rsidRDefault="00AF117A" w:rsidP="00AF117A">
      <w:pPr>
        <w:autoSpaceDE w:val="0"/>
        <w:autoSpaceDN w:val="0"/>
        <w:adjustRightInd w:val="0"/>
        <w:spacing w:line="240" w:lineRule="auto"/>
        <w:rPr>
          <w:rFonts w:cs="Verdana"/>
          <w:lang w:eastAsia="nl-NL"/>
        </w:rPr>
      </w:pPr>
    </w:p>
    <w:p w14:paraId="5912CE8D"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noProof/>
          <w:lang w:eastAsia="nl-NL"/>
        </w:rPr>
        <w:drawing>
          <wp:inline distT="0" distB="0" distL="0" distR="0" wp14:anchorId="3918C3F9" wp14:editId="062300ED">
            <wp:extent cx="1876425" cy="5524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552450"/>
                    </a:xfrm>
                    <a:prstGeom prst="rect">
                      <a:avLst/>
                    </a:prstGeom>
                    <a:noFill/>
                    <a:ln>
                      <a:noFill/>
                    </a:ln>
                  </pic:spPr>
                </pic:pic>
              </a:graphicData>
            </a:graphic>
          </wp:inline>
        </w:drawing>
      </w:r>
    </w:p>
    <w:p w14:paraId="418AE332" w14:textId="77777777" w:rsidR="00AF117A" w:rsidRPr="00B01555" w:rsidRDefault="00AF117A" w:rsidP="00AF117A">
      <w:pPr>
        <w:autoSpaceDE w:val="0"/>
        <w:autoSpaceDN w:val="0"/>
        <w:adjustRightInd w:val="0"/>
        <w:spacing w:line="240" w:lineRule="auto"/>
        <w:rPr>
          <w:rFonts w:cs="Verdana"/>
          <w:lang w:eastAsia="nl-NL"/>
        </w:rPr>
      </w:pPr>
    </w:p>
    <w:p w14:paraId="083AC531"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waarin:</w:t>
      </w:r>
    </w:p>
    <w:p w14:paraId="51AB9BFA" w14:textId="77777777" w:rsidR="00AF117A" w:rsidRPr="00B01555" w:rsidRDefault="00AF117A" w:rsidP="00AF117A">
      <w:pPr>
        <w:autoSpaceDE w:val="0"/>
        <w:autoSpaceDN w:val="0"/>
        <w:adjustRightInd w:val="0"/>
        <w:spacing w:line="240" w:lineRule="auto"/>
        <w:rPr>
          <w:rFonts w:cs="Verdana"/>
          <w:lang w:eastAsia="nl-NL"/>
        </w:rPr>
      </w:pPr>
    </w:p>
    <w:p w14:paraId="3F8BA1FC"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V = het bedrag dat voor een productgroep per termijn verrekend wordt;</w:t>
      </w:r>
    </w:p>
    <w:p w14:paraId="6AD2040E"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Ln = het definitief vastgestelde indexcijfer voor de betreffende productgroep geldend op de einddatum van de termijn waarover verrekening plaats vindt;</w:t>
      </w:r>
    </w:p>
    <w:p w14:paraId="15F2802E"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La = het definitief vastgestelde indexcijfer voor de betreffende productgroep geldend op de datum van aanbesteding;</w:t>
      </w:r>
    </w:p>
    <w:p w14:paraId="132C1831"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Lb = het vaste kostenbestanddeel in % per productgroep, zoals aangegeven in lid 2;</w:t>
      </w:r>
    </w:p>
    <w:p w14:paraId="1DA8BB1D"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Tb = het termijnbedrag gebaseerd op de na opdrachtverlening als eerste geaccepteerde termijnstaat en planning, hierna: het initiële termijnbedrag, waarover de verrekening van de lonen/ of prijswijziging plaatsvindt.</w:t>
      </w:r>
    </w:p>
    <w:p w14:paraId="6D1EFA8F" w14:textId="77777777" w:rsidR="00AF117A" w:rsidRPr="00B01555" w:rsidRDefault="00AF117A" w:rsidP="00AF117A">
      <w:pPr>
        <w:autoSpaceDE w:val="0"/>
        <w:autoSpaceDN w:val="0"/>
        <w:adjustRightInd w:val="0"/>
        <w:spacing w:line="240" w:lineRule="auto"/>
        <w:rPr>
          <w:rFonts w:cs="Verdana"/>
          <w:lang w:eastAsia="nl-NL"/>
        </w:rPr>
      </w:pPr>
    </w:p>
    <w:p w14:paraId="587F3489"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2. Voor het verrekenen van loon- en/of prijswijzigingen komen uitsluitend in aanmerking de productgroepen en bijbehorende percentages die hieronder staan weergegeven. Voor de bepaling van de indexcijfers Ln en La dienen de door de Raadscommissie Risicoregeling GWW vastgestelde productgroepen te worden gehanteerd.</w:t>
      </w:r>
    </w:p>
    <w:p w14:paraId="230F5DE3" w14:textId="77777777" w:rsidR="00AF117A" w:rsidRPr="00B01555" w:rsidRDefault="00AF117A" w:rsidP="00AF117A">
      <w:pPr>
        <w:autoSpaceDE w:val="0"/>
        <w:autoSpaceDN w:val="0"/>
        <w:adjustRightInd w:val="0"/>
        <w:spacing w:line="240" w:lineRule="auto"/>
        <w:rPr>
          <w:rFonts w:cs="Verdana"/>
          <w:lang w:eastAsia="nl-NL"/>
        </w:rPr>
      </w:pPr>
    </w:p>
    <w:p w14:paraId="1F919972"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Gedurende de Meerjarige Onderhoudsperiode gelden de volgende productgroep</w:t>
      </w:r>
    </w:p>
    <w:p w14:paraId="2FB864EF"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en percentages:</w:t>
      </w:r>
    </w:p>
    <w:p w14:paraId="5004F958" w14:textId="77777777" w:rsidR="00AF117A" w:rsidRPr="00B01555" w:rsidRDefault="00AF117A" w:rsidP="00AF117A">
      <w:pPr>
        <w:autoSpaceDE w:val="0"/>
        <w:autoSpaceDN w:val="0"/>
        <w:adjustRightInd w:val="0"/>
        <w:spacing w:line="240" w:lineRule="auto"/>
        <w:rPr>
          <w:rFonts w:cs="Verdana"/>
          <w:lang w:eastAsia="nl-NL"/>
        </w:rPr>
      </w:pPr>
    </w:p>
    <w:p w14:paraId="69DE7A9C"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productgroep 00 loonkosten CAO-medewerkers Lb = 60 %</w:t>
      </w:r>
    </w:p>
    <w:p w14:paraId="1712A41E" w14:textId="77777777" w:rsidR="00AF117A" w:rsidRPr="00B01555" w:rsidRDefault="00AF117A" w:rsidP="00AF117A">
      <w:pPr>
        <w:autoSpaceDE w:val="0"/>
        <w:autoSpaceDN w:val="0"/>
        <w:adjustRightInd w:val="0"/>
        <w:spacing w:line="240" w:lineRule="auto"/>
        <w:rPr>
          <w:rFonts w:cs="Verdana"/>
          <w:lang w:eastAsia="nl-NL"/>
        </w:rPr>
      </w:pPr>
    </w:p>
    <w:p w14:paraId="412EC686"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3. De in lid 2 genoemde kostenbestanddelen zijn vast tot aan de uiterste datum van oplevering van het Werk conform artikel 2 lid 5 van de Basisovereenkomst en, indien overeengekomen, gedurende de Meerjarig Onderhoudsperiode.</w:t>
      </w:r>
    </w:p>
    <w:p w14:paraId="3A82E24A" w14:textId="77777777" w:rsidR="00AF117A" w:rsidRPr="00B01555" w:rsidRDefault="00AF117A" w:rsidP="00AF117A">
      <w:pPr>
        <w:autoSpaceDE w:val="0"/>
        <w:autoSpaceDN w:val="0"/>
        <w:adjustRightInd w:val="0"/>
        <w:spacing w:line="240" w:lineRule="auto"/>
        <w:rPr>
          <w:rFonts w:cs="Verdana"/>
          <w:lang w:eastAsia="nl-NL"/>
        </w:rPr>
      </w:pPr>
    </w:p>
    <w:p w14:paraId="4A300208"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4. De verrekening vindt plaats over de initiële termijnbedragen, zijnde de termijnbedragen die zijn bepaald op basis van de termijnstaat en planning die voor de eerste maal na opdrachtverlening door de Opdrachtgever zijn geaccepteerd. Financiële risico’s van prijswijzigingen die samenhangen met Wijzigingen worden geacht in de (financiële) consequenties van die Wijzigingen te zijn verdisconteerd.</w:t>
      </w:r>
    </w:p>
    <w:p w14:paraId="2ECABBE2" w14:textId="77777777" w:rsidR="00AF117A" w:rsidRPr="00B01555" w:rsidRDefault="00AF117A" w:rsidP="00AF117A">
      <w:pPr>
        <w:autoSpaceDE w:val="0"/>
        <w:autoSpaceDN w:val="0"/>
        <w:adjustRightInd w:val="0"/>
        <w:spacing w:line="240" w:lineRule="auto"/>
        <w:rPr>
          <w:rFonts w:cs="Verdana"/>
          <w:lang w:eastAsia="nl-NL"/>
        </w:rPr>
      </w:pPr>
    </w:p>
    <w:p w14:paraId="329691D0" w14:textId="77777777" w:rsidR="00AF117A" w:rsidRPr="00B01555" w:rsidRDefault="00AF117A" w:rsidP="00AF117A">
      <w:pPr>
        <w:autoSpaceDE w:val="0"/>
        <w:autoSpaceDN w:val="0"/>
        <w:adjustRightInd w:val="0"/>
        <w:spacing w:line="240" w:lineRule="auto"/>
        <w:rPr>
          <w:rFonts w:cs="Verdana"/>
          <w:lang w:eastAsia="nl-NL"/>
        </w:rPr>
      </w:pPr>
    </w:p>
    <w:p w14:paraId="5564A1B1" w14:textId="77777777" w:rsidR="00AF117A" w:rsidRPr="00B01555" w:rsidRDefault="00AF117A" w:rsidP="00AF117A">
      <w:pPr>
        <w:autoSpaceDE w:val="0"/>
        <w:autoSpaceDN w:val="0"/>
        <w:adjustRightInd w:val="0"/>
        <w:spacing w:line="240" w:lineRule="auto"/>
        <w:rPr>
          <w:rFonts w:cs="Verdana"/>
          <w:b/>
          <w:lang w:eastAsia="nl-NL"/>
        </w:rPr>
      </w:pPr>
      <w:r w:rsidRPr="00B01555">
        <w:rPr>
          <w:rFonts w:cs="Verdana"/>
          <w:b/>
          <w:lang w:eastAsia="nl-NL"/>
        </w:rPr>
        <w:t>Artikel 3 Verrekening</w:t>
      </w:r>
    </w:p>
    <w:p w14:paraId="109BE7EF"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1. Er vindt geen verrekening van loon- en/of prijswijzigingen plaats op initiële termijnbedragen die verschijnen binnen de periode van één (1) jaar na de datum van aanbesteding van de Overeenkomst.</w:t>
      </w:r>
    </w:p>
    <w:p w14:paraId="481D6D20" w14:textId="77777777" w:rsidR="00AF117A" w:rsidRPr="00B01555" w:rsidRDefault="00AF117A" w:rsidP="00AF117A">
      <w:pPr>
        <w:autoSpaceDE w:val="0"/>
        <w:autoSpaceDN w:val="0"/>
        <w:adjustRightInd w:val="0"/>
        <w:spacing w:line="240" w:lineRule="auto"/>
        <w:rPr>
          <w:rFonts w:cs="Verdana"/>
          <w:lang w:eastAsia="nl-NL"/>
        </w:rPr>
      </w:pPr>
    </w:p>
    <w:p w14:paraId="2BF05266"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 xml:space="preserve">2. Loon- en/of prijswijzigingen na de uiterste datum van oplevering van het Werk conform artikel 2 lid 5 van de Basisovereenkomst en, indien overeengekomen, na de Meerjarig Onderhoudsperiode, worden niet verrekend. </w:t>
      </w:r>
    </w:p>
    <w:p w14:paraId="3D95CA81" w14:textId="77777777" w:rsidR="00AF117A" w:rsidRPr="00B01555" w:rsidRDefault="00AF117A" w:rsidP="00AF117A">
      <w:pPr>
        <w:autoSpaceDE w:val="0"/>
        <w:autoSpaceDN w:val="0"/>
        <w:adjustRightInd w:val="0"/>
        <w:spacing w:line="240" w:lineRule="auto"/>
        <w:rPr>
          <w:rFonts w:cs="Verdana"/>
          <w:lang w:eastAsia="nl-NL"/>
        </w:rPr>
      </w:pPr>
    </w:p>
    <w:p w14:paraId="36867A3A"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lastRenderedPageBreak/>
        <w:t>3. De verrekening vindt plaats in perioden van twaalf weken, waarbij de eerste periode aanvangt op de eerste maandag één (1) jaar na de datum van aanbesteding van de Overeenkomst.</w:t>
      </w:r>
    </w:p>
    <w:p w14:paraId="600BC1DC" w14:textId="77777777" w:rsidR="00AF117A" w:rsidRPr="00B01555" w:rsidRDefault="00AF117A" w:rsidP="00AF117A">
      <w:pPr>
        <w:autoSpaceDE w:val="0"/>
        <w:autoSpaceDN w:val="0"/>
        <w:adjustRightInd w:val="0"/>
        <w:spacing w:line="240" w:lineRule="auto"/>
        <w:rPr>
          <w:rFonts w:cs="Verdana"/>
          <w:lang w:eastAsia="nl-NL"/>
        </w:rPr>
      </w:pPr>
    </w:p>
    <w:p w14:paraId="3E18F701"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4. Verrekening geschiedt uitsluitend op basis van de door de Opdrachtnemer opgestelde en de door de Opdrachtgever geaccepteerde onderbouwing van het bedrag.</w:t>
      </w:r>
    </w:p>
    <w:p w14:paraId="5EC8B249" w14:textId="77777777" w:rsidR="00AF117A" w:rsidRPr="00B01555" w:rsidRDefault="00AF117A" w:rsidP="00AF117A">
      <w:pPr>
        <w:autoSpaceDE w:val="0"/>
        <w:autoSpaceDN w:val="0"/>
        <w:adjustRightInd w:val="0"/>
        <w:spacing w:line="240" w:lineRule="auto"/>
        <w:rPr>
          <w:rFonts w:cs="Verdana"/>
          <w:lang w:eastAsia="nl-NL"/>
        </w:rPr>
      </w:pPr>
    </w:p>
    <w:p w14:paraId="546C7AF4" w14:textId="77777777" w:rsidR="00AF117A" w:rsidRPr="00B01555" w:rsidRDefault="00AF117A" w:rsidP="00AF117A">
      <w:pPr>
        <w:autoSpaceDE w:val="0"/>
        <w:autoSpaceDN w:val="0"/>
        <w:adjustRightInd w:val="0"/>
        <w:spacing w:line="240" w:lineRule="auto"/>
        <w:rPr>
          <w:rFonts w:cs="Verdana"/>
          <w:lang w:eastAsia="nl-NL"/>
        </w:rPr>
      </w:pPr>
    </w:p>
    <w:p w14:paraId="60B5B3B6" w14:textId="77777777" w:rsidR="00AF117A" w:rsidRPr="00B01555" w:rsidRDefault="00AF117A" w:rsidP="00AF117A">
      <w:pPr>
        <w:autoSpaceDE w:val="0"/>
        <w:autoSpaceDN w:val="0"/>
        <w:adjustRightInd w:val="0"/>
        <w:spacing w:line="240" w:lineRule="auto"/>
        <w:rPr>
          <w:rFonts w:cs="Verdana"/>
          <w:b/>
          <w:lang w:eastAsia="nl-NL"/>
        </w:rPr>
      </w:pPr>
      <w:r w:rsidRPr="00B01555">
        <w:rPr>
          <w:rFonts w:cs="Verdana"/>
          <w:b/>
          <w:lang w:eastAsia="nl-NL"/>
        </w:rPr>
        <w:t>Artikel 4 Facturering</w:t>
      </w:r>
    </w:p>
    <w:p w14:paraId="35BC3B7D"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1. Het verrekenbare bedrag dient op een afzonderlijke debet- dan wel creditfactuur te worden ingediend conform § 33 UAV-GC.</w:t>
      </w:r>
      <w:r w:rsidRPr="00B01555">
        <w:rPr>
          <w:rFonts w:cs="Verdana"/>
          <w:lang w:eastAsia="nl-NL"/>
        </w:rPr>
        <w:br/>
      </w:r>
    </w:p>
    <w:p w14:paraId="1142F33E"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2. Het verzoek van de Opdrachtnemer om afgifte van een prestatieverklaring conform § 33 lid 3 UAV-GC dient vergezeld te gaan van een onderbouwing waaruit blijkt hoe het te verrekenen bedrag conform artikel 2 lid 1 van deze annex is berekend.</w:t>
      </w:r>
    </w:p>
    <w:p w14:paraId="507A5A47" w14:textId="77777777" w:rsidR="00AF117A" w:rsidRPr="00B01555" w:rsidRDefault="00AF117A" w:rsidP="00AF117A">
      <w:pPr>
        <w:autoSpaceDE w:val="0"/>
        <w:autoSpaceDN w:val="0"/>
        <w:adjustRightInd w:val="0"/>
        <w:spacing w:line="240" w:lineRule="auto"/>
        <w:rPr>
          <w:rFonts w:cs="Verdana"/>
          <w:lang w:eastAsia="nl-NL"/>
        </w:rPr>
      </w:pPr>
    </w:p>
    <w:p w14:paraId="00E63DF3"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 xml:space="preserve">3. Het verzoek als bedoeld in lid 2 moet zijn ingediend binnen 12 weken na verschijnen van de definitief vastgestelde indexcijfers voor de productgroepen die van toepassing zijn verklaard in deze Overeenkomst. </w:t>
      </w:r>
    </w:p>
    <w:p w14:paraId="1BE332D3" w14:textId="77777777" w:rsidR="00AF117A" w:rsidRPr="00B01555" w:rsidRDefault="00AF117A" w:rsidP="00AF117A">
      <w:pPr>
        <w:autoSpaceDE w:val="0"/>
        <w:autoSpaceDN w:val="0"/>
        <w:adjustRightInd w:val="0"/>
        <w:spacing w:line="240" w:lineRule="auto"/>
        <w:rPr>
          <w:rFonts w:cs="Verdana"/>
          <w:lang w:eastAsia="nl-NL"/>
        </w:rPr>
      </w:pPr>
    </w:p>
    <w:p w14:paraId="76218E2F" w14:textId="77777777" w:rsidR="00AF117A" w:rsidRPr="00B01555" w:rsidRDefault="00AF117A" w:rsidP="00AF117A">
      <w:pPr>
        <w:autoSpaceDE w:val="0"/>
        <w:autoSpaceDN w:val="0"/>
        <w:adjustRightInd w:val="0"/>
        <w:spacing w:line="240" w:lineRule="auto"/>
        <w:rPr>
          <w:rFonts w:cs="Verdana"/>
          <w:lang w:eastAsia="nl-NL"/>
        </w:rPr>
      </w:pPr>
      <w:r w:rsidRPr="00B01555">
        <w:rPr>
          <w:rFonts w:cs="Verdana"/>
          <w:lang w:eastAsia="nl-NL"/>
        </w:rPr>
        <w:t>Aanvullend op artikel 14 van de Basisovereenkomst dienen de facturen voorzien te zijn van de tekst “risicoregeling”, alsmede de termijnen en de initiële termijnbedragen waarop de verrekening betrekking heeft.</w:t>
      </w:r>
    </w:p>
    <w:p w14:paraId="00589C00" w14:textId="77777777" w:rsidR="00AF117A" w:rsidRDefault="00AF117A" w:rsidP="00AF117A">
      <w:pPr>
        <w:autoSpaceDE w:val="0"/>
        <w:autoSpaceDN w:val="0"/>
        <w:adjustRightInd w:val="0"/>
        <w:spacing w:line="240" w:lineRule="auto"/>
      </w:pPr>
    </w:p>
    <w:p w14:paraId="62654BB1" w14:textId="77777777" w:rsidR="00AF117A" w:rsidRDefault="00AF117A" w:rsidP="00AF117A">
      <w:pPr>
        <w:autoSpaceDE w:val="0"/>
        <w:autoSpaceDN w:val="0"/>
        <w:adjustRightInd w:val="0"/>
        <w:spacing w:line="240" w:lineRule="auto"/>
      </w:pPr>
    </w:p>
    <w:p w14:paraId="6315BF22" w14:textId="77777777" w:rsidR="00AF117A" w:rsidRDefault="00AF117A" w:rsidP="00AF117A">
      <w:pPr>
        <w:pStyle w:val="Kop1"/>
        <w:numPr>
          <w:ilvl w:val="0"/>
          <w:numId w:val="0"/>
        </w:numPr>
      </w:pPr>
      <w:bookmarkStart w:id="9" w:name="_Toc360780681"/>
      <w:r>
        <w:lastRenderedPageBreak/>
        <w:t>Annex VIII. Stelposten</w:t>
      </w:r>
      <w:bookmarkEnd w:id="9"/>
    </w:p>
    <w:p w14:paraId="545270EA" w14:textId="77777777" w:rsidR="00AF117A" w:rsidRDefault="00AF117A" w:rsidP="00AF117A">
      <w:pPr>
        <w:spacing w:line="240" w:lineRule="auto"/>
      </w:pPr>
    </w:p>
    <w:p w14:paraId="1A2F5764" w14:textId="36F956A0" w:rsidR="00AF117A" w:rsidRDefault="00AF117A" w:rsidP="000A7B5F">
      <w:pPr>
        <w:spacing w:line="240" w:lineRule="auto"/>
      </w:pPr>
      <w:r>
        <w:t xml:space="preserve">Met inachtneming van hetgeen is gesteld in paragraaf 34 van de UAV-GC 2005 is bij de Overeenkomst en in het daarop betrekking hebbende totaalbedrag als genoemd in de Basisovereenkomst artikel 2 lid 4 </w:t>
      </w:r>
      <w:r w:rsidR="000A7B5F">
        <w:t>zijn er g</w:t>
      </w:r>
      <w:r>
        <w:t>een stelpost</w:t>
      </w:r>
      <w:r w:rsidR="000A7B5F">
        <w:t>en</w:t>
      </w:r>
      <w:r>
        <w:t xml:space="preserve"> opgenomen</w:t>
      </w:r>
      <w:r w:rsidR="000A7B5F">
        <w:t>.</w:t>
      </w:r>
      <w:r>
        <w:t xml:space="preserve"> </w:t>
      </w:r>
    </w:p>
    <w:p w14:paraId="25385F90" w14:textId="77777777" w:rsidR="00AF117A" w:rsidRDefault="00AF117A" w:rsidP="00AF117A">
      <w:pPr>
        <w:pStyle w:val="Kop1"/>
        <w:numPr>
          <w:ilvl w:val="0"/>
          <w:numId w:val="0"/>
        </w:numPr>
      </w:pPr>
      <w:bookmarkStart w:id="10" w:name="_Toc360780682"/>
      <w:r>
        <w:lastRenderedPageBreak/>
        <w:t>Annex IX. Bankgarantie</w:t>
      </w:r>
      <w:bookmarkEnd w:id="10"/>
    </w:p>
    <w:p w14:paraId="7EB6CEAE" w14:textId="77777777" w:rsidR="00AF117A" w:rsidRDefault="00AF117A" w:rsidP="00AF117A">
      <w:pPr>
        <w:spacing w:line="240" w:lineRule="auto"/>
      </w:pPr>
    </w:p>
    <w:p w14:paraId="4623F254" w14:textId="77777777" w:rsidR="00AF117A" w:rsidRDefault="00AF117A" w:rsidP="00AF117A">
      <w:pPr>
        <w:tabs>
          <w:tab w:val="right" w:pos="9360"/>
        </w:tabs>
        <w:rPr>
          <w:rFonts w:ascii="Arial" w:hAnsi="Arial"/>
          <w:sz w:val="20"/>
        </w:rPr>
      </w:pPr>
    </w:p>
    <w:p w14:paraId="6C1469F0" w14:textId="77777777" w:rsidR="00AF117A" w:rsidRDefault="00AF117A" w:rsidP="00AF117A">
      <w:pPr>
        <w:spacing w:line="240" w:lineRule="auto"/>
      </w:pPr>
      <w:r>
        <w:t>Zie model bankgarantie UAV-GC 2005.</w:t>
      </w:r>
    </w:p>
    <w:p w14:paraId="66310BD4" w14:textId="77777777" w:rsidR="00AF117A" w:rsidRDefault="00AF117A" w:rsidP="00AF117A">
      <w:pPr>
        <w:pStyle w:val="Kop1"/>
        <w:numPr>
          <w:ilvl w:val="0"/>
          <w:numId w:val="0"/>
        </w:numPr>
      </w:pPr>
      <w:bookmarkStart w:id="11" w:name="_Toc360780683"/>
      <w:r>
        <w:lastRenderedPageBreak/>
        <w:t>Annex X. Verzekeringen</w:t>
      </w:r>
      <w:bookmarkEnd w:id="11"/>
    </w:p>
    <w:p w14:paraId="029FB6BC" w14:textId="77777777" w:rsidR="00AF117A" w:rsidRDefault="00AF117A" w:rsidP="00AF117A">
      <w:pPr>
        <w:spacing w:line="240" w:lineRule="auto"/>
      </w:pPr>
    </w:p>
    <w:p w14:paraId="4432014B" w14:textId="77777777" w:rsidR="00AF117A" w:rsidRDefault="00AF117A" w:rsidP="00AF117A">
      <w:pPr>
        <w:spacing w:line="240" w:lineRule="auto"/>
      </w:pPr>
    </w:p>
    <w:p w14:paraId="4D688086" w14:textId="77777777" w:rsidR="00AF117A" w:rsidRDefault="00AF117A" w:rsidP="00AF117A">
      <w:pPr>
        <w:spacing w:line="240" w:lineRule="auto"/>
      </w:pPr>
      <w:r>
        <w:t>Voor het verzekeren gelden de clausules van § 39 van de UAV-GC 2005.</w:t>
      </w:r>
    </w:p>
    <w:p w14:paraId="3D178333" w14:textId="77777777" w:rsidR="00AF117A" w:rsidRDefault="00AF117A" w:rsidP="00AF117A">
      <w:pPr>
        <w:spacing w:line="240" w:lineRule="auto"/>
      </w:pPr>
    </w:p>
    <w:p w14:paraId="4A11124B" w14:textId="77777777" w:rsidR="00AF117A" w:rsidRDefault="00AF117A" w:rsidP="00AF117A">
      <w:pPr>
        <w:spacing w:line="240" w:lineRule="auto"/>
      </w:pPr>
      <w:r>
        <w:t>Opdrachtnemer dient bij het verzekeren uit te gaan van het feit dat Opdrachtgever is verzekerd tot een bedrag van €7.500.000,-- euro en geen intentie heeft (conform § 39, lid 2) om zich extra te verzekeren voor het Werk.</w:t>
      </w:r>
    </w:p>
    <w:p w14:paraId="0BF7AE20" w14:textId="77777777" w:rsidR="00AF117A" w:rsidRDefault="00AF117A" w:rsidP="00AF117A">
      <w:pPr>
        <w:spacing w:line="240" w:lineRule="auto"/>
      </w:pPr>
    </w:p>
    <w:p w14:paraId="72499B1D" w14:textId="77777777" w:rsidR="0019441F" w:rsidRDefault="0019441F" w:rsidP="0019441F">
      <w:pPr>
        <w:rPr>
          <w:b/>
        </w:rPr>
      </w:pPr>
      <w:r>
        <w:rPr>
          <w:b/>
        </w:rPr>
        <w:t>CAR-verzekering</w:t>
      </w:r>
    </w:p>
    <w:p w14:paraId="0CD0A7BE" w14:textId="77777777" w:rsidR="0019441F" w:rsidRDefault="0019441F" w:rsidP="0019441F">
      <w:pPr>
        <w:numPr>
          <w:ilvl w:val="0"/>
          <w:numId w:val="41"/>
        </w:numPr>
        <w:tabs>
          <w:tab w:val="left" w:pos="-1440"/>
          <w:tab w:val="left" w:pos="-720"/>
          <w:tab w:val="left" w:pos="0"/>
          <w:tab w:val="left" w:pos="380"/>
        </w:tabs>
        <w:spacing w:line="240" w:lineRule="auto"/>
        <w:ind w:left="360"/>
      </w:pPr>
      <w:r>
        <w:t>De Opdrachtnemer dient voor zijn rekening een Construction All Risks-verzekering (CAR-verzekering) af te sluiten, waarbij de verzekerden zijn: de Opdrachtgever, zijn vertegenwoordigers en adviseurs, de Opdrachtnemer, de mede-opdrachtnemer(s) en onderaannemer(s), de leveranciers en andere bij de uitvoering van de opdracht betrokken partijen.</w:t>
      </w:r>
    </w:p>
    <w:p w14:paraId="3BBFCF68" w14:textId="77777777" w:rsidR="0019441F" w:rsidRDefault="0019441F" w:rsidP="0019441F">
      <w:pPr>
        <w:ind w:left="360"/>
      </w:pPr>
    </w:p>
    <w:p w14:paraId="4884A924" w14:textId="77777777" w:rsidR="0019441F" w:rsidRDefault="0019441F" w:rsidP="0019441F">
      <w:pPr>
        <w:numPr>
          <w:ilvl w:val="0"/>
          <w:numId w:val="41"/>
        </w:numPr>
        <w:tabs>
          <w:tab w:val="left" w:pos="-1440"/>
          <w:tab w:val="left" w:pos="-720"/>
          <w:tab w:val="left" w:pos="0"/>
          <w:tab w:val="left" w:pos="380"/>
        </w:tabs>
        <w:spacing w:line="240" w:lineRule="auto"/>
        <w:ind w:left="360"/>
      </w:pPr>
      <w:r>
        <w:t>De CAR-verzekering dient op of nabij het Werkterrein dekking te geven voor de volgende rubrieken:</w:t>
      </w:r>
    </w:p>
    <w:p w14:paraId="2459942F" w14:textId="77777777" w:rsidR="0019441F" w:rsidRDefault="0019441F" w:rsidP="0019441F">
      <w:pPr>
        <w:tabs>
          <w:tab w:val="left" w:pos="1134"/>
        </w:tabs>
        <w:ind w:left="1134"/>
      </w:pPr>
    </w:p>
    <w:tbl>
      <w:tblPr>
        <w:tblW w:w="0" w:type="auto"/>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887"/>
        <w:gridCol w:w="1843"/>
        <w:gridCol w:w="3500"/>
        <w:gridCol w:w="3056"/>
      </w:tblGrid>
      <w:tr w:rsidR="0019441F" w14:paraId="09962708" w14:textId="77777777" w:rsidTr="0019441F">
        <w:tc>
          <w:tcPr>
            <w:tcW w:w="0" w:type="auto"/>
            <w:tcBorders>
              <w:top w:val="single" w:sz="4" w:space="0" w:color="5B9BD5"/>
              <w:left w:val="single" w:sz="4" w:space="0" w:color="5B9BD5"/>
              <w:bottom w:val="single" w:sz="4" w:space="0" w:color="5B9BD5"/>
              <w:right w:val="nil"/>
            </w:tcBorders>
            <w:shd w:val="clear" w:color="auto" w:fill="5B9BD5"/>
            <w:hideMark/>
          </w:tcPr>
          <w:p w14:paraId="1B969B34" w14:textId="77777777" w:rsidR="0019441F" w:rsidRDefault="0019441F">
            <w:pPr>
              <w:tabs>
                <w:tab w:val="left" w:pos="708"/>
              </w:tabs>
              <w:spacing w:before="100" w:beforeAutospacing="1" w:after="100" w:afterAutospacing="1"/>
              <w:rPr>
                <w:b/>
                <w:bCs/>
                <w:color w:val="FFFFFF"/>
                <w:szCs w:val="22"/>
              </w:rPr>
            </w:pPr>
            <w:r>
              <w:rPr>
                <w:b/>
                <w:bCs/>
                <w:color w:val="FFFFFF"/>
                <w:szCs w:val="22"/>
              </w:rPr>
              <w:t>Rubriek</w:t>
            </w:r>
          </w:p>
        </w:tc>
        <w:tc>
          <w:tcPr>
            <w:tcW w:w="0" w:type="auto"/>
            <w:tcBorders>
              <w:top w:val="single" w:sz="4" w:space="0" w:color="5B9BD5"/>
              <w:left w:val="nil"/>
              <w:bottom w:val="single" w:sz="4" w:space="0" w:color="5B9BD5"/>
              <w:right w:val="nil"/>
            </w:tcBorders>
            <w:shd w:val="clear" w:color="auto" w:fill="5B9BD5"/>
            <w:hideMark/>
          </w:tcPr>
          <w:p w14:paraId="7BCCE258" w14:textId="77777777" w:rsidR="0019441F" w:rsidRDefault="0019441F">
            <w:pPr>
              <w:tabs>
                <w:tab w:val="left" w:pos="708"/>
              </w:tabs>
              <w:spacing w:before="100" w:beforeAutospacing="1" w:after="100" w:afterAutospacing="1"/>
              <w:rPr>
                <w:b/>
                <w:bCs/>
                <w:color w:val="FFFFFF"/>
                <w:szCs w:val="22"/>
              </w:rPr>
            </w:pPr>
            <w:r>
              <w:rPr>
                <w:b/>
                <w:bCs/>
                <w:color w:val="FFFFFF"/>
                <w:szCs w:val="22"/>
              </w:rPr>
              <w:t>Betreft</w:t>
            </w:r>
          </w:p>
        </w:tc>
        <w:tc>
          <w:tcPr>
            <w:tcW w:w="0" w:type="auto"/>
            <w:tcBorders>
              <w:top w:val="single" w:sz="4" w:space="0" w:color="5B9BD5"/>
              <w:left w:val="nil"/>
              <w:bottom w:val="single" w:sz="4" w:space="0" w:color="5B9BD5"/>
              <w:right w:val="nil"/>
            </w:tcBorders>
            <w:shd w:val="clear" w:color="auto" w:fill="5B9BD5"/>
            <w:hideMark/>
          </w:tcPr>
          <w:p w14:paraId="7E143C9B" w14:textId="77777777" w:rsidR="0019441F" w:rsidRDefault="0019441F">
            <w:pPr>
              <w:tabs>
                <w:tab w:val="left" w:pos="708"/>
              </w:tabs>
              <w:spacing w:before="100" w:beforeAutospacing="1" w:after="100" w:afterAutospacing="1"/>
              <w:rPr>
                <w:b/>
                <w:bCs/>
                <w:color w:val="FFFFFF"/>
                <w:szCs w:val="22"/>
              </w:rPr>
            </w:pPr>
            <w:r>
              <w:rPr>
                <w:b/>
                <w:bCs/>
                <w:color w:val="FFFFFF"/>
                <w:szCs w:val="22"/>
              </w:rPr>
              <w:t>Voor</w:t>
            </w:r>
          </w:p>
        </w:tc>
        <w:tc>
          <w:tcPr>
            <w:tcW w:w="0" w:type="auto"/>
            <w:tcBorders>
              <w:top w:val="single" w:sz="4" w:space="0" w:color="5B9BD5"/>
              <w:left w:val="nil"/>
              <w:bottom w:val="single" w:sz="4" w:space="0" w:color="5B9BD5"/>
              <w:right w:val="single" w:sz="4" w:space="0" w:color="5B9BD5"/>
            </w:tcBorders>
            <w:shd w:val="clear" w:color="auto" w:fill="5B9BD5"/>
            <w:hideMark/>
          </w:tcPr>
          <w:p w14:paraId="69660336" w14:textId="77777777" w:rsidR="0019441F" w:rsidRDefault="0019441F">
            <w:pPr>
              <w:tabs>
                <w:tab w:val="left" w:pos="708"/>
              </w:tabs>
              <w:spacing w:before="100" w:beforeAutospacing="1" w:after="100" w:afterAutospacing="1"/>
              <w:rPr>
                <w:b/>
                <w:bCs/>
                <w:color w:val="FFFFFF"/>
                <w:szCs w:val="22"/>
              </w:rPr>
            </w:pPr>
            <w:r>
              <w:rPr>
                <w:b/>
                <w:bCs/>
                <w:color w:val="FFFFFF"/>
                <w:szCs w:val="22"/>
              </w:rPr>
              <w:t>Eis(en)</w:t>
            </w:r>
          </w:p>
        </w:tc>
      </w:tr>
      <w:tr w:rsidR="0019441F" w14:paraId="4C370A8F" w14:textId="77777777" w:rsidTr="0019441F">
        <w:tc>
          <w:tcPr>
            <w:tcW w:w="0" w:type="auto"/>
            <w:tcBorders>
              <w:top w:val="single" w:sz="4" w:space="0" w:color="9CC2E5"/>
              <w:left w:val="single" w:sz="4" w:space="0" w:color="9CC2E5"/>
              <w:bottom w:val="single" w:sz="4" w:space="0" w:color="9CC2E5"/>
              <w:right w:val="single" w:sz="4" w:space="0" w:color="9CC2E5"/>
            </w:tcBorders>
            <w:shd w:val="clear" w:color="auto" w:fill="DEEAF6"/>
            <w:hideMark/>
          </w:tcPr>
          <w:p w14:paraId="60640D69" w14:textId="77777777" w:rsidR="0019441F" w:rsidRDefault="0019441F">
            <w:pPr>
              <w:tabs>
                <w:tab w:val="left" w:pos="708"/>
              </w:tabs>
              <w:spacing w:before="100" w:beforeAutospacing="1" w:after="100" w:afterAutospacing="1"/>
              <w:rPr>
                <w:b/>
                <w:bCs/>
                <w:color w:val="auto"/>
                <w:szCs w:val="22"/>
              </w:rPr>
            </w:pPr>
            <w:r>
              <w:rPr>
                <w:b/>
                <w:bCs/>
                <w:szCs w:val="22"/>
              </w:rPr>
              <w:t>I</w:t>
            </w:r>
          </w:p>
        </w:tc>
        <w:tc>
          <w:tcPr>
            <w:tcW w:w="0" w:type="auto"/>
            <w:tcBorders>
              <w:top w:val="single" w:sz="4" w:space="0" w:color="9CC2E5"/>
              <w:left w:val="single" w:sz="4" w:space="0" w:color="9CC2E5"/>
              <w:bottom w:val="single" w:sz="4" w:space="0" w:color="9CC2E5"/>
              <w:right w:val="single" w:sz="4" w:space="0" w:color="9CC2E5"/>
            </w:tcBorders>
            <w:shd w:val="clear" w:color="auto" w:fill="DEEAF6"/>
            <w:hideMark/>
          </w:tcPr>
          <w:p w14:paraId="79635520" w14:textId="77777777" w:rsidR="0019441F" w:rsidRDefault="0019441F">
            <w:pPr>
              <w:tabs>
                <w:tab w:val="left" w:pos="708"/>
              </w:tabs>
              <w:spacing w:before="100" w:beforeAutospacing="1" w:after="100" w:afterAutospacing="1"/>
              <w:rPr>
                <w:szCs w:val="22"/>
              </w:rPr>
            </w:pPr>
            <w:r>
              <w:rPr>
                <w:szCs w:val="22"/>
              </w:rPr>
              <w:t>Het werk</w:t>
            </w:r>
          </w:p>
        </w:tc>
        <w:tc>
          <w:tcPr>
            <w:tcW w:w="0" w:type="auto"/>
            <w:tcBorders>
              <w:top w:val="single" w:sz="4" w:space="0" w:color="9CC2E5"/>
              <w:left w:val="single" w:sz="4" w:space="0" w:color="9CC2E5"/>
              <w:bottom w:val="single" w:sz="4" w:space="0" w:color="9CC2E5"/>
              <w:right w:val="single" w:sz="4" w:space="0" w:color="9CC2E5"/>
            </w:tcBorders>
            <w:shd w:val="clear" w:color="auto" w:fill="DEEAF6"/>
            <w:hideMark/>
          </w:tcPr>
          <w:p w14:paraId="72C5A09C" w14:textId="77777777" w:rsidR="0019441F" w:rsidRDefault="0019441F">
            <w:pPr>
              <w:tabs>
                <w:tab w:val="left" w:pos="708"/>
              </w:tabs>
              <w:spacing w:before="100" w:beforeAutospacing="1" w:after="100" w:afterAutospacing="1"/>
              <w:rPr>
                <w:szCs w:val="22"/>
              </w:rPr>
            </w:pPr>
            <w:r>
              <w:t xml:space="preserve">Materiële schade aan, verlies of vernietiging van het Werk, waaronder de voor het Werk bestemde materialen. </w:t>
            </w:r>
            <w:r>
              <w:rPr>
                <w:iCs/>
              </w:rPr>
              <w:t>Onder het Werk wordt tevens begrepen het door een eigen gebrek direct getroffen onderdeel</w:t>
            </w:r>
          </w:p>
        </w:tc>
        <w:tc>
          <w:tcPr>
            <w:tcW w:w="0" w:type="auto"/>
            <w:tcBorders>
              <w:top w:val="single" w:sz="4" w:space="0" w:color="9CC2E5"/>
              <w:left w:val="single" w:sz="4" w:space="0" w:color="9CC2E5"/>
              <w:bottom w:val="single" w:sz="4" w:space="0" w:color="9CC2E5"/>
              <w:right w:val="single" w:sz="4" w:space="0" w:color="9CC2E5"/>
            </w:tcBorders>
            <w:shd w:val="clear" w:color="auto" w:fill="DEEAF6"/>
            <w:hideMark/>
          </w:tcPr>
          <w:p w14:paraId="22AF87C5" w14:textId="77777777" w:rsidR="0019441F" w:rsidRDefault="0019441F" w:rsidP="000A7B5F">
            <w:pPr>
              <w:numPr>
                <w:ilvl w:val="0"/>
                <w:numId w:val="42"/>
              </w:numPr>
              <w:tabs>
                <w:tab w:val="left" w:pos="708"/>
              </w:tabs>
              <w:spacing w:before="100" w:beforeAutospacing="1" w:after="100" w:afterAutospacing="1" w:line="240" w:lineRule="auto"/>
              <w:rPr>
                <w:szCs w:val="22"/>
              </w:rPr>
            </w:pPr>
            <w:r>
              <w:t>Het verzekerd bedrag dient tenminste gelijk te zijn aan de inschrijvingssom en in de polis dient een 130%-bepaling te zijn opgenomen;</w:t>
            </w:r>
          </w:p>
          <w:p w14:paraId="42F85739" w14:textId="77777777" w:rsidR="0019441F" w:rsidRDefault="0019441F" w:rsidP="000A7B5F">
            <w:pPr>
              <w:numPr>
                <w:ilvl w:val="0"/>
                <w:numId w:val="42"/>
              </w:numPr>
              <w:tabs>
                <w:tab w:val="left" w:pos="708"/>
              </w:tabs>
              <w:spacing w:before="100" w:beforeAutospacing="1" w:after="100" w:afterAutospacing="1" w:line="240" w:lineRule="auto"/>
              <w:rPr>
                <w:szCs w:val="22"/>
              </w:rPr>
            </w:pPr>
            <w:r>
              <w:t>De dekking dient primair te zijn.</w:t>
            </w:r>
          </w:p>
        </w:tc>
      </w:tr>
      <w:tr w:rsidR="0019441F" w14:paraId="3BC07D84" w14:textId="77777777" w:rsidTr="0019441F">
        <w:tc>
          <w:tcPr>
            <w:tcW w:w="0" w:type="auto"/>
            <w:tcBorders>
              <w:top w:val="single" w:sz="4" w:space="0" w:color="9CC2E5"/>
              <w:left w:val="single" w:sz="4" w:space="0" w:color="9CC2E5"/>
              <w:bottom w:val="single" w:sz="4" w:space="0" w:color="9CC2E5"/>
              <w:right w:val="single" w:sz="4" w:space="0" w:color="9CC2E5"/>
            </w:tcBorders>
            <w:hideMark/>
          </w:tcPr>
          <w:p w14:paraId="769CFC84" w14:textId="77777777" w:rsidR="0019441F" w:rsidRDefault="0019441F">
            <w:pPr>
              <w:tabs>
                <w:tab w:val="left" w:pos="708"/>
              </w:tabs>
              <w:spacing w:before="100" w:beforeAutospacing="1" w:after="100" w:afterAutospacing="1"/>
              <w:rPr>
                <w:b/>
                <w:bCs/>
                <w:szCs w:val="22"/>
              </w:rPr>
            </w:pPr>
            <w:r>
              <w:rPr>
                <w:b/>
                <w:bCs/>
                <w:szCs w:val="22"/>
              </w:rPr>
              <w:t>II</w:t>
            </w:r>
          </w:p>
        </w:tc>
        <w:tc>
          <w:tcPr>
            <w:tcW w:w="0" w:type="auto"/>
            <w:tcBorders>
              <w:top w:val="single" w:sz="4" w:space="0" w:color="9CC2E5"/>
              <w:left w:val="single" w:sz="4" w:space="0" w:color="9CC2E5"/>
              <w:bottom w:val="single" w:sz="4" w:space="0" w:color="9CC2E5"/>
              <w:right w:val="single" w:sz="4" w:space="0" w:color="9CC2E5"/>
            </w:tcBorders>
            <w:hideMark/>
          </w:tcPr>
          <w:p w14:paraId="7F905BB8" w14:textId="77777777" w:rsidR="0019441F" w:rsidRDefault="0019441F">
            <w:pPr>
              <w:tabs>
                <w:tab w:val="left" w:pos="708"/>
              </w:tabs>
              <w:spacing w:before="100" w:beforeAutospacing="1" w:after="100" w:afterAutospacing="1"/>
              <w:rPr>
                <w:szCs w:val="22"/>
              </w:rPr>
            </w:pPr>
            <w:r>
              <w:rPr>
                <w:szCs w:val="22"/>
              </w:rPr>
              <w:t>Aansprakelijkheid</w:t>
            </w:r>
          </w:p>
        </w:tc>
        <w:tc>
          <w:tcPr>
            <w:tcW w:w="0" w:type="auto"/>
            <w:tcBorders>
              <w:top w:val="single" w:sz="4" w:space="0" w:color="9CC2E5"/>
              <w:left w:val="single" w:sz="4" w:space="0" w:color="9CC2E5"/>
              <w:bottom w:val="single" w:sz="4" w:space="0" w:color="9CC2E5"/>
              <w:right w:val="single" w:sz="4" w:space="0" w:color="9CC2E5"/>
            </w:tcBorders>
            <w:hideMark/>
          </w:tcPr>
          <w:p w14:paraId="601BA724" w14:textId="77777777" w:rsidR="0019441F" w:rsidRDefault="0019441F">
            <w:pPr>
              <w:tabs>
                <w:tab w:val="left" w:pos="708"/>
              </w:tabs>
              <w:spacing w:before="100" w:beforeAutospacing="1" w:after="100" w:afterAutospacing="1"/>
              <w:rPr>
                <w:szCs w:val="22"/>
              </w:rPr>
            </w:pPr>
            <w:r>
              <w:t>het risico van aansprakelijkheid voor schade aan zaken van derden alsmede voor dood en/of lichamelijk letsel van personen (exclusief bij het werk betrokken personeel), veroorzaakt in verband met de uitvoering van het werk</w:t>
            </w:r>
          </w:p>
        </w:tc>
        <w:tc>
          <w:tcPr>
            <w:tcW w:w="0" w:type="auto"/>
            <w:tcBorders>
              <w:top w:val="single" w:sz="4" w:space="0" w:color="9CC2E5"/>
              <w:left w:val="single" w:sz="4" w:space="0" w:color="9CC2E5"/>
              <w:bottom w:val="single" w:sz="4" w:space="0" w:color="9CC2E5"/>
              <w:right w:val="single" w:sz="4" w:space="0" w:color="9CC2E5"/>
            </w:tcBorders>
            <w:hideMark/>
          </w:tcPr>
          <w:p w14:paraId="1FE7EF50" w14:textId="77777777" w:rsidR="0019441F" w:rsidRDefault="0019441F" w:rsidP="000A7B5F">
            <w:pPr>
              <w:numPr>
                <w:ilvl w:val="0"/>
                <w:numId w:val="42"/>
              </w:numPr>
              <w:tabs>
                <w:tab w:val="left" w:pos="708"/>
              </w:tabs>
              <w:spacing w:before="100" w:beforeAutospacing="1" w:after="100" w:afterAutospacing="1" w:line="240" w:lineRule="auto"/>
              <w:rPr>
                <w:szCs w:val="20"/>
              </w:rPr>
            </w:pPr>
            <w:r>
              <w:t>Het verzekerd bedrag dient tenminste gelijk te zijn aan EUR 5.000.000,=</w:t>
            </w:r>
          </w:p>
          <w:p w14:paraId="1FD4A4BC" w14:textId="77777777" w:rsidR="0019441F" w:rsidRDefault="0019441F" w:rsidP="0019441F">
            <w:pPr>
              <w:numPr>
                <w:ilvl w:val="0"/>
                <w:numId w:val="42"/>
              </w:numPr>
              <w:tabs>
                <w:tab w:val="left" w:pos="708"/>
              </w:tabs>
              <w:spacing w:before="100" w:beforeAutospacing="1" w:after="100" w:afterAutospacing="1" w:line="240" w:lineRule="auto"/>
              <w:rPr>
                <w:szCs w:val="22"/>
              </w:rPr>
            </w:pPr>
            <w:r>
              <w:t xml:space="preserve">De dekking mag secundair zijn, </w:t>
            </w:r>
            <w:r>
              <w:rPr>
                <w:iCs/>
              </w:rPr>
              <w:t>uitsluitend bedoeld als vangnet indien dit risico elders niet (of onvoldoende) is verzekerd</w:t>
            </w:r>
            <w:r>
              <w:t>.</w:t>
            </w:r>
          </w:p>
        </w:tc>
      </w:tr>
      <w:tr w:rsidR="0019441F" w14:paraId="4E16CAA9" w14:textId="77777777" w:rsidTr="0019441F">
        <w:tc>
          <w:tcPr>
            <w:tcW w:w="0" w:type="auto"/>
            <w:tcBorders>
              <w:top w:val="single" w:sz="4" w:space="0" w:color="9CC2E5"/>
              <w:left w:val="single" w:sz="4" w:space="0" w:color="9CC2E5"/>
              <w:bottom w:val="single" w:sz="4" w:space="0" w:color="9CC2E5"/>
              <w:right w:val="single" w:sz="4" w:space="0" w:color="9CC2E5"/>
            </w:tcBorders>
            <w:shd w:val="clear" w:color="auto" w:fill="DEEAF6"/>
            <w:hideMark/>
          </w:tcPr>
          <w:p w14:paraId="629BF3CA" w14:textId="77777777" w:rsidR="0019441F" w:rsidRDefault="0019441F">
            <w:pPr>
              <w:tabs>
                <w:tab w:val="left" w:pos="708"/>
              </w:tabs>
              <w:spacing w:before="100" w:beforeAutospacing="1" w:after="100" w:afterAutospacing="1"/>
              <w:rPr>
                <w:b/>
                <w:bCs/>
                <w:szCs w:val="22"/>
              </w:rPr>
            </w:pPr>
            <w:r>
              <w:rPr>
                <w:b/>
                <w:bCs/>
                <w:szCs w:val="22"/>
              </w:rPr>
              <w:t>III</w:t>
            </w:r>
          </w:p>
        </w:tc>
        <w:tc>
          <w:tcPr>
            <w:tcW w:w="0" w:type="auto"/>
            <w:tcBorders>
              <w:top w:val="single" w:sz="4" w:space="0" w:color="9CC2E5"/>
              <w:left w:val="single" w:sz="4" w:space="0" w:color="9CC2E5"/>
              <w:bottom w:val="single" w:sz="4" w:space="0" w:color="9CC2E5"/>
              <w:right w:val="single" w:sz="4" w:space="0" w:color="9CC2E5"/>
            </w:tcBorders>
            <w:shd w:val="clear" w:color="auto" w:fill="DEEAF6"/>
            <w:hideMark/>
          </w:tcPr>
          <w:p w14:paraId="13E46720" w14:textId="77777777" w:rsidR="0019441F" w:rsidRDefault="0019441F">
            <w:pPr>
              <w:tabs>
                <w:tab w:val="left" w:pos="708"/>
              </w:tabs>
              <w:spacing w:before="100" w:beforeAutospacing="1" w:after="100" w:afterAutospacing="1"/>
              <w:rPr>
                <w:szCs w:val="22"/>
              </w:rPr>
            </w:pPr>
            <w:r>
              <w:rPr>
                <w:szCs w:val="22"/>
              </w:rPr>
              <w:t>Bestaande eigendommen Opdrachtgever</w:t>
            </w:r>
          </w:p>
        </w:tc>
        <w:tc>
          <w:tcPr>
            <w:tcW w:w="0" w:type="auto"/>
            <w:tcBorders>
              <w:top w:val="single" w:sz="4" w:space="0" w:color="9CC2E5"/>
              <w:left w:val="single" w:sz="4" w:space="0" w:color="9CC2E5"/>
              <w:bottom w:val="single" w:sz="4" w:space="0" w:color="9CC2E5"/>
              <w:right w:val="single" w:sz="4" w:space="0" w:color="9CC2E5"/>
            </w:tcBorders>
            <w:shd w:val="clear" w:color="auto" w:fill="DEEAF6"/>
            <w:hideMark/>
          </w:tcPr>
          <w:p w14:paraId="3C54E8D4" w14:textId="77777777" w:rsidR="0019441F" w:rsidRDefault="0019441F">
            <w:pPr>
              <w:tabs>
                <w:tab w:val="left" w:pos="708"/>
              </w:tabs>
              <w:spacing w:before="100" w:beforeAutospacing="1" w:after="100" w:afterAutospacing="1"/>
              <w:rPr>
                <w:szCs w:val="22"/>
              </w:rPr>
            </w:pPr>
            <w:r>
              <w:rPr>
                <w:iCs/>
              </w:rPr>
              <w:t>materiële schade aan andere dan tot het Werk behorende eigendommen van de Opdrachtgever, veroorzaakt in verband met de uitvoering van het Werk, met uitsluiting van schade door brand, blikseminslag en explosie</w:t>
            </w:r>
          </w:p>
        </w:tc>
        <w:tc>
          <w:tcPr>
            <w:tcW w:w="0" w:type="auto"/>
            <w:tcBorders>
              <w:top w:val="single" w:sz="4" w:space="0" w:color="9CC2E5"/>
              <w:left w:val="single" w:sz="4" w:space="0" w:color="9CC2E5"/>
              <w:bottom w:val="single" w:sz="4" w:space="0" w:color="9CC2E5"/>
              <w:right w:val="single" w:sz="4" w:space="0" w:color="9CC2E5"/>
            </w:tcBorders>
            <w:shd w:val="clear" w:color="auto" w:fill="DEEAF6"/>
            <w:hideMark/>
          </w:tcPr>
          <w:p w14:paraId="2074DB51" w14:textId="77777777" w:rsidR="0019441F" w:rsidRDefault="0019441F" w:rsidP="000A7B5F">
            <w:pPr>
              <w:numPr>
                <w:ilvl w:val="0"/>
                <w:numId w:val="42"/>
              </w:numPr>
              <w:tabs>
                <w:tab w:val="left" w:pos="708"/>
              </w:tabs>
              <w:spacing w:before="100" w:beforeAutospacing="1" w:after="100" w:afterAutospacing="1" w:line="240" w:lineRule="auto"/>
              <w:rPr>
                <w:szCs w:val="20"/>
              </w:rPr>
            </w:pPr>
            <w:r>
              <w:t>Het verzekerd bedrag dient tenminste gelijk te zijn aan EUR 2.500.000,=</w:t>
            </w:r>
          </w:p>
          <w:p w14:paraId="3E0E8526" w14:textId="77777777" w:rsidR="0019441F" w:rsidRDefault="0019441F" w:rsidP="000A7B5F">
            <w:pPr>
              <w:numPr>
                <w:ilvl w:val="0"/>
                <w:numId w:val="42"/>
              </w:numPr>
              <w:tabs>
                <w:tab w:val="left" w:pos="708"/>
              </w:tabs>
              <w:spacing w:before="100" w:beforeAutospacing="1" w:after="100" w:afterAutospacing="1" w:line="240" w:lineRule="auto"/>
              <w:rPr>
                <w:szCs w:val="22"/>
              </w:rPr>
            </w:pPr>
            <w:r>
              <w:t>De dekking dient primair te zijn.</w:t>
            </w:r>
          </w:p>
        </w:tc>
      </w:tr>
    </w:tbl>
    <w:p w14:paraId="5B6996A6" w14:textId="77777777" w:rsidR="0019441F" w:rsidRDefault="0019441F" w:rsidP="0019441F">
      <w:pPr>
        <w:tabs>
          <w:tab w:val="left" w:pos="1134"/>
        </w:tabs>
        <w:ind w:left="1134"/>
        <w:rPr>
          <w:sz w:val="22"/>
          <w:szCs w:val="20"/>
        </w:rPr>
      </w:pPr>
    </w:p>
    <w:p w14:paraId="7CC555A9" w14:textId="77777777" w:rsidR="0019441F" w:rsidRDefault="0019441F" w:rsidP="0019441F">
      <w:pPr>
        <w:numPr>
          <w:ilvl w:val="0"/>
          <w:numId w:val="41"/>
        </w:numPr>
        <w:tabs>
          <w:tab w:val="left" w:pos="-1440"/>
          <w:tab w:val="left" w:pos="-720"/>
          <w:tab w:val="left" w:pos="0"/>
          <w:tab w:val="left" w:pos="380"/>
          <w:tab w:val="left" w:pos="1134"/>
        </w:tabs>
        <w:spacing w:line="240" w:lineRule="auto"/>
      </w:pPr>
      <w:r>
        <w:t xml:space="preserve">Het eigen risico dient maximaal EUR 10.000,= per gebeurtenis (van rubriek I, II en III) te bedragen . </w:t>
      </w:r>
    </w:p>
    <w:p w14:paraId="39744229" w14:textId="77777777" w:rsidR="0019441F" w:rsidRDefault="0019441F" w:rsidP="0019441F">
      <w:pPr>
        <w:numPr>
          <w:ilvl w:val="0"/>
          <w:numId w:val="41"/>
        </w:numPr>
        <w:tabs>
          <w:tab w:val="left" w:pos="-1440"/>
          <w:tab w:val="left" w:pos="-720"/>
          <w:tab w:val="left" w:pos="0"/>
          <w:tab w:val="left" w:pos="380"/>
          <w:tab w:val="left" w:pos="1134"/>
        </w:tabs>
        <w:spacing w:line="240" w:lineRule="auto"/>
      </w:pPr>
      <w:r>
        <w:t xml:space="preserve">De dekking van de CAR-verzekering dient vanaf het moment waarop het Werk een aanvang neemt tot het eind van de onderhoudstermijn te lopen. Indien de genoemde oplevering niet volgens de Overeenkomst plaatsvindt en de datum van oplevering daardoor wordt uitgesteld, dient de Opdrachtnemer de verzekering te verlengen. De verschuldigde premie voor deze verlenging komt geheel ten laste van de Opdrachtnemer, indien de verlenging het gevolg is van zijn nalatigheid.. </w:t>
      </w:r>
    </w:p>
    <w:p w14:paraId="3C1AEBD9" w14:textId="77777777" w:rsidR="0019441F" w:rsidRDefault="0019441F" w:rsidP="0019441F">
      <w:pPr>
        <w:ind w:left="360"/>
      </w:pPr>
    </w:p>
    <w:p w14:paraId="19997F4B" w14:textId="77777777" w:rsidR="0019441F" w:rsidRDefault="0019441F" w:rsidP="0019441F">
      <w:pPr>
        <w:numPr>
          <w:ilvl w:val="0"/>
          <w:numId w:val="41"/>
        </w:numPr>
        <w:tabs>
          <w:tab w:val="left" w:pos="-1440"/>
          <w:tab w:val="left" w:pos="-720"/>
          <w:tab w:val="left" w:pos="0"/>
          <w:tab w:val="left" w:pos="380"/>
        </w:tabs>
        <w:spacing w:line="240" w:lineRule="auto"/>
        <w:ind w:left="360"/>
      </w:pPr>
      <w:r>
        <w:t>Het verzekeren van rubriek II in de vorm van een (doorlopende) bedrijfsaansprakelijkheidsverzekering, is toegestaan.</w:t>
      </w:r>
    </w:p>
    <w:p w14:paraId="30B51479" w14:textId="77777777" w:rsidR="0019441F" w:rsidRDefault="0019441F" w:rsidP="0019441F"/>
    <w:p w14:paraId="6657C108" w14:textId="77777777" w:rsidR="0019441F" w:rsidRDefault="0019441F" w:rsidP="0019441F">
      <w:pPr>
        <w:numPr>
          <w:ilvl w:val="0"/>
          <w:numId w:val="41"/>
        </w:numPr>
        <w:tabs>
          <w:tab w:val="left" w:pos="-1440"/>
          <w:tab w:val="left" w:pos="-720"/>
          <w:tab w:val="left" w:pos="0"/>
          <w:tab w:val="left" w:pos="380"/>
        </w:tabs>
        <w:spacing w:line="240" w:lineRule="auto"/>
        <w:ind w:left="360"/>
      </w:pPr>
      <w:r>
        <w:t>De aansprakelijkheid van partijen volgens de wet of uit de Overeenkomst wordt niet beperkt, verminderd of gewijzigd door enige bepalingen van de betreffende verzekering in dit artikel, waaronder mede verstaan worden verplichtingen alle schade volledig te herstellen en het Werk conform de Overeenkomst op te leveren.</w:t>
      </w:r>
    </w:p>
    <w:p w14:paraId="4F95483E" w14:textId="77777777" w:rsidR="0019441F" w:rsidRDefault="0019441F" w:rsidP="0019441F"/>
    <w:p w14:paraId="34420628" w14:textId="617AAFA3" w:rsidR="0019441F" w:rsidRPr="0019441F" w:rsidRDefault="0019441F" w:rsidP="000A7B5F">
      <w:pPr>
        <w:numPr>
          <w:ilvl w:val="0"/>
          <w:numId w:val="41"/>
        </w:numPr>
        <w:tabs>
          <w:tab w:val="left" w:pos="-1440"/>
          <w:tab w:val="left" w:pos="-720"/>
          <w:tab w:val="left" w:pos="0"/>
          <w:tab w:val="left" w:pos="380"/>
        </w:tabs>
        <w:spacing w:line="240" w:lineRule="auto"/>
        <w:ind w:left="360"/>
      </w:pPr>
      <w:r w:rsidRPr="0019441F">
        <w:lastRenderedPageBreak/>
        <w:t>De Opdrachtnemer dient voor genoemde verzekering het bewijsstuk (verzekeringscertificaat) waaruit het sluiten van de betreffende verzekering blijkt, ter kennis van de Opdrachtgever te brengen. Aan een verschil tussen de door de Opdrachtnemer overlegde bewijsstukken en de Overeenkomst kunnen geen rechten worden ontleend.</w:t>
      </w:r>
    </w:p>
    <w:p w14:paraId="63F2F609" w14:textId="77777777" w:rsidR="0019441F" w:rsidRPr="0019441F" w:rsidRDefault="0019441F" w:rsidP="000A7B5F">
      <w:pPr>
        <w:tabs>
          <w:tab w:val="left" w:pos="-1440"/>
          <w:tab w:val="left" w:pos="-720"/>
          <w:tab w:val="left" w:pos="0"/>
          <w:tab w:val="left" w:pos="380"/>
        </w:tabs>
        <w:spacing w:line="240" w:lineRule="auto"/>
        <w:ind w:left="360"/>
      </w:pPr>
    </w:p>
    <w:p w14:paraId="7AD59860" w14:textId="77777777" w:rsidR="0019441F" w:rsidRPr="0019441F" w:rsidRDefault="0019441F" w:rsidP="000A7B5F">
      <w:pPr>
        <w:numPr>
          <w:ilvl w:val="0"/>
          <w:numId w:val="41"/>
        </w:numPr>
        <w:tabs>
          <w:tab w:val="left" w:pos="-1440"/>
          <w:tab w:val="left" w:pos="-720"/>
          <w:tab w:val="left" w:pos="0"/>
          <w:tab w:val="left" w:pos="380"/>
        </w:tabs>
        <w:spacing w:line="240" w:lineRule="auto"/>
        <w:ind w:left="360"/>
      </w:pPr>
      <w:r w:rsidRPr="0019441F">
        <w:t xml:space="preserve">Opdrachtgever is te allen tijde gerechtigd van Opdrachtnemer bewijs te verlangen dat de verschuldigde verzekeringspremies met betrekking tot de in lid 1genoemde verzekering(en) zijn betaald. </w:t>
      </w:r>
    </w:p>
    <w:p w14:paraId="6F43844C" w14:textId="77777777" w:rsidR="0019441F" w:rsidRPr="0019441F" w:rsidRDefault="0019441F" w:rsidP="000A7B5F">
      <w:pPr>
        <w:tabs>
          <w:tab w:val="left" w:pos="-1440"/>
          <w:tab w:val="left" w:pos="-720"/>
          <w:tab w:val="left" w:pos="0"/>
          <w:tab w:val="left" w:pos="380"/>
        </w:tabs>
        <w:spacing w:line="240" w:lineRule="auto"/>
        <w:ind w:left="360"/>
      </w:pPr>
    </w:p>
    <w:p w14:paraId="0C374755" w14:textId="77777777" w:rsidR="0019441F" w:rsidRPr="0019441F" w:rsidRDefault="0019441F" w:rsidP="000A7B5F">
      <w:pPr>
        <w:numPr>
          <w:ilvl w:val="0"/>
          <w:numId w:val="41"/>
        </w:numPr>
        <w:tabs>
          <w:tab w:val="left" w:pos="-1440"/>
          <w:tab w:val="left" w:pos="-720"/>
          <w:tab w:val="left" w:pos="0"/>
          <w:tab w:val="left" w:pos="380"/>
        </w:tabs>
        <w:spacing w:line="240" w:lineRule="auto"/>
        <w:ind w:left="360"/>
      </w:pPr>
      <w:r w:rsidRPr="0019441F">
        <w:t>Het eigen risico dat op de –in lid 1 genoemde- verzekering(en) van toepassing is, komt ten laste van de aansprakelijke en/of verantwoordelijke partij, evenals alle niet door deze verzekering gedekte schaden en/of vorderingen.</w:t>
      </w:r>
    </w:p>
    <w:p w14:paraId="2D01416D" w14:textId="77777777" w:rsidR="0019441F" w:rsidRDefault="0019441F" w:rsidP="0019441F"/>
    <w:p w14:paraId="1E753E20" w14:textId="77777777" w:rsidR="00AF117A" w:rsidRDefault="00AF117A" w:rsidP="00AF117A">
      <w:pPr>
        <w:pStyle w:val="Kop1"/>
        <w:numPr>
          <w:ilvl w:val="0"/>
          <w:numId w:val="0"/>
        </w:numPr>
      </w:pPr>
      <w:bookmarkStart w:id="12" w:name="_Toc360780684"/>
      <w:r>
        <w:lastRenderedPageBreak/>
        <w:t>Annex XI. Geschillenregeling Raad van Deskundigen</w:t>
      </w:r>
      <w:bookmarkEnd w:id="12"/>
    </w:p>
    <w:p w14:paraId="12DD1450" w14:textId="77777777" w:rsidR="00AF117A" w:rsidRDefault="00AF117A" w:rsidP="00AF117A"/>
    <w:p w14:paraId="46610DDD" w14:textId="77777777" w:rsidR="00AF117A" w:rsidRDefault="00AF117A" w:rsidP="00AF117A"/>
    <w:p w14:paraId="145DB818" w14:textId="77777777" w:rsidR="00AF117A" w:rsidRDefault="00AF117A" w:rsidP="00AF117A"/>
    <w:p w14:paraId="6A6C3E44" w14:textId="77777777" w:rsidR="00AF117A" w:rsidRPr="004A2815" w:rsidRDefault="00AF117A" w:rsidP="00AF117A">
      <w:r>
        <w:t>Deze annex is niet van toepassing op de overeenkomst.</w:t>
      </w:r>
    </w:p>
    <w:p w14:paraId="559DB6D4" w14:textId="77777777" w:rsidR="00AF117A" w:rsidRDefault="00AF117A" w:rsidP="00AF117A">
      <w:pPr>
        <w:pStyle w:val="Kop1"/>
        <w:numPr>
          <w:ilvl w:val="0"/>
          <w:numId w:val="0"/>
        </w:numPr>
      </w:pPr>
      <w:bookmarkStart w:id="13" w:name="_Toc360780685"/>
      <w:r>
        <w:lastRenderedPageBreak/>
        <w:t>Annex XII. Wijzigingen op de UAV-GC 2005</w:t>
      </w:r>
      <w:bookmarkEnd w:id="13"/>
    </w:p>
    <w:p w14:paraId="1E7BD416"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De UAV-GC 2005 is van toepassing met inachtneming van het volgende:</w:t>
      </w:r>
    </w:p>
    <w:p w14:paraId="0F840725" w14:textId="77777777" w:rsidR="00AF117A" w:rsidRPr="00576C02" w:rsidRDefault="00AF117A" w:rsidP="00AF117A">
      <w:pPr>
        <w:autoSpaceDE w:val="0"/>
        <w:autoSpaceDN w:val="0"/>
        <w:adjustRightInd w:val="0"/>
        <w:spacing w:line="240" w:lineRule="auto"/>
        <w:rPr>
          <w:rFonts w:cs="Verdana"/>
          <w:lang w:eastAsia="nl-NL"/>
        </w:rPr>
      </w:pPr>
    </w:p>
    <w:p w14:paraId="5712BDED" w14:textId="77777777" w:rsidR="00AF117A" w:rsidRPr="00576C02" w:rsidRDefault="00AF117A" w:rsidP="00AF117A">
      <w:pPr>
        <w:autoSpaceDE w:val="0"/>
        <w:autoSpaceDN w:val="0"/>
        <w:adjustRightInd w:val="0"/>
        <w:spacing w:line="240" w:lineRule="auto"/>
        <w:rPr>
          <w:rFonts w:cs="Verdana"/>
          <w:b/>
          <w:lang w:eastAsia="nl-NL"/>
        </w:rPr>
      </w:pPr>
      <w:r w:rsidRPr="00576C02">
        <w:rPr>
          <w:rFonts w:cs="Verdana"/>
          <w:b/>
          <w:lang w:eastAsia="nl-NL"/>
        </w:rPr>
        <w:t>§ 33 Betaling.</w:t>
      </w:r>
    </w:p>
    <w:p w14:paraId="050D22BD"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33-7 De tekst “4 weken” wordt vervangen door “30 kalenderdagen”.</w:t>
      </w:r>
    </w:p>
    <w:p w14:paraId="63FA66E1" w14:textId="77777777" w:rsidR="00AF117A" w:rsidRPr="00576C02" w:rsidRDefault="00AF117A" w:rsidP="00AF117A">
      <w:pPr>
        <w:autoSpaceDE w:val="0"/>
        <w:autoSpaceDN w:val="0"/>
        <w:adjustRightInd w:val="0"/>
        <w:spacing w:line="240" w:lineRule="auto"/>
        <w:rPr>
          <w:rFonts w:cs="Verdana"/>
          <w:lang w:eastAsia="nl-NL"/>
        </w:rPr>
      </w:pPr>
    </w:p>
    <w:p w14:paraId="1849A4C0" w14:textId="77777777" w:rsidR="00AF117A" w:rsidRPr="00576C02" w:rsidRDefault="00AF117A" w:rsidP="00AF117A">
      <w:pPr>
        <w:autoSpaceDE w:val="0"/>
        <w:autoSpaceDN w:val="0"/>
        <w:adjustRightInd w:val="0"/>
        <w:spacing w:line="240" w:lineRule="auto"/>
        <w:rPr>
          <w:rFonts w:cs="Verdana"/>
          <w:b/>
          <w:lang w:eastAsia="nl-NL"/>
        </w:rPr>
      </w:pPr>
      <w:r w:rsidRPr="00576C02">
        <w:rPr>
          <w:rFonts w:cs="Verdana"/>
          <w:b/>
          <w:lang w:eastAsia="nl-NL"/>
        </w:rPr>
        <w:t>§ 34 Stelposten.</w:t>
      </w:r>
    </w:p>
    <w:p w14:paraId="5C421983"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In § 34, de leden 3a en 3b wordt “10%” gewijzigd in “5%”.</w:t>
      </w:r>
    </w:p>
    <w:p w14:paraId="6ED9A688" w14:textId="77777777" w:rsidR="00AF117A" w:rsidRPr="00576C02" w:rsidRDefault="00AF117A" w:rsidP="00AF117A">
      <w:pPr>
        <w:autoSpaceDE w:val="0"/>
        <w:autoSpaceDN w:val="0"/>
        <w:adjustRightInd w:val="0"/>
        <w:spacing w:line="240" w:lineRule="auto"/>
        <w:rPr>
          <w:rFonts w:cs="Verdana"/>
          <w:lang w:eastAsia="nl-NL"/>
        </w:rPr>
      </w:pPr>
    </w:p>
    <w:p w14:paraId="2ED6977C" w14:textId="77777777" w:rsidR="00AF117A" w:rsidRPr="00576C02" w:rsidRDefault="00AF117A" w:rsidP="00AF117A">
      <w:pPr>
        <w:autoSpaceDE w:val="0"/>
        <w:autoSpaceDN w:val="0"/>
        <w:adjustRightInd w:val="0"/>
        <w:spacing w:line="240" w:lineRule="auto"/>
        <w:rPr>
          <w:rFonts w:cs="Verdana"/>
          <w:b/>
          <w:lang w:eastAsia="nl-NL"/>
        </w:rPr>
      </w:pPr>
      <w:r w:rsidRPr="00576C02">
        <w:rPr>
          <w:rFonts w:cs="Verdana"/>
          <w:b/>
          <w:lang w:eastAsia="nl-NL"/>
        </w:rPr>
        <w:t>§ 38 Zekerheidstelling.</w:t>
      </w:r>
    </w:p>
    <w:p w14:paraId="797E2F0F"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 38, lid 7 en lid 8 zijn niet van toepassing.</w:t>
      </w:r>
    </w:p>
    <w:p w14:paraId="78E0496F" w14:textId="77777777" w:rsidR="00AF117A" w:rsidRPr="00576C02" w:rsidRDefault="00AF117A" w:rsidP="00AF117A">
      <w:pPr>
        <w:autoSpaceDE w:val="0"/>
        <w:autoSpaceDN w:val="0"/>
        <w:adjustRightInd w:val="0"/>
        <w:spacing w:line="240" w:lineRule="auto"/>
        <w:rPr>
          <w:rFonts w:cs="Verdana"/>
          <w:lang w:eastAsia="nl-NL"/>
        </w:rPr>
      </w:pPr>
    </w:p>
    <w:p w14:paraId="4F6E123F" w14:textId="77777777" w:rsidR="00AF117A" w:rsidRPr="00576C02" w:rsidRDefault="00AF117A" w:rsidP="00AF117A">
      <w:pPr>
        <w:autoSpaceDE w:val="0"/>
        <w:autoSpaceDN w:val="0"/>
        <w:adjustRightInd w:val="0"/>
        <w:spacing w:line="240" w:lineRule="auto"/>
        <w:rPr>
          <w:rFonts w:cs="Verdana"/>
          <w:b/>
          <w:lang w:eastAsia="nl-NL"/>
        </w:rPr>
      </w:pPr>
      <w:r w:rsidRPr="00576C02">
        <w:rPr>
          <w:rFonts w:cs="Verdana"/>
          <w:b/>
          <w:lang w:eastAsia="nl-NL"/>
        </w:rPr>
        <w:t>§ 40 Intellectuele eigendomsrechten.</w:t>
      </w:r>
    </w:p>
    <w:p w14:paraId="4CBEDC85"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In § 40, lid 2, wordt “wetgeving” vervangen door “wet- en regelgeving”</w:t>
      </w:r>
    </w:p>
    <w:p w14:paraId="511EA7CB" w14:textId="77777777" w:rsidR="00AF117A" w:rsidRPr="00576C02" w:rsidRDefault="00AF117A" w:rsidP="00AF117A">
      <w:pPr>
        <w:autoSpaceDE w:val="0"/>
        <w:autoSpaceDN w:val="0"/>
        <w:adjustRightInd w:val="0"/>
        <w:spacing w:line="240" w:lineRule="auto"/>
        <w:rPr>
          <w:rFonts w:cs="Verdana"/>
          <w:lang w:eastAsia="nl-NL"/>
        </w:rPr>
      </w:pPr>
    </w:p>
    <w:p w14:paraId="2017E98B"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Het bepaalde in § 40, lid 3, vervalt en wordt vervangen door:</w:t>
      </w:r>
    </w:p>
    <w:p w14:paraId="50674852"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“Het is de Opdrachtgever toegestaan het Werk, zoals dat conform de Ontwerpdocumenten is uitgevoerd, al dan niet ingeval van uitbreiding, geheel of in onderdelen daarvan in herhaling te realiseren.”</w:t>
      </w:r>
    </w:p>
    <w:p w14:paraId="254E4EED" w14:textId="77777777" w:rsidR="00AF117A" w:rsidRPr="00576C02" w:rsidRDefault="00AF117A" w:rsidP="00AF117A">
      <w:pPr>
        <w:autoSpaceDE w:val="0"/>
        <w:autoSpaceDN w:val="0"/>
        <w:adjustRightInd w:val="0"/>
        <w:spacing w:line="240" w:lineRule="auto"/>
        <w:rPr>
          <w:rFonts w:cs="Verdana"/>
          <w:lang w:eastAsia="nl-NL"/>
        </w:rPr>
      </w:pPr>
    </w:p>
    <w:p w14:paraId="4836AB78"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Het bepaalde in § 40, lid 13, vervalt en wordt vervangen door:</w:t>
      </w:r>
    </w:p>
    <w:p w14:paraId="745CFE78"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“Indien de Opdrachtnemer een octrooi als bedoeld in lid 12 verkrijgt, verleent hij om niet aan de Opdrachtgever een vrij overdraagbare licentie voor toepassing in werken van de Opdrachtgever.”</w:t>
      </w:r>
    </w:p>
    <w:p w14:paraId="2E9B46AB" w14:textId="77777777" w:rsidR="00AF117A" w:rsidRPr="00576C02" w:rsidRDefault="00AF117A" w:rsidP="00AF117A">
      <w:pPr>
        <w:autoSpaceDE w:val="0"/>
        <w:autoSpaceDN w:val="0"/>
        <w:adjustRightInd w:val="0"/>
        <w:spacing w:line="240" w:lineRule="auto"/>
        <w:rPr>
          <w:rFonts w:cs="Verdana"/>
          <w:lang w:eastAsia="nl-NL"/>
        </w:rPr>
      </w:pPr>
    </w:p>
    <w:p w14:paraId="15F2D861"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 40 wordt aangevuld met lid 15 met de navolgende tekst:</w:t>
      </w:r>
    </w:p>
    <w:p w14:paraId="2063B4F1"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“De Opdrachtgever is bevoegd wijzigingen in het Werk aan te brengen, respectievelijk het Werk geheel of gedeeltelijk te slopen, indien eisen van veiligheid, arbeidsomstandigheden, wet- en regelgeving, of bedrijfseconomische aard dit meebrengen.”</w:t>
      </w:r>
    </w:p>
    <w:p w14:paraId="2C2141C4" w14:textId="77777777" w:rsidR="00AF117A" w:rsidRPr="00576C02" w:rsidRDefault="00AF117A" w:rsidP="00AF117A">
      <w:pPr>
        <w:autoSpaceDE w:val="0"/>
        <w:autoSpaceDN w:val="0"/>
        <w:adjustRightInd w:val="0"/>
        <w:spacing w:line="240" w:lineRule="auto"/>
        <w:rPr>
          <w:rFonts w:cs="Verdana"/>
          <w:lang w:eastAsia="nl-NL"/>
        </w:rPr>
      </w:pPr>
    </w:p>
    <w:p w14:paraId="12E4C93C" w14:textId="77777777" w:rsidR="00AF117A" w:rsidRPr="00576C02" w:rsidRDefault="00AF117A" w:rsidP="00AF117A">
      <w:pPr>
        <w:autoSpaceDE w:val="0"/>
        <w:autoSpaceDN w:val="0"/>
        <w:adjustRightInd w:val="0"/>
        <w:spacing w:line="240" w:lineRule="auto"/>
        <w:rPr>
          <w:rFonts w:cs="Verdana"/>
          <w:b/>
          <w:lang w:eastAsia="nl-NL"/>
        </w:rPr>
      </w:pPr>
      <w:r w:rsidRPr="00576C02">
        <w:rPr>
          <w:rFonts w:cs="Verdana"/>
          <w:b/>
          <w:lang w:eastAsia="nl-NL"/>
        </w:rPr>
        <w:t>§ 42 In gebreke blijven, onvermogen, of overlijden van de Opdrachtgever</w:t>
      </w:r>
    </w:p>
    <w:p w14:paraId="6E08ABC8" w14:textId="77777777" w:rsidR="00AF117A" w:rsidRPr="00576C02" w:rsidRDefault="00AF117A" w:rsidP="00AF117A">
      <w:pPr>
        <w:autoSpaceDE w:val="0"/>
        <w:autoSpaceDN w:val="0"/>
        <w:adjustRightInd w:val="0"/>
        <w:spacing w:line="240" w:lineRule="auto"/>
        <w:rPr>
          <w:rFonts w:cs="Verdana"/>
          <w:lang w:eastAsia="nl-NL"/>
        </w:rPr>
      </w:pPr>
    </w:p>
    <w:p w14:paraId="5DB2FF35"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42-1: de tekst in regel 4 en 5 : “… aanspraak op vergoeding van rente tegen het wettelijk percentage …” wordt gewijzigd in: “… aanspraak op vergoeding van rente overeenkomstig artikel 6:119a Burgerlijk Wetboek en tegen het wettelijk percentage bedoeld in artikel 6:120, tweede lid, Burgerlijk Wetboek …”.</w:t>
      </w:r>
      <w:r>
        <w:rPr>
          <w:rFonts w:cs="Verdana"/>
          <w:lang w:eastAsia="nl-NL"/>
        </w:rPr>
        <w:t xml:space="preserve"> </w:t>
      </w:r>
      <w:r w:rsidRPr="00576C02">
        <w:rPr>
          <w:rFonts w:cs="Verdana"/>
          <w:lang w:eastAsia="nl-NL"/>
        </w:rPr>
        <w:t>De laatste zin ‘De rentevordering………rente’ vervalt.</w:t>
      </w:r>
    </w:p>
    <w:p w14:paraId="36F56F4B" w14:textId="77777777" w:rsidR="00AF117A" w:rsidRPr="00576C02" w:rsidRDefault="00AF117A" w:rsidP="00AF117A">
      <w:pPr>
        <w:autoSpaceDE w:val="0"/>
        <w:autoSpaceDN w:val="0"/>
        <w:adjustRightInd w:val="0"/>
        <w:spacing w:line="240" w:lineRule="auto"/>
        <w:rPr>
          <w:rFonts w:cs="Verdana"/>
          <w:lang w:eastAsia="nl-NL"/>
        </w:rPr>
      </w:pPr>
    </w:p>
    <w:p w14:paraId="00BB5E53"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42-2: de tekst in regel 6 en 7: “… wordt het in lid 1 bepaalde percentage na het verstrijken van die 14 dagen met 2 verhoogd en …” vervalt.</w:t>
      </w:r>
    </w:p>
    <w:p w14:paraId="2F1E53F8" w14:textId="77777777" w:rsidR="00AF117A" w:rsidRPr="00576C02" w:rsidRDefault="00AF117A" w:rsidP="00AF117A">
      <w:pPr>
        <w:spacing w:line="240" w:lineRule="auto"/>
        <w:rPr>
          <w:rFonts w:cs="Verdana"/>
          <w:lang w:eastAsia="nl-NL"/>
        </w:rPr>
      </w:pPr>
    </w:p>
    <w:p w14:paraId="39882551" w14:textId="77777777" w:rsidR="00AF117A" w:rsidRPr="00576C02" w:rsidRDefault="00AF117A" w:rsidP="00AF117A">
      <w:pPr>
        <w:autoSpaceDE w:val="0"/>
        <w:autoSpaceDN w:val="0"/>
        <w:adjustRightInd w:val="0"/>
        <w:spacing w:line="240" w:lineRule="auto"/>
        <w:rPr>
          <w:rFonts w:cs="Verdana"/>
          <w:b/>
          <w:lang w:eastAsia="nl-NL"/>
        </w:rPr>
      </w:pPr>
      <w:r w:rsidRPr="00576C02">
        <w:rPr>
          <w:rFonts w:cs="Verdana"/>
          <w:b/>
          <w:lang w:eastAsia="nl-NL"/>
        </w:rPr>
        <w:t>§ 47 Beslechting van geschillen</w:t>
      </w:r>
    </w:p>
    <w:p w14:paraId="370C59B3"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Aan §47 UAV-GC 2005 worden twee nieuwe leden toegevoegd, luidende:</w:t>
      </w:r>
    </w:p>
    <w:p w14:paraId="6FD9EBE9"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 xml:space="preserve">47-6: In geval van een geschil is de Opdrachtnemer gehouden de Werkzaamheden op vordering van de Opdrachtgever volgens zijn aanwijzingen voort te zetten, tenzij de Rechter te </w:t>
      </w:r>
      <w:r w:rsidR="00E67792">
        <w:rPr>
          <w:rFonts w:cs="Verdana"/>
          <w:lang w:eastAsia="nl-NL"/>
        </w:rPr>
        <w:t>Utrecht</w:t>
      </w:r>
      <w:r w:rsidRPr="00576C02">
        <w:rPr>
          <w:rFonts w:cs="Verdana"/>
          <w:lang w:eastAsia="nl-NL"/>
        </w:rPr>
        <w:t xml:space="preserve"> in kortgeding anders beslist en onverminderd zijn rechten, die uit bedoelde uitspraak voor hem mochten voortvloeien.</w:t>
      </w:r>
    </w:p>
    <w:p w14:paraId="163C3937"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 xml:space="preserve">47-7: Voor zover de uitkering van enige termijn van betaling vertraging zou ondervinden in verband met een aanhangig geschil, zal de Opdrachtgever tot zodanige betaling overgaan als in verband met de stand van de Werkzaamheden en de wederzijdse vorderingen toelaatbaar is. Zodanig betaling zal niet in het geding kunnen worden gebruikt als bewijs van de erkenning door de Opdrachtgever van enig recht van de Opdrachtnemer. </w:t>
      </w:r>
    </w:p>
    <w:p w14:paraId="1F6BB84B" w14:textId="77777777" w:rsidR="00AF117A" w:rsidRPr="00576C02" w:rsidRDefault="00AF117A" w:rsidP="00AF117A">
      <w:pPr>
        <w:autoSpaceDE w:val="0"/>
        <w:autoSpaceDN w:val="0"/>
        <w:adjustRightInd w:val="0"/>
        <w:spacing w:line="240" w:lineRule="auto"/>
        <w:rPr>
          <w:rFonts w:cs="Verdana"/>
          <w:lang w:eastAsia="nl-NL"/>
        </w:rPr>
      </w:pPr>
    </w:p>
    <w:p w14:paraId="0289C966" w14:textId="77777777" w:rsidR="00AF117A" w:rsidRPr="00576C02" w:rsidRDefault="00AF117A" w:rsidP="00AF117A">
      <w:pPr>
        <w:autoSpaceDE w:val="0"/>
        <w:autoSpaceDN w:val="0"/>
        <w:adjustRightInd w:val="0"/>
        <w:spacing w:line="240" w:lineRule="auto"/>
        <w:rPr>
          <w:rFonts w:cs="Verdana"/>
          <w:b/>
          <w:lang w:eastAsia="nl-NL"/>
        </w:rPr>
      </w:pPr>
      <w:r w:rsidRPr="00576C02">
        <w:rPr>
          <w:rFonts w:cs="Verdana"/>
          <w:b/>
          <w:lang w:eastAsia="nl-NL"/>
        </w:rPr>
        <w:t>Toelichting op de UAV-GC 2005</w:t>
      </w:r>
    </w:p>
    <w:p w14:paraId="7B0011B6"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Daar waar een paragraaf in de UAV-GC 2005 geheel of gedeeltelijk is gewijzigd, dient de toelichting op die paragraaf met inachtneming van die wijziging te worden gelezen. Daar waar een paragraaf niet van toepassing is verklaard, is ook de toelichting niet van toepassing.</w:t>
      </w:r>
    </w:p>
    <w:p w14:paraId="4CB47425" w14:textId="77777777" w:rsidR="00AF117A" w:rsidRPr="00576C02" w:rsidRDefault="00AF117A" w:rsidP="00AF117A">
      <w:pPr>
        <w:autoSpaceDE w:val="0"/>
        <w:autoSpaceDN w:val="0"/>
        <w:adjustRightInd w:val="0"/>
        <w:spacing w:line="240" w:lineRule="auto"/>
        <w:rPr>
          <w:rFonts w:cs="Verdana"/>
          <w:lang w:eastAsia="nl-NL"/>
        </w:rPr>
      </w:pPr>
    </w:p>
    <w:p w14:paraId="41D8981E" w14:textId="77777777" w:rsidR="00AF117A" w:rsidRPr="00576C02" w:rsidRDefault="00AF117A" w:rsidP="00AF117A">
      <w:pPr>
        <w:autoSpaceDE w:val="0"/>
        <w:autoSpaceDN w:val="0"/>
        <w:adjustRightInd w:val="0"/>
        <w:spacing w:line="240" w:lineRule="auto"/>
        <w:rPr>
          <w:rFonts w:cs="Verdana"/>
          <w:b/>
          <w:lang w:eastAsia="nl-NL"/>
        </w:rPr>
      </w:pPr>
      <w:r w:rsidRPr="00576C02">
        <w:rPr>
          <w:rFonts w:cs="Verdana"/>
          <w:b/>
          <w:lang w:eastAsia="nl-NL"/>
        </w:rPr>
        <w:t>Aansprakelijkheid</w:t>
      </w:r>
    </w:p>
    <w:p w14:paraId="2D508739"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Voor wat betreft de aansprakelijkheid van de Opdrachtnemer gelden de regelingen als opgenomen in de UAV-GC 2005, met dien verstande dat:</w:t>
      </w:r>
    </w:p>
    <w:p w14:paraId="056064C3"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a) de Opdrachtnemer niet aansprakelijk is voor schade als bedoeld in hoofdstuk 6 van de Wet Ruimtelijke Ordening (planschade);</w:t>
      </w:r>
    </w:p>
    <w:p w14:paraId="5E063227" w14:textId="77777777" w:rsidR="00AF117A" w:rsidRPr="00576C02" w:rsidRDefault="00AF117A" w:rsidP="00AF117A">
      <w:pPr>
        <w:autoSpaceDE w:val="0"/>
        <w:autoSpaceDN w:val="0"/>
        <w:adjustRightInd w:val="0"/>
        <w:spacing w:line="240" w:lineRule="auto"/>
        <w:rPr>
          <w:rFonts w:cs="Verdana"/>
          <w:lang w:eastAsia="nl-NL"/>
        </w:rPr>
      </w:pPr>
      <w:r w:rsidRPr="00576C02">
        <w:rPr>
          <w:rFonts w:cs="Verdana"/>
          <w:lang w:eastAsia="nl-NL"/>
        </w:rPr>
        <w:t>b) de Opdrachtnemer niet aansprakelijk is voor omvangrijke maatschappelijke gevolgschade;</w:t>
      </w:r>
    </w:p>
    <w:p w14:paraId="2EBEED8B" w14:textId="77777777" w:rsidR="00AF117A" w:rsidRPr="00576C02" w:rsidRDefault="00AF117A" w:rsidP="00AF117A">
      <w:pPr>
        <w:autoSpaceDE w:val="0"/>
        <w:autoSpaceDN w:val="0"/>
        <w:adjustRightInd w:val="0"/>
        <w:spacing w:line="240" w:lineRule="auto"/>
      </w:pPr>
      <w:r w:rsidRPr="00576C02">
        <w:rPr>
          <w:rFonts w:cs="Verdana"/>
          <w:lang w:eastAsia="nl-NL"/>
        </w:rPr>
        <w:t>c) de Opdrachtnemer onderdelen van het Werk garandeert als vermeld in een bij de Vraagspecificatie gevoegde annex XV Garanties.</w:t>
      </w:r>
    </w:p>
    <w:p w14:paraId="6DABAC22" w14:textId="77777777" w:rsidR="00AF117A" w:rsidRDefault="00AF117A" w:rsidP="00AF117A">
      <w:pPr>
        <w:pStyle w:val="Kop1"/>
        <w:numPr>
          <w:ilvl w:val="0"/>
          <w:numId w:val="0"/>
        </w:numPr>
      </w:pPr>
      <w:bookmarkStart w:id="14" w:name="_Toc360780686"/>
      <w:r>
        <w:lastRenderedPageBreak/>
        <w:t>Annex XIII. Begripsbepalingen</w:t>
      </w:r>
      <w:bookmarkEnd w:id="14"/>
    </w:p>
    <w:p w14:paraId="6DF78EDB" w14:textId="77777777" w:rsidR="00AF117A" w:rsidRDefault="00AF117A" w:rsidP="00AF117A">
      <w:pPr>
        <w:spacing w:line="240" w:lineRule="auto"/>
      </w:pPr>
    </w:p>
    <w:p w14:paraId="4D306729" w14:textId="77777777" w:rsidR="00AF117A" w:rsidRDefault="00AF117A" w:rsidP="00AF117A">
      <w:r>
        <w:t>In dit bestek wordt verstaan onder:</w:t>
      </w:r>
    </w:p>
    <w:p w14:paraId="54F2769F" w14:textId="77777777" w:rsidR="00AF117A" w:rsidRDefault="00AF117A" w:rsidP="00AF117A"/>
    <w:p w14:paraId="74BD8CB9" w14:textId="77777777" w:rsidR="00AF117A" w:rsidRPr="00D21197" w:rsidRDefault="00AF117A" w:rsidP="00AF117A">
      <w:pPr>
        <w:rPr>
          <w:u w:val="single"/>
        </w:rPr>
      </w:pPr>
      <w:r w:rsidRPr="00D21197">
        <w:rPr>
          <w:u w:val="single"/>
        </w:rPr>
        <w:t>Beschikbaarheid</w:t>
      </w:r>
    </w:p>
    <w:p w14:paraId="26CC82AE" w14:textId="77777777" w:rsidR="00AF117A" w:rsidRDefault="00AF117A" w:rsidP="00AF117A">
      <w:r w:rsidRPr="00D21197">
        <w:t>De totale tijdsduur waarin de Opd</w:t>
      </w:r>
      <w:r>
        <w:t>rachtgever daadwerkelijk van een component of d</w:t>
      </w:r>
      <w:r w:rsidRPr="00D21197">
        <w:t xml:space="preserve">ienst gebruik heeft kunnen maken uitgedrukt in een percentage van de totale tijdsduur gemeten gedurende </w:t>
      </w:r>
      <w:r>
        <w:t xml:space="preserve"> </w:t>
      </w:r>
      <w:r w:rsidRPr="00D21197">
        <w:t xml:space="preserve">een </w:t>
      </w:r>
      <w:r>
        <w:t>bepaald interval</w:t>
      </w:r>
      <w:r w:rsidRPr="00D21197">
        <w:t xml:space="preserve">. Gepland Onderhoud wordt niet meegerekend bij het bepalen van de Beschikbaarheid (het beschikbaarheidspercentage). </w:t>
      </w:r>
    </w:p>
    <w:p w14:paraId="0EBE0F3A" w14:textId="77777777" w:rsidR="00AF117A" w:rsidRPr="00D21197" w:rsidRDefault="00AF117A" w:rsidP="00AF117A"/>
    <w:p w14:paraId="2C5AD886" w14:textId="77777777" w:rsidR="00AF117A" w:rsidRPr="00D21197" w:rsidRDefault="00AF117A" w:rsidP="00AF117A">
      <w:pPr>
        <w:rPr>
          <w:u w:val="single"/>
        </w:rPr>
      </w:pPr>
      <w:r w:rsidRPr="00D21197">
        <w:rPr>
          <w:u w:val="single"/>
        </w:rPr>
        <w:t>Betrouwbaarheid</w:t>
      </w:r>
    </w:p>
    <w:p w14:paraId="343145DA" w14:textId="77777777" w:rsidR="00AF117A" w:rsidRPr="00D21197" w:rsidRDefault="00AF117A" w:rsidP="00AF117A">
      <w:r w:rsidRPr="00D21197">
        <w:t>De waarschijnlijkheid dat een item een vereiste functie kan uitvoeren onder gegeven omstandigheden gedurende een bepaald tijdsinterval.</w:t>
      </w:r>
    </w:p>
    <w:p w14:paraId="6151865F" w14:textId="77777777" w:rsidR="00AF117A" w:rsidRDefault="00AF117A" w:rsidP="00AF117A">
      <w:pPr>
        <w:rPr>
          <w:u w:val="single"/>
        </w:rPr>
      </w:pPr>
    </w:p>
    <w:p w14:paraId="0F9CE3F9" w14:textId="77777777" w:rsidR="00AF117A" w:rsidRDefault="00AF117A" w:rsidP="00AF117A">
      <w:pPr>
        <w:rPr>
          <w:u w:val="single"/>
        </w:rPr>
      </w:pPr>
      <w:r>
        <w:rPr>
          <w:u w:val="single"/>
        </w:rPr>
        <w:t>Beheerder</w:t>
      </w:r>
    </w:p>
    <w:p w14:paraId="10E28BCB" w14:textId="77777777" w:rsidR="00AF117A" w:rsidRPr="002F71B4" w:rsidRDefault="00AF117A" w:rsidP="00AF117A">
      <w:r w:rsidRPr="002F71B4">
        <w:t xml:space="preserve">De namens de opdrachtgever verantwoordelijke persoon voor de operationele gang van zaken ten behoeve van de </w:t>
      </w:r>
      <w:r w:rsidR="00E67792">
        <w:t>Openbare Verlichting</w:t>
      </w:r>
      <w:r w:rsidRPr="002F71B4">
        <w:t>. De beheerder wordt namens de opdrachtgever nader aangegeven.</w:t>
      </w:r>
    </w:p>
    <w:p w14:paraId="5E19B765" w14:textId="77777777" w:rsidR="00AF117A" w:rsidRDefault="00AF117A" w:rsidP="00AF117A">
      <w:pPr>
        <w:rPr>
          <w:u w:val="single"/>
        </w:rPr>
      </w:pPr>
    </w:p>
    <w:p w14:paraId="1B9D96EE" w14:textId="77777777" w:rsidR="00AF117A" w:rsidRPr="003A6895" w:rsidRDefault="00AF117A" w:rsidP="00AF117A">
      <w:pPr>
        <w:rPr>
          <w:u w:val="single"/>
        </w:rPr>
      </w:pPr>
      <w:r w:rsidRPr="003A6895">
        <w:rPr>
          <w:u w:val="single"/>
        </w:rPr>
        <w:t>Onderhoud</w:t>
      </w:r>
    </w:p>
    <w:p w14:paraId="07B3D7E5" w14:textId="6969A474" w:rsidR="00AF117A" w:rsidRPr="003A6895" w:rsidRDefault="00AF117A" w:rsidP="00AF117A">
      <w:r w:rsidRPr="003A6895">
        <w:t xml:space="preserve">Het ten behoeve van normaal gebruik in goede staat houden van de installaties en het wegnemen van de oorzaken, die de functionaliteit van de installaties en onderdelen van die installaties aantasten. Binnen het onderhoud worden </w:t>
      </w:r>
      <w:r w:rsidR="009152B9" w:rsidRPr="003A6895">
        <w:t xml:space="preserve">verschillende typen onderhoud </w:t>
      </w:r>
      <w:r w:rsidRPr="003A6895">
        <w:t>onderscheiden.</w:t>
      </w:r>
    </w:p>
    <w:p w14:paraId="196E1ED8" w14:textId="77777777" w:rsidR="00AF117A" w:rsidRPr="003A6895" w:rsidRDefault="00AF117A" w:rsidP="00AF117A"/>
    <w:p w14:paraId="30A21637" w14:textId="7627D9E2" w:rsidR="00AF117A" w:rsidRPr="003A6895" w:rsidRDefault="003A6895" w:rsidP="00AF117A">
      <w:pPr>
        <w:rPr>
          <w:u w:val="single"/>
        </w:rPr>
      </w:pPr>
      <w:r w:rsidRPr="003A6895">
        <w:rPr>
          <w:u w:val="single"/>
        </w:rPr>
        <w:t xml:space="preserve">Gebruiksafhankelijk en tijdgebonden </w:t>
      </w:r>
      <w:r w:rsidR="00AF117A" w:rsidRPr="003A6895">
        <w:rPr>
          <w:u w:val="single"/>
        </w:rPr>
        <w:t>onderhoud</w:t>
      </w:r>
      <w:r w:rsidRPr="003A6895">
        <w:rPr>
          <w:u w:val="single"/>
        </w:rPr>
        <w:t xml:space="preserve"> GAO en TAO</w:t>
      </w:r>
    </w:p>
    <w:p w14:paraId="553B1C56" w14:textId="77777777" w:rsidR="00AF117A" w:rsidRPr="003A6895" w:rsidRDefault="00AF117A" w:rsidP="00AF117A">
      <w:r w:rsidRPr="003A6895">
        <w:t>Het periodiek inspecteren, controleren, schoonmaken, beproeven en afregelen van de installaties.</w:t>
      </w:r>
    </w:p>
    <w:p w14:paraId="57BAFFB5" w14:textId="77777777" w:rsidR="00AF117A" w:rsidRPr="003A6895" w:rsidRDefault="00AF117A" w:rsidP="00AF117A">
      <w:pPr>
        <w:rPr>
          <w:u w:val="single"/>
        </w:rPr>
      </w:pPr>
    </w:p>
    <w:p w14:paraId="3BF0B53F" w14:textId="7F240FC3" w:rsidR="00AF117A" w:rsidRPr="003A6895" w:rsidRDefault="003A6895" w:rsidP="00AF117A">
      <w:pPr>
        <w:rPr>
          <w:u w:val="single"/>
        </w:rPr>
      </w:pPr>
      <w:r w:rsidRPr="003A6895">
        <w:rPr>
          <w:u w:val="single"/>
        </w:rPr>
        <w:t xml:space="preserve">Storingsafhankelijk </w:t>
      </w:r>
      <w:r w:rsidR="00AF117A" w:rsidRPr="003A6895">
        <w:rPr>
          <w:u w:val="single"/>
        </w:rPr>
        <w:t>onderhoud</w:t>
      </w:r>
      <w:r w:rsidRPr="003A6895">
        <w:rPr>
          <w:u w:val="single"/>
        </w:rPr>
        <w:t xml:space="preserve"> SAO</w:t>
      </w:r>
    </w:p>
    <w:p w14:paraId="1C65FA58" w14:textId="72465BA3" w:rsidR="00AF117A" w:rsidRPr="002F71B4" w:rsidRDefault="00AF117A" w:rsidP="00AF117A">
      <w:r w:rsidRPr="003A6895">
        <w:t xml:space="preserve">Het </w:t>
      </w:r>
      <w:r w:rsidR="003A6895" w:rsidRPr="003A6895">
        <w:t xml:space="preserve">herstellen van gebreken en het </w:t>
      </w:r>
      <w:r w:rsidRPr="003A6895">
        <w:t xml:space="preserve">opheffen van </w:t>
      </w:r>
      <w:r w:rsidR="003A6895" w:rsidRPr="003A6895">
        <w:t>functieverliezen aan de Openbare Verlichting</w:t>
      </w:r>
      <w:r w:rsidRPr="003A6895">
        <w:t>installaties.</w:t>
      </w:r>
    </w:p>
    <w:p w14:paraId="0F41CE40" w14:textId="77777777" w:rsidR="00AF117A" w:rsidRDefault="00AF117A" w:rsidP="00AF117A">
      <w:pPr>
        <w:rPr>
          <w:u w:val="single"/>
        </w:rPr>
      </w:pPr>
    </w:p>
    <w:p w14:paraId="6A921D47" w14:textId="77777777" w:rsidR="00AF117A" w:rsidRPr="00ED4CCF" w:rsidRDefault="00AF117A" w:rsidP="00AF117A">
      <w:pPr>
        <w:rPr>
          <w:u w:val="single"/>
        </w:rPr>
      </w:pPr>
      <w:r>
        <w:rPr>
          <w:u w:val="single"/>
        </w:rPr>
        <w:t>Storing</w:t>
      </w:r>
    </w:p>
    <w:p w14:paraId="027A1732" w14:textId="77777777" w:rsidR="00AF117A" w:rsidRDefault="00AF117A" w:rsidP="00AF117A">
      <w:r>
        <w:t>Iedere gebeurtenis of fenomeen die/dat leidt tot het niet of gedeeltelijk niet functioneren van een installatie en of delen daarvan conform de opgegeven specificaties.</w:t>
      </w:r>
    </w:p>
    <w:p w14:paraId="3E04CAA9" w14:textId="77777777" w:rsidR="003A6895" w:rsidRDefault="003A6895" w:rsidP="00AF117A"/>
    <w:p w14:paraId="58DF7ADA" w14:textId="1078E5A6" w:rsidR="003A6895" w:rsidRPr="003A6895" w:rsidRDefault="003A6895" w:rsidP="00AF117A">
      <w:pPr>
        <w:rPr>
          <w:u w:val="single"/>
        </w:rPr>
      </w:pPr>
      <w:r w:rsidRPr="003A6895">
        <w:rPr>
          <w:u w:val="single"/>
        </w:rPr>
        <w:t>Gebrek</w:t>
      </w:r>
    </w:p>
    <w:p w14:paraId="20D889F2" w14:textId="3534CAF3" w:rsidR="00AF117A" w:rsidRDefault="003A6895" w:rsidP="00AF117A">
      <w:r>
        <w:t>Een fenomeen die/dat leidt tot het niet of gedeeltelijk afwijken van de specificatie, eis of normering zonder dat het primaire functioneren van het bouwelement is aangetast.</w:t>
      </w:r>
    </w:p>
    <w:p w14:paraId="090ECCBA" w14:textId="77777777" w:rsidR="003A6895" w:rsidRDefault="003A6895" w:rsidP="00AF117A"/>
    <w:p w14:paraId="2E30C5E9" w14:textId="77777777" w:rsidR="00AF117A" w:rsidRDefault="00AF117A" w:rsidP="00AF117A">
      <w:pPr>
        <w:rPr>
          <w:u w:val="single"/>
        </w:rPr>
      </w:pPr>
      <w:r>
        <w:rPr>
          <w:u w:val="single"/>
        </w:rPr>
        <w:t>Reactietijd</w:t>
      </w:r>
    </w:p>
    <w:p w14:paraId="20254095" w14:textId="0F10CC59" w:rsidR="00AF117A" w:rsidRDefault="00AF117A" w:rsidP="00AF117A">
      <w:r>
        <w:t>De tijd die verloop</w:t>
      </w:r>
      <w:r w:rsidR="00CE38F9">
        <w:t xml:space="preserve">t tussen het ogenblik waarop het klantcontactcentrum </w:t>
      </w:r>
      <w:r>
        <w:t xml:space="preserve">of beheerder een melding doorgeeft aan het storingsmeldpunt en het ogenblik waarop deskundig personeel is begonnen met het </w:t>
      </w:r>
      <w:r w:rsidR="003A6895">
        <w:t>storingsafhankelijk</w:t>
      </w:r>
      <w:r>
        <w:t xml:space="preserve"> onderhoud.</w:t>
      </w:r>
    </w:p>
    <w:p w14:paraId="502B4BCD" w14:textId="77777777" w:rsidR="00AF117A" w:rsidRDefault="00AF117A" w:rsidP="00AF117A"/>
    <w:p w14:paraId="2807CFBD" w14:textId="77777777" w:rsidR="00AF117A" w:rsidRDefault="00AF117A" w:rsidP="00AF117A">
      <w:pPr>
        <w:rPr>
          <w:u w:val="single"/>
        </w:rPr>
      </w:pPr>
      <w:r>
        <w:rPr>
          <w:u w:val="single"/>
        </w:rPr>
        <w:t>Reparatietijd</w:t>
      </w:r>
    </w:p>
    <w:p w14:paraId="4EB95E73" w14:textId="77777777" w:rsidR="00AF117A" w:rsidRPr="00F10CD0" w:rsidRDefault="00AF117A" w:rsidP="00AF117A">
      <w:r>
        <w:t>De tijd waar binnen de storing dient te zijn verholpen. Dit kan middels een tijdelijke (nood)maatregel zijn.</w:t>
      </w:r>
    </w:p>
    <w:p w14:paraId="386944FC" w14:textId="77777777" w:rsidR="00AF117A" w:rsidRDefault="00AF117A" w:rsidP="00AF117A"/>
    <w:p w14:paraId="39883DE8" w14:textId="24A63E10" w:rsidR="00AF117A" w:rsidRDefault="00AF117A" w:rsidP="00AF117A">
      <w:r>
        <w:rPr>
          <w:u w:val="single"/>
        </w:rPr>
        <w:t>Hersteltijd/ Oplostijd</w:t>
      </w:r>
      <w:r>
        <w:rPr>
          <w:u w:val="single"/>
        </w:rPr>
        <w:br/>
      </w:r>
      <w:r>
        <w:t>De tijd dat de (deel)installatie niet beschikbaar</w:t>
      </w:r>
      <w:r w:rsidR="00CE38F9">
        <w:t xml:space="preserve"> is</w:t>
      </w:r>
      <w:r>
        <w:t>. Het is de totale tijd die verstrijkt tussen de melding en het hersteld zijn. De hersteltijd is de Reparatietijd en de Reactietijd bij elkaar.</w:t>
      </w:r>
    </w:p>
    <w:p w14:paraId="3ABBB643" w14:textId="77777777" w:rsidR="00AF117A" w:rsidRDefault="00AF117A" w:rsidP="00AF117A"/>
    <w:p w14:paraId="4E4BFF08" w14:textId="77777777" w:rsidR="00AF117A" w:rsidRDefault="00AF117A" w:rsidP="00AF117A">
      <w:pPr>
        <w:rPr>
          <w:u w:val="single"/>
        </w:rPr>
      </w:pPr>
      <w:r>
        <w:rPr>
          <w:u w:val="single"/>
        </w:rPr>
        <w:t>Storingsmeldpunt</w:t>
      </w:r>
    </w:p>
    <w:p w14:paraId="5483B5D0" w14:textId="716F533D" w:rsidR="00AF117A" w:rsidRPr="002F71B4" w:rsidRDefault="00AF117A" w:rsidP="00AF117A">
      <w:r>
        <w:t xml:space="preserve">Het door de aannemer op te zetten centrale meldpunt voor storingen welke zeven dagen per week bereikbaar is via één telefoonnummer en die er voor zorg draagt dat binnen de gestelde tijden, na melding door de operator van </w:t>
      </w:r>
      <w:r w:rsidR="00CE38F9">
        <w:t>het klantcontactcentrum, piketfunctionaris</w:t>
      </w:r>
      <w:r>
        <w:t xml:space="preserve"> of de beheerder, storingen worden opgelost.</w:t>
      </w:r>
    </w:p>
    <w:p w14:paraId="5BE2D995" w14:textId="77777777" w:rsidR="00AF117A" w:rsidRDefault="00AF117A" w:rsidP="00AF117A">
      <w:pPr>
        <w:rPr>
          <w:u w:val="single"/>
        </w:rPr>
      </w:pPr>
    </w:p>
    <w:p w14:paraId="28C20DFC" w14:textId="77777777" w:rsidR="00AF117A" w:rsidRPr="00661177" w:rsidRDefault="00AF117A" w:rsidP="00AF117A">
      <w:pPr>
        <w:rPr>
          <w:u w:val="single"/>
        </w:rPr>
      </w:pPr>
      <w:r w:rsidRPr="00661177">
        <w:rPr>
          <w:u w:val="single"/>
        </w:rPr>
        <w:t>Controlelijsten preventief onderhoud</w:t>
      </w:r>
    </w:p>
    <w:p w14:paraId="379F42C1" w14:textId="77777777" w:rsidR="00AF117A" w:rsidRPr="00661177" w:rsidRDefault="00AF117A" w:rsidP="00AF117A">
      <w:r>
        <w:t>Overzichtslijsten waarop per (deel) installatie staat aangegeven welke preventieve werkzaamheden er uit moeten worden gevoerd gedurende het lopende jaar.</w:t>
      </w:r>
    </w:p>
    <w:p w14:paraId="73D0C784" w14:textId="77777777" w:rsidR="00AF117A" w:rsidRDefault="00AF117A" w:rsidP="00AF117A">
      <w:pPr>
        <w:rPr>
          <w:u w:val="single"/>
        </w:rPr>
      </w:pPr>
    </w:p>
    <w:p w14:paraId="2B831841" w14:textId="77777777" w:rsidR="00AF117A" w:rsidRDefault="00AF117A" w:rsidP="00AF117A">
      <w:pPr>
        <w:rPr>
          <w:u w:val="single"/>
        </w:rPr>
      </w:pPr>
      <w:r>
        <w:rPr>
          <w:u w:val="single"/>
        </w:rPr>
        <w:t>Onderhoudslogboek</w:t>
      </w:r>
    </w:p>
    <w:p w14:paraId="5F462E7B" w14:textId="77777777" w:rsidR="00AF117A" w:rsidRPr="00661177" w:rsidRDefault="00AF117A" w:rsidP="00AF117A">
      <w:r>
        <w:lastRenderedPageBreak/>
        <w:t>Een actueel journaal van verrichte preventieve- en correctieve onderhoudswerkzaamheden.</w:t>
      </w:r>
    </w:p>
    <w:p w14:paraId="22721FB8" w14:textId="77777777" w:rsidR="00AF117A" w:rsidRDefault="00AF117A" w:rsidP="00AF117A">
      <w:pPr>
        <w:rPr>
          <w:u w:val="single"/>
        </w:rPr>
      </w:pPr>
    </w:p>
    <w:p w14:paraId="0F379310" w14:textId="77777777" w:rsidR="00AF117A" w:rsidRDefault="00AF117A" w:rsidP="00AF117A">
      <w:pPr>
        <w:rPr>
          <w:u w:val="single"/>
        </w:rPr>
      </w:pPr>
      <w:r>
        <w:rPr>
          <w:u w:val="single"/>
        </w:rPr>
        <w:t>Onderhoudsadministratiemap</w:t>
      </w:r>
    </w:p>
    <w:p w14:paraId="62118FA6" w14:textId="77777777" w:rsidR="00AF117A" w:rsidRPr="00661177" w:rsidRDefault="00AF117A" w:rsidP="00AF117A">
      <w:r>
        <w:t>Een map waarin alle rapportages van preventief en correctief onderhoud alsmede de storingslijst en Controlelijsten Preventief onderhoud zijn opgenomen.</w:t>
      </w:r>
    </w:p>
    <w:p w14:paraId="56C0AE0B" w14:textId="77777777" w:rsidR="00AF117A" w:rsidRDefault="00AF117A" w:rsidP="00AF117A">
      <w:pPr>
        <w:rPr>
          <w:u w:val="single"/>
        </w:rPr>
      </w:pPr>
    </w:p>
    <w:p w14:paraId="38E1B490" w14:textId="77777777" w:rsidR="00AF117A" w:rsidRDefault="00AF117A" w:rsidP="00AF117A">
      <w:pPr>
        <w:rPr>
          <w:u w:val="single"/>
        </w:rPr>
      </w:pPr>
      <w:r>
        <w:rPr>
          <w:u w:val="single"/>
        </w:rPr>
        <w:t>Rapportage preventief onderhoud</w:t>
      </w:r>
    </w:p>
    <w:p w14:paraId="45D8C69D" w14:textId="77777777" w:rsidR="00AF117A" w:rsidRPr="00661177" w:rsidRDefault="00AF117A" w:rsidP="00AF117A">
      <w:r w:rsidRPr="00661177">
        <w:t>Ingevulde controlelijsten preventief onderhoud, voorzien van rapportages van onderaannemers, van nog lopende zaken, conclusies en aanbevelingen.</w:t>
      </w:r>
    </w:p>
    <w:p w14:paraId="284847C2" w14:textId="77777777" w:rsidR="00AF117A" w:rsidRDefault="00AF117A" w:rsidP="00AF117A">
      <w:pPr>
        <w:rPr>
          <w:u w:val="single"/>
        </w:rPr>
      </w:pPr>
    </w:p>
    <w:p w14:paraId="77F5A554" w14:textId="77777777" w:rsidR="00AF117A" w:rsidRPr="00A653A5" w:rsidRDefault="00AF117A" w:rsidP="00AF117A">
      <w:pPr>
        <w:rPr>
          <w:u w:val="single"/>
        </w:rPr>
      </w:pPr>
      <w:r>
        <w:rPr>
          <w:u w:val="single"/>
        </w:rPr>
        <w:t>Rapportage correctief onderhoud (storingsregistratie)</w:t>
      </w:r>
    </w:p>
    <w:p w14:paraId="25D48F23" w14:textId="77777777" w:rsidR="00AF117A" w:rsidRPr="00661177" w:rsidRDefault="00AF117A" w:rsidP="00AF117A">
      <w:pPr>
        <w:spacing w:line="240" w:lineRule="auto"/>
      </w:pPr>
      <w:r w:rsidRPr="00661177">
        <w:t>De door de aannemer te verzorgen</w:t>
      </w:r>
      <w:r>
        <w:t xml:space="preserve"> registratie van iedere geconstateerde en/of aangemelde storing.</w:t>
      </w:r>
      <w:r w:rsidRPr="00661177">
        <w:t xml:space="preserve"> </w:t>
      </w:r>
      <w:r w:rsidRPr="00661177">
        <w:br w:type="page"/>
      </w:r>
    </w:p>
    <w:p w14:paraId="668402DC" w14:textId="77777777" w:rsidR="00AF117A" w:rsidRDefault="00AF117A" w:rsidP="00AF117A">
      <w:pPr>
        <w:pStyle w:val="Kop1"/>
        <w:numPr>
          <w:ilvl w:val="0"/>
          <w:numId w:val="0"/>
        </w:numPr>
      </w:pPr>
      <w:bookmarkStart w:id="15" w:name="_Toc360780687"/>
      <w:r>
        <w:lastRenderedPageBreak/>
        <w:t>Annex XV. Garanties</w:t>
      </w:r>
      <w:bookmarkEnd w:id="15"/>
    </w:p>
    <w:p w14:paraId="716EA742" w14:textId="77777777" w:rsidR="00AF117A" w:rsidRDefault="00AF117A" w:rsidP="00AF117A"/>
    <w:p w14:paraId="3D137A0D"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De Opdrachtnemer garandeert de volgende onderdelen van het Werk gedurende de daarbij vermelde periode.</w:t>
      </w:r>
    </w:p>
    <w:p w14:paraId="2F3E0DEE" w14:textId="77777777" w:rsidR="00AF117A" w:rsidRPr="007334A8" w:rsidRDefault="00AF117A" w:rsidP="00AF117A">
      <w:pPr>
        <w:autoSpaceDE w:val="0"/>
        <w:autoSpaceDN w:val="0"/>
        <w:adjustRightInd w:val="0"/>
        <w:spacing w:line="240" w:lineRule="auto"/>
        <w:rPr>
          <w:rFonts w:cs="Verdana"/>
          <w:lang w:eastAsia="nl-NL"/>
        </w:rPr>
      </w:pPr>
    </w:p>
    <w:p w14:paraId="7AA928B1"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ALGEMEEN</w:t>
      </w:r>
    </w:p>
    <w:p w14:paraId="468B0836" w14:textId="77777777" w:rsidR="00AF117A" w:rsidRPr="007334A8" w:rsidRDefault="00AF117A" w:rsidP="00AF117A">
      <w:pPr>
        <w:autoSpaceDE w:val="0"/>
        <w:autoSpaceDN w:val="0"/>
        <w:adjustRightInd w:val="0"/>
        <w:spacing w:line="240" w:lineRule="auto"/>
        <w:rPr>
          <w:rFonts w:cs="Verdana"/>
          <w:lang w:eastAsia="nl-NL"/>
        </w:rPr>
      </w:pPr>
      <w:r w:rsidRPr="00475249">
        <w:rPr>
          <w:rFonts w:cs="Verdana"/>
          <w:highlight w:val="yellow"/>
          <w:lang w:eastAsia="nl-NL"/>
        </w:rPr>
        <w:t>Één jaar op alle door de Opdrachtnemer geleverde producten en/of (sub)systemen.</w:t>
      </w:r>
    </w:p>
    <w:p w14:paraId="5EC6C779" w14:textId="77777777" w:rsidR="00AF117A" w:rsidRPr="007334A8" w:rsidRDefault="00AF117A" w:rsidP="00AF117A">
      <w:pPr>
        <w:autoSpaceDE w:val="0"/>
        <w:autoSpaceDN w:val="0"/>
        <w:adjustRightInd w:val="0"/>
        <w:spacing w:line="240" w:lineRule="auto"/>
        <w:rPr>
          <w:rFonts w:cs="Verdana"/>
          <w:lang w:eastAsia="nl-NL"/>
        </w:rPr>
      </w:pPr>
    </w:p>
    <w:p w14:paraId="0ADF4E38"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De garantie houdt in dat de onderdelen van het Werk gedurende de garantieperiode blijven voldoen aan de in deze annex vermelde eisen.</w:t>
      </w:r>
    </w:p>
    <w:p w14:paraId="33C864FB" w14:textId="77777777" w:rsidR="00AF117A" w:rsidRPr="007334A8" w:rsidRDefault="00AF117A" w:rsidP="00AF117A">
      <w:pPr>
        <w:autoSpaceDE w:val="0"/>
        <w:autoSpaceDN w:val="0"/>
        <w:adjustRightInd w:val="0"/>
        <w:spacing w:line="240" w:lineRule="auto"/>
        <w:rPr>
          <w:rFonts w:cs="Verdana"/>
          <w:lang w:eastAsia="nl-NL"/>
        </w:rPr>
      </w:pPr>
    </w:p>
    <w:p w14:paraId="29D6B239"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Indien tijdens de garantieperiode blijkt dat een onderdeel van het Werk niet of niet langer voldoet aan één of meerdere van de vermelde eisen, zal de Opdrachtnemer voor zijn rekening en risico, op eerste schriftelijk verzoek van de Opdrachtgever, het onderdeel herstellen of vervangen en wel zodanig dat het onderdeel weer (geheel) voldoet aan de vermelde eisen.</w:t>
      </w:r>
    </w:p>
    <w:p w14:paraId="2C8001A9" w14:textId="77777777" w:rsidR="00AF117A" w:rsidRPr="007334A8" w:rsidRDefault="00AF117A" w:rsidP="00AF117A">
      <w:pPr>
        <w:autoSpaceDE w:val="0"/>
        <w:autoSpaceDN w:val="0"/>
        <w:adjustRightInd w:val="0"/>
        <w:spacing w:line="240" w:lineRule="auto"/>
        <w:rPr>
          <w:rFonts w:cs="Verdana"/>
          <w:lang w:eastAsia="nl-NL"/>
        </w:rPr>
      </w:pPr>
    </w:p>
    <w:p w14:paraId="45CC78C6"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In de schriftelijke aanzegging van de Opdrachtgever wordt een redelijke termijn vermeld waarbinnen de Opdrachtnemer met het herstel of de vervanging moet zijn aangevangen en een redelijke termijn waarbinnen het herstel of de vervanging moet zijn voltooid. Indien de Opdrachtnemer geen gevolg geeft aan de schriftelijke aanzegging van de Opdrachtgever, is de Opdrachtgever gerechtigd, zonder nadere sommatie of ingebrekestelling, het herstel of de vervanging voor rekening van de Opdrachtnemer door derden te laten uitvoeren.</w:t>
      </w:r>
    </w:p>
    <w:p w14:paraId="50422F9A" w14:textId="77777777" w:rsidR="00AF117A" w:rsidRPr="007334A8" w:rsidRDefault="00AF117A" w:rsidP="00AF117A">
      <w:pPr>
        <w:autoSpaceDE w:val="0"/>
        <w:autoSpaceDN w:val="0"/>
        <w:adjustRightInd w:val="0"/>
        <w:spacing w:line="240" w:lineRule="auto"/>
        <w:rPr>
          <w:rFonts w:cs="Verdana"/>
          <w:lang w:eastAsia="nl-NL"/>
        </w:rPr>
      </w:pPr>
    </w:p>
    <w:p w14:paraId="16290176"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De garantieverplichting van de Opdrachtnemer vervalt in die gevallen waarbij de Opdrachtnemer bewijst dat het niet voldoen aan de vermelde eisen een gevolg is van factoren die niet voor zijn rekening en/of risico komen.</w:t>
      </w:r>
    </w:p>
    <w:p w14:paraId="3E29CF87"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 xml:space="preserve"> </w:t>
      </w:r>
    </w:p>
    <w:p w14:paraId="650B48B4"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Het bepaalde in § 28 en § 32 UAV-GC 2005 is uitdrukkelijk niet van toepassing in het kader van de garantieverplichtingen van de Opdrachtnemer.</w:t>
      </w:r>
    </w:p>
    <w:p w14:paraId="7CF11959" w14:textId="77777777" w:rsidR="00AF117A" w:rsidRPr="007334A8" w:rsidRDefault="00AF117A" w:rsidP="00AF117A">
      <w:pPr>
        <w:autoSpaceDE w:val="0"/>
        <w:autoSpaceDN w:val="0"/>
        <w:adjustRightInd w:val="0"/>
        <w:spacing w:line="240" w:lineRule="auto"/>
        <w:rPr>
          <w:rFonts w:cs="Verdana"/>
          <w:lang w:eastAsia="nl-NL"/>
        </w:rPr>
      </w:pPr>
    </w:p>
    <w:p w14:paraId="4866641E"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Indien gedurende de garantieperiode(s) één van de partijen gebreken aan de door de Opdrachtnemer aangebrachte constructie(s) constateert of er aanwijzingen zijn dat deze kunnen worden verwacht, stelt zij de andere partij daarvan schriftelijk op de hoogte. Uiterlijk één maand voor het verstrijken van elke garantieperiode, nemen de Opdrachtgever en de Opdrachtnemer gezamenlijk de toestand op waarin de desbetreffende, door de Opdrachtnemer, aangebrachte constructie(s) verkeert c.q. verkeren. De Opdrachtgever neemt daartoe het initiatief. De toestand wordt vastgelegd in een door beide partijen ondertekend proces-verbaal.</w:t>
      </w:r>
    </w:p>
    <w:p w14:paraId="1B1BA53F" w14:textId="77777777" w:rsidR="00AF117A" w:rsidRPr="007334A8" w:rsidRDefault="00AF117A" w:rsidP="00AF117A">
      <w:pPr>
        <w:autoSpaceDE w:val="0"/>
        <w:autoSpaceDN w:val="0"/>
        <w:adjustRightInd w:val="0"/>
        <w:spacing w:line="240" w:lineRule="auto"/>
        <w:rPr>
          <w:rFonts w:cs="Verdana"/>
          <w:lang w:eastAsia="nl-NL"/>
        </w:rPr>
      </w:pPr>
    </w:p>
    <w:p w14:paraId="0E9F2D45" w14:textId="77777777" w:rsidR="00AF117A" w:rsidRPr="007334A8" w:rsidRDefault="00AF117A" w:rsidP="00AF117A">
      <w:pPr>
        <w:autoSpaceDE w:val="0"/>
        <w:autoSpaceDN w:val="0"/>
        <w:adjustRightInd w:val="0"/>
        <w:spacing w:line="240" w:lineRule="auto"/>
        <w:rPr>
          <w:rFonts w:cs="Verdana"/>
          <w:lang w:eastAsia="nl-NL"/>
        </w:rPr>
      </w:pPr>
      <w:r w:rsidRPr="007334A8">
        <w:rPr>
          <w:rFonts w:cs="Verdana"/>
          <w:lang w:eastAsia="nl-NL"/>
        </w:rPr>
        <w:t>Paragraaf 46 UAV-GC 2005 is tijdens de garantieperiode van overeenkomstige</w:t>
      </w:r>
    </w:p>
    <w:p w14:paraId="0B985935" w14:textId="77777777" w:rsidR="00AF117A" w:rsidRPr="007334A8" w:rsidRDefault="00AF117A" w:rsidP="00AF117A">
      <w:pPr>
        <w:rPr>
          <w:rFonts w:cs="Verdana"/>
          <w:lang w:eastAsia="nl-NL"/>
        </w:rPr>
      </w:pPr>
      <w:r w:rsidRPr="007334A8">
        <w:rPr>
          <w:rFonts w:cs="Verdana"/>
          <w:lang w:eastAsia="nl-NL"/>
        </w:rPr>
        <w:t>toepassing.</w:t>
      </w:r>
    </w:p>
    <w:p w14:paraId="6EA2EF03" w14:textId="77777777" w:rsidR="00AF117A" w:rsidRDefault="00AF117A" w:rsidP="00AF117A">
      <w:pPr>
        <w:rPr>
          <w:rFonts w:ascii="Verdana" w:hAnsi="Verdana" w:cs="Verdana"/>
          <w:lang w:eastAsia="nl-NL"/>
        </w:rPr>
      </w:pPr>
    </w:p>
    <w:p w14:paraId="7BB83F19" w14:textId="77777777" w:rsidR="00AF117A" w:rsidRDefault="00AF117A">
      <w:pPr>
        <w:rPr>
          <w:sz w:val="36"/>
          <w:szCs w:val="36"/>
        </w:rPr>
      </w:pPr>
    </w:p>
    <w:sectPr w:rsidR="00AF117A" w:rsidSect="00F52132">
      <w:headerReference w:type="even" r:id="rId10"/>
      <w:headerReference w:type="default" r:id="rId11"/>
      <w:footerReference w:type="even" r:id="rId12"/>
      <w:footerReference w:type="default" r:id="rId13"/>
      <w:headerReference w:type="first" r:id="rId14"/>
      <w:footerReference w:type="first" r:id="rId15"/>
      <w:pgSz w:w="11906" w:h="16838"/>
      <w:pgMar w:top="2098" w:right="1418" w:bottom="1701" w:left="1418" w:header="426"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89A2D" w14:textId="77777777" w:rsidR="00767BD6" w:rsidRDefault="00767BD6" w:rsidP="00A9511F">
      <w:pPr>
        <w:spacing w:line="240" w:lineRule="auto"/>
      </w:pPr>
      <w:r>
        <w:separator/>
      </w:r>
    </w:p>
  </w:endnote>
  <w:endnote w:type="continuationSeparator" w:id="0">
    <w:p w14:paraId="3E3017A9" w14:textId="77777777" w:rsidR="00767BD6" w:rsidRDefault="00767BD6" w:rsidP="00A95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22FD4" w14:textId="77777777" w:rsidR="0068315E" w:rsidRDefault="0068315E">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2" w:type="dxa"/>
      <w:tblLayout w:type="fixed"/>
      <w:tblCellMar>
        <w:left w:w="0" w:type="dxa"/>
        <w:right w:w="0" w:type="dxa"/>
      </w:tblCellMar>
      <w:tblLook w:val="04A0" w:firstRow="1" w:lastRow="0" w:firstColumn="1" w:lastColumn="0" w:noHBand="0" w:noVBand="1"/>
    </w:tblPr>
    <w:tblGrid>
      <w:gridCol w:w="7824"/>
      <w:gridCol w:w="2098"/>
    </w:tblGrid>
    <w:tr w:rsidR="0068315E" w14:paraId="5E7257FA" w14:textId="77777777" w:rsidTr="00147D91">
      <w:trPr>
        <w:trHeight w:val="210"/>
      </w:trPr>
      <w:tc>
        <w:tcPr>
          <w:tcW w:w="7824" w:type="dxa"/>
          <w:vAlign w:val="bottom"/>
        </w:tcPr>
        <w:p w14:paraId="3D7460BD" w14:textId="77777777" w:rsidR="0068315E" w:rsidRDefault="0068315E" w:rsidP="00147D91">
          <w:pPr>
            <w:pStyle w:val="ArcadisFooterContinuationPage"/>
          </w:pPr>
          <w:bookmarkStart w:id="17" w:name="dpFooterContinuationPage"/>
          <w:bookmarkEnd w:id="17"/>
        </w:p>
      </w:tc>
      <w:tc>
        <w:tcPr>
          <w:tcW w:w="2098" w:type="dxa"/>
          <w:vAlign w:val="bottom"/>
        </w:tcPr>
        <w:p w14:paraId="34AFFC64" w14:textId="77777777" w:rsidR="0068315E" w:rsidRDefault="0068315E" w:rsidP="00147D91">
          <w:pPr>
            <w:pStyle w:val="Voettekst"/>
            <w:jc w:val="right"/>
          </w:pPr>
          <w:r>
            <w:fldChar w:fldCharType="begin"/>
          </w:r>
          <w:r>
            <w:instrText xml:space="preserve"> PAGE  \* Arabic  \* MERGEFORMAT </w:instrText>
          </w:r>
          <w:r>
            <w:fldChar w:fldCharType="separate"/>
          </w:r>
          <w:r w:rsidR="001040A3">
            <w:rPr>
              <w:noProof/>
            </w:rPr>
            <w:t>19</w:t>
          </w:r>
          <w:r>
            <w:fldChar w:fldCharType="end"/>
          </w:r>
          <w:r>
            <w:t xml:space="preserve"> </w:t>
          </w:r>
          <w:bookmarkStart w:id="18" w:name="dpFooterContinuationPageNumber"/>
          <w:r>
            <w:t>van</w:t>
          </w:r>
          <w:bookmarkEnd w:id="18"/>
          <w:r>
            <w:t xml:space="preserve"> </w:t>
          </w:r>
          <w:r w:rsidR="001040A3">
            <w:fldChar w:fldCharType="begin"/>
          </w:r>
          <w:r w:rsidR="001040A3">
            <w:instrText xml:space="preserve"> NUMPAGES  \* Arabic  \* MERGEFORMAT </w:instrText>
          </w:r>
          <w:r w:rsidR="001040A3">
            <w:fldChar w:fldCharType="separate"/>
          </w:r>
          <w:r w:rsidR="001040A3">
            <w:rPr>
              <w:noProof/>
            </w:rPr>
            <w:t>19</w:t>
          </w:r>
          <w:r w:rsidR="001040A3">
            <w:rPr>
              <w:noProof/>
            </w:rPr>
            <w:fldChar w:fldCharType="end"/>
          </w:r>
        </w:p>
      </w:tc>
    </w:tr>
    <w:tr w:rsidR="0068315E" w14:paraId="380122DD" w14:textId="77777777" w:rsidTr="00147D91">
      <w:trPr>
        <w:trHeight w:val="119"/>
      </w:trPr>
      <w:tc>
        <w:tcPr>
          <w:tcW w:w="7824" w:type="dxa"/>
        </w:tcPr>
        <w:p w14:paraId="63A5EEE1" w14:textId="77777777" w:rsidR="0068315E" w:rsidRDefault="0068315E" w:rsidP="004F6845">
          <w:pPr>
            <w:pStyle w:val="Voettekst"/>
            <w:spacing w:line="14" w:lineRule="exact"/>
            <w:jc w:val="right"/>
          </w:pPr>
        </w:p>
      </w:tc>
      <w:tc>
        <w:tcPr>
          <w:tcW w:w="2098" w:type="dxa"/>
        </w:tcPr>
        <w:p w14:paraId="6FCA1E81" w14:textId="77777777" w:rsidR="0068315E" w:rsidRDefault="0068315E" w:rsidP="004F6845">
          <w:pPr>
            <w:pStyle w:val="Voettekst"/>
            <w:spacing w:line="14" w:lineRule="exact"/>
            <w:jc w:val="right"/>
          </w:pPr>
        </w:p>
      </w:tc>
    </w:tr>
  </w:tbl>
  <w:p w14:paraId="1EA3569F" w14:textId="77777777" w:rsidR="0068315E" w:rsidRDefault="0068315E" w:rsidP="00E417EF">
    <w:pPr>
      <w:pStyle w:val="Voettekst"/>
      <w:spacing w:line="14"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71" w:type="dxa"/>
      <w:tblLayout w:type="fixed"/>
      <w:tblCellMar>
        <w:left w:w="0" w:type="dxa"/>
        <w:right w:w="0" w:type="dxa"/>
      </w:tblCellMar>
      <w:tblLook w:val="04A0" w:firstRow="1" w:lastRow="0" w:firstColumn="1" w:lastColumn="0" w:noHBand="0" w:noVBand="1"/>
    </w:tblPr>
    <w:tblGrid>
      <w:gridCol w:w="9071"/>
    </w:tblGrid>
    <w:tr w:rsidR="0068315E" w14:paraId="6B58A053" w14:textId="77777777" w:rsidTr="00B66E2F">
      <w:trPr>
        <w:trHeight w:val="850"/>
      </w:trPr>
      <w:tc>
        <w:tcPr>
          <w:tcW w:w="9071" w:type="dxa"/>
          <w:vAlign w:val="center"/>
        </w:tcPr>
        <w:p w14:paraId="11FB28CB" w14:textId="77777777" w:rsidR="0068315E" w:rsidRPr="00D413C5" w:rsidRDefault="0068315E" w:rsidP="00B66E2F">
          <w:pPr>
            <w:pStyle w:val="Voettekst"/>
          </w:pPr>
        </w:p>
      </w:tc>
    </w:tr>
    <w:tr w:rsidR="0068315E" w:rsidRPr="0068315E" w14:paraId="0220F4CE" w14:textId="77777777" w:rsidTr="00B66E2F">
      <w:trPr>
        <w:trHeight w:val="180"/>
      </w:trPr>
      <w:tc>
        <w:tcPr>
          <w:tcW w:w="9071" w:type="dxa"/>
          <w:vAlign w:val="bottom"/>
        </w:tcPr>
        <w:p w14:paraId="420B9347" w14:textId="77777777" w:rsidR="0068315E" w:rsidRDefault="0068315E" w:rsidP="00AF117A">
          <w:pPr>
            <w:pStyle w:val="ArcadisDisclaimer"/>
          </w:pPr>
          <w:bookmarkStart w:id="19" w:name="dpFooterInformation"/>
          <w:r w:rsidRPr="00AF117A">
            <w:t xml:space="preserve">Arcadis Nederland B.V., Piet Mondriaanlaan 26, Amersfoort    T +31 (0)88 4261261    </w:t>
          </w:r>
          <w:r w:rsidRPr="00AF117A">
            <w:rPr>
              <w:rStyle w:val="ArcadisDisclaimerWebsite"/>
            </w:rPr>
            <w:t>www.arcadis.com</w:t>
          </w:r>
        </w:p>
        <w:p w14:paraId="511DDFD6" w14:textId="77777777" w:rsidR="0068315E" w:rsidRPr="00AF117A" w:rsidRDefault="0068315E" w:rsidP="00AF117A">
          <w:pPr>
            <w:pStyle w:val="ArcadisDisclaimer"/>
            <w:rPr>
              <w:lang w:val="en-US"/>
            </w:rPr>
          </w:pPr>
          <w:r w:rsidRPr="00AF117A">
            <w:rPr>
              <w:lang w:val="en-US"/>
            </w:rPr>
            <w:t xml:space="preserve">Arcadis Nederland B.V. - Registered office: Arnhem - Registered number: 09036504 </w:t>
          </w:r>
          <w:bookmarkEnd w:id="19"/>
        </w:p>
      </w:tc>
    </w:tr>
  </w:tbl>
  <w:p w14:paraId="455C3111" w14:textId="77777777" w:rsidR="0068315E" w:rsidRPr="00AF117A" w:rsidRDefault="0068315E" w:rsidP="00D64EA9">
    <w:pPr>
      <w:pStyle w:val="Voettekst"/>
      <w:spacing w:line="14"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346BAF" w14:textId="77777777" w:rsidR="00767BD6" w:rsidRDefault="00767BD6" w:rsidP="00A9511F">
      <w:pPr>
        <w:spacing w:line="240" w:lineRule="auto"/>
      </w:pPr>
      <w:r>
        <w:separator/>
      </w:r>
    </w:p>
  </w:footnote>
  <w:footnote w:type="continuationSeparator" w:id="0">
    <w:p w14:paraId="24376405" w14:textId="77777777" w:rsidR="00767BD6" w:rsidRDefault="00767BD6" w:rsidP="00A951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91366" w14:textId="77777777" w:rsidR="0068315E" w:rsidRDefault="0068315E">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4A0" w:firstRow="1" w:lastRow="0" w:firstColumn="1" w:lastColumn="0" w:noHBand="0" w:noVBand="1"/>
    </w:tblPr>
    <w:tblGrid>
      <w:gridCol w:w="4139"/>
      <w:gridCol w:w="1502"/>
    </w:tblGrid>
    <w:tr w:rsidR="0068315E" w:rsidRPr="00E15026" w14:paraId="0284C75E" w14:textId="77777777" w:rsidTr="00147D91">
      <w:trPr>
        <w:trHeight w:val="442"/>
      </w:trPr>
      <w:tc>
        <w:tcPr>
          <w:tcW w:w="4139" w:type="dxa"/>
          <w:vAlign w:val="center"/>
        </w:tcPr>
        <w:p w14:paraId="2D844F94" w14:textId="0E452E4A" w:rsidR="0068315E" w:rsidRPr="00F34796" w:rsidRDefault="0068315E" w:rsidP="00147D91">
          <w:pPr>
            <w:pStyle w:val="ArcadisLogoNextPage"/>
            <w:framePr w:wrap="around"/>
            <w:jc w:val="right"/>
          </w:pPr>
          <w:bookmarkStart w:id="16" w:name="dpContinuationPageLogo"/>
          <w:r>
            <w:t xml:space="preserve"> </w:t>
          </w:r>
          <w:bookmarkEnd w:id="16"/>
        </w:p>
      </w:tc>
      <w:tc>
        <w:tcPr>
          <w:tcW w:w="1502" w:type="dxa"/>
        </w:tcPr>
        <w:p w14:paraId="47EDA2A1" w14:textId="77777777" w:rsidR="0068315E" w:rsidRPr="00E15026" w:rsidRDefault="0068315E" w:rsidP="00F34796">
          <w:pPr>
            <w:pStyle w:val="ArcadisLogoNextPage"/>
            <w:framePr w:wrap="around"/>
          </w:pPr>
        </w:p>
      </w:tc>
    </w:tr>
  </w:tbl>
  <w:p w14:paraId="3AE12290" w14:textId="77777777" w:rsidR="0068315E" w:rsidRPr="00F34796" w:rsidRDefault="0068315E" w:rsidP="00F34796"/>
  <w:p w14:paraId="69F7B7BE" w14:textId="77777777" w:rsidR="0068315E" w:rsidRPr="00F34796" w:rsidRDefault="0068315E">
    <w:pPr>
      <w:pStyle w:val="Kopteks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6237" w:type="dxa"/>
      <w:tblInd w:w="3544" w:type="dxa"/>
      <w:shd w:val="clear" w:color="auto" w:fill="FFFFFF" w:themeFill="background1"/>
      <w:tblLook w:val="04A0" w:firstRow="1" w:lastRow="0" w:firstColumn="1" w:lastColumn="0" w:noHBand="0" w:noVBand="1"/>
    </w:tblPr>
    <w:tblGrid>
      <w:gridCol w:w="3023"/>
      <w:gridCol w:w="1513"/>
      <w:gridCol w:w="1701"/>
    </w:tblGrid>
    <w:tr w:rsidR="0068315E" w14:paraId="4E2FEED9" w14:textId="77777777" w:rsidTr="00F52132">
      <w:trPr>
        <w:cnfStyle w:val="100000000000" w:firstRow="1" w:lastRow="0" w:firstColumn="0" w:lastColumn="0" w:oddVBand="0" w:evenVBand="0" w:oddHBand="0" w:evenHBand="0" w:firstRowFirstColumn="0" w:firstRowLastColumn="0" w:lastRowFirstColumn="0" w:lastRowLastColumn="0"/>
      </w:trPr>
      <w:tc>
        <w:tcPr>
          <w:tcW w:w="3023" w:type="dxa"/>
          <w:shd w:val="clear" w:color="auto" w:fill="FFFFFF" w:themeFill="background1"/>
        </w:tcPr>
        <w:p w14:paraId="7BE9BBE5" w14:textId="735C25B6" w:rsidR="0068315E" w:rsidRDefault="0068315E" w:rsidP="00F52132">
          <w:pPr>
            <w:jc w:val="right"/>
          </w:pPr>
          <w:r>
            <w:rPr>
              <w:rFonts w:ascii="Arial" w:hAnsi="Arial" w:cs="Arial"/>
              <w:noProof/>
              <w:sz w:val="22"/>
              <w:szCs w:val="22"/>
              <w:lang w:eastAsia="nl-NL"/>
            </w:rPr>
            <w:drawing>
              <wp:inline distT="0" distB="0" distL="0" distR="0" wp14:anchorId="1609E774" wp14:editId="0EAF3A4C">
                <wp:extent cx="1409700" cy="676275"/>
                <wp:effectExtent l="0" t="0" r="0" b="9525"/>
                <wp:docPr id="85" name="Afbeelding 85" descr="Logo BEL Combina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BEL Combinat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676275"/>
                        </a:xfrm>
                        <a:prstGeom prst="rect">
                          <a:avLst/>
                        </a:prstGeom>
                        <a:noFill/>
                        <a:ln>
                          <a:noFill/>
                        </a:ln>
                      </pic:spPr>
                    </pic:pic>
                  </a:graphicData>
                </a:graphic>
              </wp:inline>
            </w:drawing>
          </w:r>
        </w:p>
      </w:tc>
      <w:tc>
        <w:tcPr>
          <w:tcW w:w="1513" w:type="dxa"/>
          <w:shd w:val="clear" w:color="auto" w:fill="FFFFFF" w:themeFill="background1"/>
        </w:tcPr>
        <w:p w14:paraId="50DA2EB6" w14:textId="25D40B7D" w:rsidR="0068315E" w:rsidRDefault="0068315E" w:rsidP="00F52132">
          <w:pPr>
            <w:jc w:val="center"/>
          </w:pPr>
          <w:r>
            <w:rPr>
              <w:rFonts w:cs="Tahoma"/>
              <w:bCs/>
              <w:noProof/>
              <w:color w:val="CC0000"/>
              <w:lang w:eastAsia="nl-NL"/>
            </w:rPr>
            <w:drawing>
              <wp:inline distT="0" distB="0" distL="0" distR="0" wp14:anchorId="6F0F3C63" wp14:editId="78245B6B">
                <wp:extent cx="819150" cy="752475"/>
                <wp:effectExtent l="0" t="0" r="0" b="9525"/>
                <wp:docPr id="86" name="Afbeelding 86" descr="Blaricum 04.JP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laricum 04.JP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819150" cy="752475"/>
                        </a:xfrm>
                        <a:prstGeom prst="rect">
                          <a:avLst/>
                        </a:prstGeom>
                        <a:noFill/>
                        <a:ln>
                          <a:noFill/>
                        </a:ln>
                      </pic:spPr>
                    </pic:pic>
                  </a:graphicData>
                </a:graphic>
              </wp:inline>
            </w:drawing>
          </w:r>
        </w:p>
      </w:tc>
      <w:tc>
        <w:tcPr>
          <w:tcW w:w="1701" w:type="dxa"/>
          <w:shd w:val="clear" w:color="auto" w:fill="FFFFFF" w:themeFill="background1"/>
        </w:tcPr>
        <w:p w14:paraId="5D3ED2F5" w14:textId="1C2C55B3" w:rsidR="0068315E" w:rsidRDefault="0068315E" w:rsidP="00F52132">
          <w:pPr>
            <w:jc w:val="center"/>
          </w:pPr>
          <w:r>
            <w:rPr>
              <w:rFonts w:cs="Tahoma"/>
              <w:noProof/>
              <w:color w:val="CC0000"/>
              <w:lang w:eastAsia="nl-NL"/>
            </w:rPr>
            <w:drawing>
              <wp:anchor distT="0" distB="0" distL="114300" distR="114300" simplePos="0" relativeHeight="251658240" behindDoc="0" locked="0" layoutInCell="1" allowOverlap="1" wp14:anchorId="13A01846" wp14:editId="670433FE">
                <wp:simplePos x="0" y="0"/>
                <wp:positionH relativeFrom="column">
                  <wp:posOffset>159385</wp:posOffset>
                </wp:positionH>
                <wp:positionV relativeFrom="paragraph">
                  <wp:posOffset>74930</wp:posOffset>
                </wp:positionV>
                <wp:extent cx="809625" cy="800100"/>
                <wp:effectExtent l="0" t="0" r="9525" b="0"/>
                <wp:wrapThrough wrapText="bothSides">
                  <wp:wrapPolygon edited="0">
                    <wp:start x="0" y="0"/>
                    <wp:lineTo x="0" y="21086"/>
                    <wp:lineTo x="21346" y="21086"/>
                    <wp:lineTo x="21346" y="0"/>
                    <wp:lineTo x="0" y="0"/>
                  </wp:wrapPolygon>
                </wp:wrapThrough>
                <wp:docPr id="87" name="Afbeelding 87" descr="logo laren 04.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laren 04.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09625" cy="800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2DC94E9" w14:textId="4520E5A7" w:rsidR="0068315E" w:rsidRPr="00E15026" w:rsidRDefault="0068315E" w:rsidP="00F5213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EF9"/>
    <w:multiLevelType w:val="multilevel"/>
    <w:tmpl w:val="AC0825EA"/>
    <w:numStyleLink w:val="ArcadisBulletOrange"/>
  </w:abstractNum>
  <w:abstractNum w:abstractNumId="1">
    <w:nsid w:val="030C157B"/>
    <w:multiLevelType w:val="multilevel"/>
    <w:tmpl w:val="F61C2BBA"/>
    <w:styleLink w:val="ArcadisBullet"/>
    <w:lvl w:ilvl="0">
      <w:start w:val="1"/>
      <w:numFmt w:val="bullet"/>
      <w:pStyle w:val="ArcadisList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
    <w:nsid w:val="05914D32"/>
    <w:multiLevelType w:val="multilevel"/>
    <w:tmpl w:val="E240680A"/>
    <w:lvl w:ilvl="0">
      <w:start w:val="1"/>
      <w:numFmt w:val="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3">
    <w:nsid w:val="075C0620"/>
    <w:multiLevelType w:val="multilevel"/>
    <w:tmpl w:val="F61C2BBA"/>
    <w:numStyleLink w:val="ArcadisBullet"/>
  </w:abstractNum>
  <w:abstractNum w:abstractNumId="4">
    <w:nsid w:val="10E42CCA"/>
    <w:multiLevelType w:val="multilevel"/>
    <w:tmpl w:val="5E94BF44"/>
    <w:numStyleLink w:val="ArcadisLetter"/>
  </w:abstractNum>
  <w:abstractNum w:abstractNumId="5">
    <w:nsid w:val="12B73976"/>
    <w:multiLevelType w:val="multilevel"/>
    <w:tmpl w:val="4A145E96"/>
    <w:numStyleLink w:val="ArcadisItem"/>
  </w:abstractNum>
  <w:abstractNum w:abstractNumId="6">
    <w:nsid w:val="151B5056"/>
    <w:multiLevelType w:val="multilevel"/>
    <w:tmpl w:val="69B26190"/>
    <w:numStyleLink w:val="ArcadisNumberOrange"/>
  </w:abstractNum>
  <w:abstractNum w:abstractNumId="7">
    <w:nsid w:val="15D841B1"/>
    <w:multiLevelType w:val="multilevel"/>
    <w:tmpl w:val="EA2AEDD6"/>
    <w:lvl w:ilvl="0">
      <w:start w:val="1"/>
      <w:numFmt w:val="decimal"/>
      <w:pStyle w:val="list-number"/>
      <w:lvlText w:val="%1."/>
      <w:lvlJc w:val="left"/>
      <w:pPr>
        <w:tabs>
          <w:tab w:val="num" w:pos="794"/>
        </w:tabs>
        <w:ind w:left="284" w:hanging="284"/>
      </w:pPr>
      <w:rPr>
        <w:rFonts w:ascii="Palatino Linotype" w:hAnsi="Palatino Linotype" w:hint="default"/>
        <w:b w:val="0"/>
        <w:i w:val="0"/>
        <w:color w:val="auto"/>
        <w:sz w:val="18"/>
      </w:rPr>
    </w:lvl>
    <w:lvl w:ilvl="1">
      <w:start w:val="1"/>
      <w:numFmt w:val="lowerLetter"/>
      <w:lvlText w:val="%2."/>
      <w:lvlJc w:val="left"/>
      <w:pPr>
        <w:tabs>
          <w:tab w:val="num" w:pos="1021"/>
        </w:tabs>
        <w:ind w:left="511" w:hanging="227"/>
      </w:pPr>
      <w:rPr>
        <w:rFonts w:ascii="Palatino Linotype" w:hAnsi="Palatino Linotype" w:hint="default"/>
        <w:b w:val="0"/>
        <w:i w:val="0"/>
        <w:color w:val="auto"/>
        <w:sz w:val="18"/>
      </w:rPr>
    </w:lvl>
    <w:lvl w:ilvl="2">
      <w:start w:val="1"/>
      <w:numFmt w:val="bullet"/>
      <w:lvlText w:val="-"/>
      <w:lvlJc w:val="left"/>
      <w:pPr>
        <w:tabs>
          <w:tab w:val="num" w:pos="1248"/>
        </w:tabs>
        <w:ind w:left="738" w:hanging="228"/>
      </w:pPr>
      <w:rPr>
        <w:rFonts w:ascii="Arial" w:hAnsi="Arial" w:cs="Times New Roman" w:hint="default"/>
        <w:b w:val="0"/>
        <w:i w:val="0"/>
        <w:color w:val="0070C0"/>
        <w:sz w:val="18"/>
      </w:rPr>
    </w:lvl>
    <w:lvl w:ilvl="3">
      <w:start w:val="1"/>
      <w:numFmt w:val="lowerLetter"/>
      <w:lvlText w:val="%4."/>
      <w:lvlJc w:val="left"/>
      <w:pPr>
        <w:tabs>
          <w:tab w:val="num" w:pos="1475"/>
        </w:tabs>
        <w:ind w:left="965" w:hanging="228"/>
      </w:pPr>
      <w:rPr>
        <w:rFonts w:ascii="Palatino Linotype" w:hAnsi="Palatino Linotype" w:hint="default"/>
        <w:b w:val="0"/>
        <w:i w:val="0"/>
        <w:color w:val="auto"/>
        <w:sz w:val="18"/>
      </w:rPr>
    </w:lvl>
    <w:lvl w:ilvl="4">
      <w:start w:val="1"/>
      <w:numFmt w:val="bullet"/>
      <w:lvlText w:val="-"/>
      <w:lvlJc w:val="left"/>
      <w:pPr>
        <w:tabs>
          <w:tab w:val="num" w:pos="1702"/>
        </w:tabs>
        <w:ind w:left="1192" w:hanging="228"/>
      </w:pPr>
      <w:rPr>
        <w:rFonts w:ascii="Arial" w:hAnsi="Arial" w:cs="Times New Roman" w:hint="default"/>
        <w:b w:val="0"/>
        <w:i w:val="0"/>
        <w:color w:val="0070C0"/>
        <w:sz w:val="18"/>
      </w:rPr>
    </w:lvl>
    <w:lvl w:ilvl="5">
      <w:start w:val="1"/>
      <w:numFmt w:val="lowerLetter"/>
      <w:lvlText w:val="%6."/>
      <w:lvlJc w:val="left"/>
      <w:pPr>
        <w:tabs>
          <w:tab w:val="num" w:pos="1929"/>
        </w:tabs>
        <w:ind w:left="1419" w:hanging="228"/>
      </w:pPr>
      <w:rPr>
        <w:b w:val="0"/>
        <w:i w:val="0"/>
        <w:color w:val="auto"/>
        <w:sz w:val="18"/>
      </w:rPr>
    </w:lvl>
    <w:lvl w:ilvl="6">
      <w:start w:val="1"/>
      <w:numFmt w:val="bullet"/>
      <w:lvlText w:val="-"/>
      <w:lvlJc w:val="left"/>
      <w:pPr>
        <w:tabs>
          <w:tab w:val="num" w:pos="2156"/>
        </w:tabs>
        <w:ind w:left="1646" w:hanging="228"/>
      </w:pPr>
      <w:rPr>
        <w:rFonts w:ascii="Arial" w:hAnsi="Arial" w:cs="Times New Roman" w:hint="default"/>
        <w:b w:val="0"/>
        <w:i w:val="0"/>
        <w:color w:val="0070C0"/>
        <w:sz w:val="18"/>
      </w:rPr>
    </w:lvl>
    <w:lvl w:ilvl="7">
      <w:start w:val="1"/>
      <w:numFmt w:val="lowerLetter"/>
      <w:lvlText w:val="%8."/>
      <w:lvlJc w:val="left"/>
      <w:pPr>
        <w:tabs>
          <w:tab w:val="num" w:pos="2383"/>
        </w:tabs>
        <w:ind w:left="1873" w:hanging="229"/>
      </w:pPr>
      <w:rPr>
        <w:rFonts w:ascii="Palatino Linotype" w:hAnsi="Palatino Linotype" w:hint="default"/>
        <w:b w:val="0"/>
        <w:i w:val="0"/>
        <w:color w:val="auto"/>
        <w:sz w:val="18"/>
      </w:rPr>
    </w:lvl>
    <w:lvl w:ilvl="8">
      <w:start w:val="1"/>
      <w:numFmt w:val="bullet"/>
      <w:lvlText w:val="-"/>
      <w:lvlJc w:val="left"/>
      <w:pPr>
        <w:tabs>
          <w:tab w:val="num" w:pos="2610"/>
        </w:tabs>
        <w:ind w:left="2100" w:hanging="229"/>
      </w:pPr>
      <w:rPr>
        <w:rFonts w:ascii="Arial" w:hAnsi="Arial" w:cs="Times New Roman" w:hint="default"/>
        <w:b w:val="0"/>
        <w:i w:val="0"/>
        <w:color w:val="0070C0"/>
        <w:sz w:val="18"/>
      </w:rPr>
    </w:lvl>
  </w:abstractNum>
  <w:abstractNum w:abstractNumId="8">
    <w:nsid w:val="166E1F26"/>
    <w:multiLevelType w:val="multilevel"/>
    <w:tmpl w:val="703C1F50"/>
    <w:numStyleLink w:val="ArcadisNumber"/>
  </w:abstractNum>
  <w:abstractNum w:abstractNumId="9">
    <w:nsid w:val="17C51E56"/>
    <w:multiLevelType w:val="multilevel"/>
    <w:tmpl w:val="B72A4476"/>
    <w:styleLink w:val="ArcadisLetterOrange"/>
    <w:lvl w:ilvl="0">
      <w:start w:val="1"/>
      <w:numFmt w:val="lowerLetter"/>
      <w:pStyle w:val="ArcadisListLetterOrange"/>
      <w:lvlText w:val="%1."/>
      <w:lvlJc w:val="left"/>
      <w:pPr>
        <w:ind w:left="284" w:hanging="284"/>
      </w:pPr>
      <w:rPr>
        <w:rFonts w:hint="default"/>
        <w:color w:val="E4610F" w:themeColor="background2"/>
      </w:rPr>
    </w:lvl>
    <w:lvl w:ilvl="1">
      <w:start w:val="1"/>
      <w:numFmt w:val="lowerLetter"/>
      <w:lvlText w:val="%2."/>
      <w:lvlJc w:val="left"/>
      <w:pPr>
        <w:ind w:left="568" w:hanging="284"/>
      </w:pPr>
      <w:rPr>
        <w:rFonts w:hint="default"/>
        <w:color w:val="E4610F" w:themeColor="background2"/>
      </w:rPr>
    </w:lvl>
    <w:lvl w:ilvl="2">
      <w:start w:val="1"/>
      <w:numFmt w:val="lowerLetter"/>
      <w:lvlText w:val="%3."/>
      <w:lvlJc w:val="left"/>
      <w:pPr>
        <w:ind w:left="852" w:hanging="284"/>
      </w:pPr>
      <w:rPr>
        <w:rFonts w:hint="default"/>
        <w:color w:val="E4610F" w:themeColor="background2"/>
      </w:rPr>
    </w:lvl>
    <w:lvl w:ilvl="3">
      <w:start w:val="1"/>
      <w:numFmt w:val="lowerLetter"/>
      <w:lvlText w:val="%4."/>
      <w:lvlJc w:val="left"/>
      <w:pPr>
        <w:ind w:left="1136" w:hanging="284"/>
      </w:pPr>
      <w:rPr>
        <w:rFonts w:hint="default"/>
        <w:color w:val="E4610F" w:themeColor="background2"/>
      </w:rPr>
    </w:lvl>
    <w:lvl w:ilvl="4">
      <w:start w:val="1"/>
      <w:numFmt w:val="lowerLetter"/>
      <w:lvlText w:val="%5."/>
      <w:lvlJc w:val="left"/>
      <w:pPr>
        <w:ind w:left="1420" w:hanging="284"/>
      </w:pPr>
      <w:rPr>
        <w:rFonts w:hint="default"/>
        <w:color w:val="E4610F" w:themeColor="background2"/>
      </w:rPr>
    </w:lvl>
    <w:lvl w:ilvl="5">
      <w:start w:val="1"/>
      <w:numFmt w:val="lowerLetter"/>
      <w:lvlText w:val="%6."/>
      <w:lvlJc w:val="left"/>
      <w:pPr>
        <w:ind w:left="1704" w:hanging="284"/>
      </w:pPr>
      <w:rPr>
        <w:rFonts w:hint="default"/>
        <w:color w:val="E4610F" w:themeColor="background2"/>
      </w:rPr>
    </w:lvl>
    <w:lvl w:ilvl="6">
      <w:start w:val="1"/>
      <w:numFmt w:val="lowerLetter"/>
      <w:lvlText w:val="%7."/>
      <w:lvlJc w:val="left"/>
      <w:pPr>
        <w:ind w:left="1988" w:hanging="284"/>
      </w:pPr>
      <w:rPr>
        <w:rFonts w:hint="default"/>
        <w:color w:val="E4610F" w:themeColor="background2"/>
      </w:rPr>
    </w:lvl>
    <w:lvl w:ilvl="7">
      <w:start w:val="1"/>
      <w:numFmt w:val="lowerLetter"/>
      <w:lvlText w:val="%8."/>
      <w:lvlJc w:val="left"/>
      <w:pPr>
        <w:ind w:left="2272" w:hanging="284"/>
      </w:pPr>
      <w:rPr>
        <w:rFonts w:hint="default"/>
        <w:color w:val="E4610F" w:themeColor="background2"/>
      </w:rPr>
    </w:lvl>
    <w:lvl w:ilvl="8">
      <w:start w:val="1"/>
      <w:numFmt w:val="lowerLetter"/>
      <w:lvlText w:val="%9."/>
      <w:lvlJc w:val="left"/>
      <w:pPr>
        <w:ind w:left="2556" w:hanging="284"/>
      </w:pPr>
      <w:rPr>
        <w:rFonts w:hint="default"/>
        <w:color w:val="E4610F" w:themeColor="background2"/>
      </w:rPr>
    </w:lvl>
  </w:abstractNum>
  <w:abstractNum w:abstractNumId="10">
    <w:nsid w:val="19D36B42"/>
    <w:multiLevelType w:val="multilevel"/>
    <w:tmpl w:val="55D2E63E"/>
    <w:lvl w:ilvl="0">
      <w:start w:val="1"/>
      <w:numFmt w:val="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11">
    <w:nsid w:val="19E227A9"/>
    <w:multiLevelType w:val="multilevel"/>
    <w:tmpl w:val="4A145E96"/>
    <w:numStyleLink w:val="ArcadisItem"/>
  </w:abstractNum>
  <w:abstractNum w:abstractNumId="12">
    <w:nsid w:val="1B3E4FF4"/>
    <w:multiLevelType w:val="multilevel"/>
    <w:tmpl w:val="69B26190"/>
    <w:numStyleLink w:val="ArcadisNumberOrange"/>
  </w:abstractNum>
  <w:abstractNum w:abstractNumId="13">
    <w:nsid w:val="1F1C334D"/>
    <w:multiLevelType w:val="hybridMultilevel"/>
    <w:tmpl w:val="B76EAC3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nsid w:val="22F25BBD"/>
    <w:multiLevelType w:val="multilevel"/>
    <w:tmpl w:val="04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49A6D0B"/>
    <w:multiLevelType w:val="multilevel"/>
    <w:tmpl w:val="AC0825EA"/>
    <w:numStyleLink w:val="ArcadisBulletOrange"/>
  </w:abstractNum>
  <w:abstractNum w:abstractNumId="16">
    <w:nsid w:val="26E2666B"/>
    <w:multiLevelType w:val="multilevel"/>
    <w:tmpl w:val="AC0825EA"/>
    <w:styleLink w:val="ArcadisBulletOrange"/>
    <w:lvl w:ilvl="0">
      <w:start w:val="1"/>
      <w:numFmt w:val="bullet"/>
      <w:pStyle w:val="ArcadisListBulletOrange"/>
      <w:lvlText w:val="•"/>
      <w:lvlJc w:val="left"/>
      <w:pPr>
        <w:ind w:left="284" w:hanging="284"/>
      </w:pPr>
      <w:rPr>
        <w:rFonts w:ascii="Arial" w:hAnsi="Arial" w:hint="default"/>
        <w:color w:val="E4610F" w:themeColor="background2"/>
      </w:rPr>
    </w:lvl>
    <w:lvl w:ilvl="1">
      <w:start w:val="1"/>
      <w:numFmt w:val="bullet"/>
      <w:lvlText w:val="•"/>
      <w:lvlJc w:val="left"/>
      <w:pPr>
        <w:ind w:left="568" w:hanging="284"/>
      </w:pPr>
      <w:rPr>
        <w:rFonts w:ascii="Arial" w:hAnsi="Arial" w:hint="default"/>
        <w:color w:val="E4610F" w:themeColor="background2"/>
      </w:rPr>
    </w:lvl>
    <w:lvl w:ilvl="2">
      <w:start w:val="1"/>
      <w:numFmt w:val="bullet"/>
      <w:lvlText w:val="•"/>
      <w:lvlJc w:val="left"/>
      <w:pPr>
        <w:ind w:left="852" w:hanging="284"/>
      </w:pPr>
      <w:rPr>
        <w:rFonts w:ascii="Arial" w:hAnsi="Arial" w:hint="default"/>
        <w:color w:val="E4610F" w:themeColor="background2"/>
      </w:rPr>
    </w:lvl>
    <w:lvl w:ilvl="3">
      <w:start w:val="1"/>
      <w:numFmt w:val="bullet"/>
      <w:lvlText w:val="•"/>
      <w:lvlJc w:val="left"/>
      <w:pPr>
        <w:ind w:left="1136" w:hanging="284"/>
      </w:pPr>
      <w:rPr>
        <w:rFonts w:ascii="Arial" w:hAnsi="Arial" w:hint="default"/>
        <w:color w:val="E4610F" w:themeColor="background2"/>
      </w:rPr>
    </w:lvl>
    <w:lvl w:ilvl="4">
      <w:start w:val="1"/>
      <w:numFmt w:val="bullet"/>
      <w:lvlText w:val="•"/>
      <w:lvlJc w:val="left"/>
      <w:pPr>
        <w:ind w:left="1420" w:hanging="284"/>
      </w:pPr>
      <w:rPr>
        <w:rFonts w:ascii="Arial" w:hAnsi="Arial" w:hint="default"/>
        <w:color w:val="E4610F" w:themeColor="background2"/>
      </w:rPr>
    </w:lvl>
    <w:lvl w:ilvl="5">
      <w:start w:val="1"/>
      <w:numFmt w:val="bullet"/>
      <w:lvlText w:val="•"/>
      <w:lvlJc w:val="left"/>
      <w:pPr>
        <w:ind w:left="1704" w:hanging="284"/>
      </w:pPr>
      <w:rPr>
        <w:rFonts w:ascii="Arial" w:hAnsi="Arial" w:hint="default"/>
        <w:color w:val="E4610F" w:themeColor="background2"/>
      </w:rPr>
    </w:lvl>
    <w:lvl w:ilvl="6">
      <w:start w:val="1"/>
      <w:numFmt w:val="bullet"/>
      <w:lvlText w:val="•"/>
      <w:lvlJc w:val="left"/>
      <w:pPr>
        <w:ind w:left="1988" w:hanging="284"/>
      </w:pPr>
      <w:rPr>
        <w:rFonts w:ascii="Arial" w:hAnsi="Arial" w:hint="default"/>
        <w:color w:val="E4610F" w:themeColor="background2"/>
      </w:rPr>
    </w:lvl>
    <w:lvl w:ilvl="7">
      <w:start w:val="1"/>
      <w:numFmt w:val="bullet"/>
      <w:lvlText w:val="•"/>
      <w:lvlJc w:val="left"/>
      <w:pPr>
        <w:ind w:left="2272" w:hanging="284"/>
      </w:pPr>
      <w:rPr>
        <w:rFonts w:ascii="Arial" w:hAnsi="Arial" w:hint="default"/>
        <w:color w:val="E4610F" w:themeColor="background2"/>
      </w:rPr>
    </w:lvl>
    <w:lvl w:ilvl="8">
      <w:start w:val="1"/>
      <w:numFmt w:val="bullet"/>
      <w:lvlText w:val="•"/>
      <w:lvlJc w:val="left"/>
      <w:pPr>
        <w:ind w:left="2556" w:hanging="284"/>
      </w:pPr>
      <w:rPr>
        <w:rFonts w:ascii="Arial" w:hAnsi="Arial" w:hint="default"/>
        <w:color w:val="E4610F" w:themeColor="background2"/>
      </w:rPr>
    </w:lvl>
  </w:abstractNum>
  <w:abstractNum w:abstractNumId="17">
    <w:nsid w:val="28EF0EC6"/>
    <w:multiLevelType w:val="multilevel"/>
    <w:tmpl w:val="B72A4476"/>
    <w:numStyleLink w:val="ArcadisLetterOrange"/>
  </w:abstractNum>
  <w:abstractNum w:abstractNumId="18">
    <w:nsid w:val="2C9D4609"/>
    <w:multiLevelType w:val="multilevel"/>
    <w:tmpl w:val="703C1F50"/>
    <w:numStyleLink w:val="ArcadisNumber"/>
  </w:abstractNum>
  <w:abstractNum w:abstractNumId="19">
    <w:nsid w:val="2CC956CD"/>
    <w:multiLevelType w:val="multilevel"/>
    <w:tmpl w:val="703C1F50"/>
    <w:styleLink w:val="ArcadisNumber"/>
    <w:lvl w:ilvl="0">
      <w:start w:val="1"/>
      <w:numFmt w:val="decimal"/>
      <w:pStyle w:val="ArcadisListNumber"/>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nsid w:val="2E10514F"/>
    <w:multiLevelType w:val="multilevel"/>
    <w:tmpl w:val="E84C670C"/>
    <w:lvl w:ilvl="0">
      <w:start w:val="1"/>
      <w:numFmt w:val="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21">
    <w:nsid w:val="2E4547BB"/>
    <w:multiLevelType w:val="multilevel"/>
    <w:tmpl w:val="5E94BF44"/>
    <w:styleLink w:val="ArcadisLetter"/>
    <w:lvl w:ilvl="0">
      <w:start w:val="1"/>
      <w:numFmt w:val="lowerLetter"/>
      <w:pStyle w:val="ArcadisList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Letter"/>
      <w:lvlText w:val="%9."/>
      <w:lvlJc w:val="left"/>
      <w:pPr>
        <w:ind w:left="2556" w:hanging="284"/>
      </w:pPr>
      <w:rPr>
        <w:rFonts w:hint="default"/>
      </w:rPr>
    </w:lvl>
  </w:abstractNum>
  <w:abstractNum w:abstractNumId="22">
    <w:nsid w:val="3036346E"/>
    <w:multiLevelType w:val="multilevel"/>
    <w:tmpl w:val="69B26190"/>
    <w:styleLink w:val="ArcadisNumberOrange"/>
    <w:lvl w:ilvl="0">
      <w:start w:val="1"/>
      <w:numFmt w:val="decimal"/>
      <w:pStyle w:val="ArcadisListNumberOrange"/>
      <w:lvlText w:val="%1."/>
      <w:lvlJc w:val="left"/>
      <w:pPr>
        <w:ind w:left="284" w:hanging="284"/>
      </w:pPr>
      <w:rPr>
        <w:rFonts w:hint="default"/>
        <w:color w:val="E4610F" w:themeColor="background2"/>
      </w:rPr>
    </w:lvl>
    <w:lvl w:ilvl="1">
      <w:start w:val="1"/>
      <w:numFmt w:val="decimal"/>
      <w:lvlText w:val="%2."/>
      <w:lvlJc w:val="left"/>
      <w:pPr>
        <w:ind w:left="568" w:hanging="284"/>
      </w:pPr>
      <w:rPr>
        <w:rFonts w:hint="default"/>
        <w:color w:val="E4610F" w:themeColor="background2"/>
      </w:rPr>
    </w:lvl>
    <w:lvl w:ilvl="2">
      <w:start w:val="1"/>
      <w:numFmt w:val="decimal"/>
      <w:lvlText w:val="%3."/>
      <w:lvlJc w:val="left"/>
      <w:pPr>
        <w:ind w:left="852" w:hanging="284"/>
      </w:pPr>
      <w:rPr>
        <w:rFonts w:hint="default"/>
        <w:color w:val="E4610F" w:themeColor="background2"/>
      </w:rPr>
    </w:lvl>
    <w:lvl w:ilvl="3">
      <w:start w:val="1"/>
      <w:numFmt w:val="decimal"/>
      <w:lvlText w:val="%4."/>
      <w:lvlJc w:val="left"/>
      <w:pPr>
        <w:ind w:left="1136" w:hanging="284"/>
      </w:pPr>
      <w:rPr>
        <w:rFonts w:hint="default"/>
        <w:color w:val="E4610F" w:themeColor="background2"/>
      </w:rPr>
    </w:lvl>
    <w:lvl w:ilvl="4">
      <w:start w:val="1"/>
      <w:numFmt w:val="decimal"/>
      <w:lvlText w:val="%5."/>
      <w:lvlJc w:val="left"/>
      <w:pPr>
        <w:ind w:left="1420" w:hanging="284"/>
      </w:pPr>
      <w:rPr>
        <w:rFonts w:hint="default"/>
        <w:color w:val="E4610F" w:themeColor="background2"/>
      </w:rPr>
    </w:lvl>
    <w:lvl w:ilvl="5">
      <w:start w:val="1"/>
      <w:numFmt w:val="decimal"/>
      <w:lvlText w:val="%6."/>
      <w:lvlJc w:val="left"/>
      <w:pPr>
        <w:ind w:left="1704" w:hanging="284"/>
      </w:pPr>
      <w:rPr>
        <w:rFonts w:hint="default"/>
        <w:color w:val="E4610F" w:themeColor="background2"/>
      </w:rPr>
    </w:lvl>
    <w:lvl w:ilvl="6">
      <w:start w:val="1"/>
      <w:numFmt w:val="decimal"/>
      <w:lvlText w:val="%7."/>
      <w:lvlJc w:val="left"/>
      <w:pPr>
        <w:ind w:left="1988" w:hanging="284"/>
      </w:pPr>
      <w:rPr>
        <w:rFonts w:hint="default"/>
        <w:color w:val="E4610F" w:themeColor="background2"/>
      </w:rPr>
    </w:lvl>
    <w:lvl w:ilvl="7">
      <w:start w:val="1"/>
      <w:numFmt w:val="decimal"/>
      <w:lvlText w:val="%8."/>
      <w:lvlJc w:val="left"/>
      <w:pPr>
        <w:ind w:left="2272" w:hanging="284"/>
      </w:pPr>
      <w:rPr>
        <w:rFonts w:hint="default"/>
        <w:color w:val="E4610F" w:themeColor="background2"/>
      </w:rPr>
    </w:lvl>
    <w:lvl w:ilvl="8">
      <w:start w:val="1"/>
      <w:numFmt w:val="decimal"/>
      <w:lvlText w:val="%9."/>
      <w:lvlJc w:val="left"/>
      <w:pPr>
        <w:ind w:left="2556" w:hanging="284"/>
      </w:pPr>
      <w:rPr>
        <w:rFonts w:hint="default"/>
        <w:color w:val="E4610F" w:themeColor="background2"/>
      </w:rPr>
    </w:lvl>
  </w:abstractNum>
  <w:abstractNum w:abstractNumId="23">
    <w:nsid w:val="375D37D3"/>
    <w:multiLevelType w:val="multilevel"/>
    <w:tmpl w:val="5E94BF44"/>
    <w:numStyleLink w:val="ArcadisLetter"/>
  </w:abstractNum>
  <w:abstractNum w:abstractNumId="24">
    <w:nsid w:val="44687CE5"/>
    <w:multiLevelType w:val="hybridMultilevel"/>
    <w:tmpl w:val="6550127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5">
    <w:nsid w:val="4781573D"/>
    <w:multiLevelType w:val="multilevel"/>
    <w:tmpl w:val="EDDE004E"/>
    <w:lvl w:ilvl="0">
      <w:start w:val="1"/>
      <w:numFmt w:val="decimal"/>
      <w:pStyle w:val="Kop1"/>
      <w:suff w:val="space"/>
      <w:lvlText w:val="%1"/>
      <w:lvlJc w:val="left"/>
      <w:pPr>
        <w:ind w:left="432" w:hanging="432"/>
      </w:pPr>
      <w:rPr>
        <w:rFonts w:hint="default"/>
      </w:rPr>
    </w:lvl>
    <w:lvl w:ilvl="1">
      <w:start w:val="1"/>
      <w:numFmt w:val="decimal"/>
      <w:pStyle w:val="Kop2"/>
      <w:suff w:val="space"/>
      <w:lvlText w:val="%1.%2"/>
      <w:lvlJc w:val="left"/>
      <w:pPr>
        <w:ind w:left="576" w:hanging="576"/>
      </w:pPr>
      <w:rPr>
        <w:rFonts w:hint="default"/>
      </w:rPr>
    </w:lvl>
    <w:lvl w:ilvl="2">
      <w:start w:val="1"/>
      <w:numFmt w:val="decimal"/>
      <w:pStyle w:val="Kop3"/>
      <w:suff w:val="space"/>
      <w:lvlText w:val="%1.%2.%3"/>
      <w:lvlJc w:val="left"/>
      <w:pPr>
        <w:ind w:left="720" w:hanging="720"/>
      </w:pPr>
      <w:rPr>
        <w:rFonts w:hint="default"/>
      </w:rPr>
    </w:lvl>
    <w:lvl w:ilvl="3">
      <w:start w:val="1"/>
      <w:numFmt w:val="decimal"/>
      <w:pStyle w:val="Kop4"/>
      <w:suff w:val="space"/>
      <w:lvlText w:val="%1.%2.%3.%4"/>
      <w:lvlJc w:val="left"/>
      <w:pPr>
        <w:ind w:left="864" w:hanging="864"/>
      </w:pPr>
      <w:rPr>
        <w:rFonts w:hint="default"/>
      </w:rPr>
    </w:lvl>
    <w:lvl w:ilvl="4">
      <w:start w:val="1"/>
      <w:numFmt w:val="decimal"/>
      <w:pStyle w:val="Kop5"/>
      <w:suff w:val="space"/>
      <w:lvlText w:val="%1.%2.%3.%4.%5"/>
      <w:lvlJc w:val="left"/>
      <w:pPr>
        <w:ind w:left="1008" w:hanging="1008"/>
      </w:pPr>
      <w:rPr>
        <w:rFonts w:hint="default"/>
      </w:rPr>
    </w:lvl>
    <w:lvl w:ilvl="5">
      <w:start w:val="1"/>
      <w:numFmt w:val="decimal"/>
      <w:pStyle w:val="Kop6"/>
      <w:suff w:val="space"/>
      <w:lvlText w:val="%1.%2.%3.%4.%5.%6"/>
      <w:lvlJc w:val="left"/>
      <w:pPr>
        <w:ind w:left="1152" w:hanging="1152"/>
      </w:pPr>
      <w:rPr>
        <w:rFonts w:hint="default"/>
      </w:rPr>
    </w:lvl>
    <w:lvl w:ilvl="6">
      <w:start w:val="1"/>
      <w:numFmt w:val="decimal"/>
      <w:pStyle w:val="Kop7"/>
      <w:suff w:val="space"/>
      <w:lvlText w:val="%1.%2.%3.%4.%5.%6.%7"/>
      <w:lvlJc w:val="left"/>
      <w:pPr>
        <w:ind w:left="1296" w:hanging="1296"/>
      </w:pPr>
      <w:rPr>
        <w:rFonts w:hint="default"/>
      </w:rPr>
    </w:lvl>
    <w:lvl w:ilvl="7">
      <w:start w:val="1"/>
      <w:numFmt w:val="decimal"/>
      <w:pStyle w:val="Kop8"/>
      <w:suff w:val="space"/>
      <w:lvlText w:val="%1.%2.%3.%4.%5.%6.%7.%8"/>
      <w:lvlJc w:val="left"/>
      <w:pPr>
        <w:ind w:left="1440" w:hanging="1440"/>
      </w:pPr>
      <w:rPr>
        <w:rFonts w:hint="default"/>
      </w:rPr>
    </w:lvl>
    <w:lvl w:ilvl="8">
      <w:start w:val="1"/>
      <w:numFmt w:val="decimal"/>
      <w:pStyle w:val="Kop9"/>
      <w:suff w:val="space"/>
      <w:lvlText w:val="%1.%2.%3.%4.%5.%6.%7.%8.%9"/>
      <w:lvlJc w:val="left"/>
      <w:pPr>
        <w:ind w:left="1584" w:hanging="1584"/>
      </w:pPr>
      <w:rPr>
        <w:rFonts w:hint="default"/>
      </w:rPr>
    </w:lvl>
  </w:abstractNum>
  <w:abstractNum w:abstractNumId="26">
    <w:nsid w:val="47D02D41"/>
    <w:multiLevelType w:val="multilevel"/>
    <w:tmpl w:val="703C1F50"/>
    <w:numStyleLink w:val="ArcadisNumber"/>
  </w:abstractNum>
  <w:abstractNum w:abstractNumId="27">
    <w:nsid w:val="4BE313F2"/>
    <w:multiLevelType w:val="multilevel"/>
    <w:tmpl w:val="F61C2BBA"/>
    <w:numStyleLink w:val="ArcadisBullet"/>
  </w:abstractNum>
  <w:abstractNum w:abstractNumId="28">
    <w:nsid w:val="541336A3"/>
    <w:multiLevelType w:val="multilevel"/>
    <w:tmpl w:val="AC0825EA"/>
    <w:numStyleLink w:val="ArcadisBulletOrange"/>
  </w:abstractNum>
  <w:abstractNum w:abstractNumId="29">
    <w:nsid w:val="555E3D94"/>
    <w:multiLevelType w:val="multilevel"/>
    <w:tmpl w:val="F61C2BBA"/>
    <w:numStyleLink w:val="ArcadisBullet"/>
  </w:abstractNum>
  <w:abstractNum w:abstractNumId="30">
    <w:nsid w:val="59071F20"/>
    <w:multiLevelType w:val="multilevel"/>
    <w:tmpl w:val="965E0490"/>
    <w:lvl w:ilvl="0">
      <w:start w:val="1"/>
      <w:numFmt w:val="bullet"/>
      <w:lvlText w:val="•"/>
      <w:lvlJc w:val="left"/>
      <w:pPr>
        <w:ind w:left="284" w:hanging="284"/>
      </w:pPr>
      <w:rPr>
        <w:rFonts w:ascii="Arial" w:hAnsi="Arial" w:hint="default"/>
        <w:color w:val="1D1D1D" w:themeColor="text1"/>
      </w:rPr>
    </w:lvl>
    <w:lvl w:ilvl="1">
      <w:start w:val="1"/>
      <w:numFmt w:val="bullet"/>
      <w:lvlText w:val="-"/>
      <w:lvlJc w:val="left"/>
      <w:pPr>
        <w:ind w:left="568" w:hanging="284"/>
      </w:pPr>
      <w:rPr>
        <w:rFonts w:ascii="Arial" w:hAnsi="Arial" w:hint="default"/>
      </w:rPr>
    </w:lvl>
    <w:lvl w:ilvl="2">
      <w:start w:val="1"/>
      <w:numFmt w:val="bullet"/>
      <w:lvlText w:val="•"/>
      <w:lvlJc w:val="left"/>
      <w:pPr>
        <w:ind w:left="852" w:hanging="284"/>
      </w:pPr>
      <w:rPr>
        <w:rFonts w:ascii="Arial" w:hAnsi="Arial" w:hint="default"/>
      </w:rPr>
    </w:lvl>
    <w:lvl w:ilvl="3">
      <w:start w:val="1"/>
      <w:numFmt w:val="bullet"/>
      <w:lvlText w:val="-"/>
      <w:lvlJc w:val="left"/>
      <w:pPr>
        <w:ind w:left="1136" w:hanging="284"/>
      </w:pPr>
      <w:rPr>
        <w:rFonts w:ascii="Arial" w:hAnsi="Arial" w:hint="default"/>
      </w:rPr>
    </w:lvl>
    <w:lvl w:ilvl="4">
      <w:start w:val="1"/>
      <w:numFmt w:val="bullet"/>
      <w:lvlText w:val="•"/>
      <w:lvlJc w:val="left"/>
      <w:pPr>
        <w:ind w:left="1420" w:hanging="284"/>
      </w:pPr>
      <w:rPr>
        <w:rFonts w:ascii="Arial" w:hAnsi="Arial" w:hint="default"/>
      </w:rPr>
    </w:lvl>
    <w:lvl w:ilvl="5">
      <w:start w:val="1"/>
      <w:numFmt w:val="bullet"/>
      <w:lvlText w:val="-"/>
      <w:lvlJc w:val="left"/>
      <w:pPr>
        <w:ind w:left="1704" w:hanging="284"/>
      </w:pPr>
      <w:rPr>
        <w:rFonts w:ascii="Arial" w:hAnsi="Arial" w:hint="default"/>
      </w:rPr>
    </w:lvl>
    <w:lvl w:ilvl="6">
      <w:start w:val="1"/>
      <w:numFmt w:val="bullet"/>
      <w:lvlText w:val="•"/>
      <w:lvlJc w:val="left"/>
      <w:pPr>
        <w:ind w:left="1988" w:hanging="284"/>
      </w:pPr>
      <w:rPr>
        <w:rFonts w:ascii="Arial" w:hAnsi="Arial" w:hint="default"/>
      </w:rPr>
    </w:lvl>
    <w:lvl w:ilvl="7">
      <w:start w:val="1"/>
      <w:numFmt w:val="bullet"/>
      <w:lvlText w:val="-"/>
      <w:lvlJc w:val="left"/>
      <w:pPr>
        <w:ind w:left="2272" w:hanging="284"/>
      </w:pPr>
      <w:rPr>
        <w:rFonts w:ascii="Arial" w:hAnsi="Arial" w:hint="default"/>
      </w:rPr>
    </w:lvl>
    <w:lvl w:ilvl="8">
      <w:start w:val="1"/>
      <w:numFmt w:val="bullet"/>
      <w:lvlText w:val="•"/>
      <w:lvlJc w:val="left"/>
      <w:pPr>
        <w:ind w:left="2556" w:hanging="284"/>
      </w:pPr>
      <w:rPr>
        <w:rFonts w:ascii="Arial" w:hAnsi="Arial" w:hint="default"/>
      </w:rPr>
    </w:lvl>
  </w:abstractNum>
  <w:abstractNum w:abstractNumId="31">
    <w:nsid w:val="5A2D2E82"/>
    <w:multiLevelType w:val="multilevel"/>
    <w:tmpl w:val="4A145E96"/>
    <w:styleLink w:val="ArcadisItem"/>
    <w:lvl w:ilvl="0">
      <w:start w:val="1"/>
      <w:numFmt w:val="decimal"/>
      <w:pStyle w:val="ArcadisListItem"/>
      <w:suff w:val="nothing"/>
      <w:lvlText w:val="%1."/>
      <w:lvlJc w:val="left"/>
      <w:pPr>
        <w:ind w:left="0" w:firstLine="0"/>
      </w:pPr>
      <w:rPr>
        <w:rFonts w:hint="default"/>
        <w:color w:val="1D1D1D" w:themeColor="text1"/>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left"/>
      <w:pPr>
        <w:ind w:left="0" w:firstLine="0"/>
      </w:pPr>
      <w:rPr>
        <w:rFonts w:hint="default"/>
      </w:rPr>
    </w:lvl>
    <w:lvl w:ilvl="4">
      <w:start w:val="1"/>
      <w:numFmt w:val="decimal"/>
      <w:suff w:val="nothing"/>
      <w:lvlText w:val="%1.%2.%3.%4.%5"/>
      <w:lvlJc w:val="left"/>
      <w:pPr>
        <w:ind w:left="0" w:firstLine="0"/>
      </w:pPr>
      <w:rPr>
        <w:rFonts w:hint="default"/>
      </w:rPr>
    </w:lvl>
    <w:lvl w:ilvl="5">
      <w:start w:val="1"/>
      <w:numFmt w:val="decimal"/>
      <w:suff w:val="nothing"/>
      <w:lvlText w:val="%1.%2.%3.%4.%5.%6"/>
      <w:lvlJc w:val="left"/>
      <w:pPr>
        <w:ind w:left="0" w:firstLine="0"/>
      </w:pPr>
      <w:rPr>
        <w:rFonts w:hint="default"/>
      </w:rPr>
    </w:lvl>
    <w:lvl w:ilvl="6">
      <w:start w:val="1"/>
      <w:numFmt w:val="decimal"/>
      <w:suff w:val="nothing"/>
      <w:lvlText w:val="%1.%2.%3.%4.%5.%6.%7"/>
      <w:lvlJc w:val="left"/>
      <w:pPr>
        <w:ind w:left="0" w:firstLine="0"/>
      </w:pPr>
      <w:rPr>
        <w:rFonts w:hint="default"/>
      </w:rPr>
    </w:lvl>
    <w:lvl w:ilvl="7">
      <w:start w:val="1"/>
      <w:numFmt w:val="decimal"/>
      <w:suff w:val="nothing"/>
      <w:lvlText w:val="%1.%2.%3.%4.%5.%6.%7.%8"/>
      <w:lvlJc w:val="left"/>
      <w:pPr>
        <w:ind w:left="0" w:firstLine="0"/>
      </w:pPr>
      <w:rPr>
        <w:rFonts w:hint="default"/>
      </w:rPr>
    </w:lvl>
    <w:lvl w:ilvl="8">
      <w:start w:val="1"/>
      <w:numFmt w:val="decimal"/>
      <w:suff w:val="nothing"/>
      <w:lvlText w:val="%1.%2.%3.%4.%5.%6.%7.%8.%9"/>
      <w:lvlJc w:val="left"/>
      <w:pPr>
        <w:ind w:left="0" w:firstLine="0"/>
      </w:pPr>
      <w:rPr>
        <w:rFonts w:hint="default"/>
      </w:rPr>
    </w:lvl>
  </w:abstractNum>
  <w:abstractNum w:abstractNumId="32">
    <w:nsid w:val="5CEF079A"/>
    <w:multiLevelType w:val="hybridMultilevel"/>
    <w:tmpl w:val="8348EF9C"/>
    <w:lvl w:ilvl="0" w:tplc="04130019">
      <w:start w:val="1"/>
      <w:numFmt w:val="lowerLetter"/>
      <w:lvlText w:val="%1."/>
      <w:lvlJc w:val="left"/>
      <w:pPr>
        <w:ind w:left="1093" w:hanging="360"/>
      </w:pPr>
    </w:lvl>
    <w:lvl w:ilvl="1" w:tplc="04130019">
      <w:start w:val="1"/>
      <w:numFmt w:val="lowerLetter"/>
      <w:lvlText w:val="%2."/>
      <w:lvlJc w:val="left"/>
      <w:pPr>
        <w:ind w:left="1813" w:hanging="360"/>
      </w:pPr>
    </w:lvl>
    <w:lvl w:ilvl="2" w:tplc="0413001B">
      <w:start w:val="1"/>
      <w:numFmt w:val="lowerRoman"/>
      <w:lvlText w:val="%3."/>
      <w:lvlJc w:val="right"/>
      <w:pPr>
        <w:ind w:left="2533" w:hanging="180"/>
      </w:pPr>
    </w:lvl>
    <w:lvl w:ilvl="3" w:tplc="0413000F">
      <w:start w:val="1"/>
      <w:numFmt w:val="decimal"/>
      <w:lvlText w:val="%4."/>
      <w:lvlJc w:val="left"/>
      <w:pPr>
        <w:ind w:left="3253" w:hanging="360"/>
      </w:pPr>
    </w:lvl>
    <w:lvl w:ilvl="4" w:tplc="04130019">
      <w:start w:val="1"/>
      <w:numFmt w:val="lowerLetter"/>
      <w:lvlText w:val="%5."/>
      <w:lvlJc w:val="left"/>
      <w:pPr>
        <w:ind w:left="3973" w:hanging="360"/>
      </w:pPr>
    </w:lvl>
    <w:lvl w:ilvl="5" w:tplc="0413001B">
      <w:start w:val="1"/>
      <w:numFmt w:val="lowerRoman"/>
      <w:lvlText w:val="%6."/>
      <w:lvlJc w:val="right"/>
      <w:pPr>
        <w:ind w:left="4693" w:hanging="180"/>
      </w:pPr>
    </w:lvl>
    <w:lvl w:ilvl="6" w:tplc="0413000F">
      <w:start w:val="1"/>
      <w:numFmt w:val="decimal"/>
      <w:lvlText w:val="%7."/>
      <w:lvlJc w:val="left"/>
      <w:pPr>
        <w:ind w:left="5413" w:hanging="360"/>
      </w:pPr>
    </w:lvl>
    <w:lvl w:ilvl="7" w:tplc="04130019">
      <w:start w:val="1"/>
      <w:numFmt w:val="lowerLetter"/>
      <w:lvlText w:val="%8."/>
      <w:lvlJc w:val="left"/>
      <w:pPr>
        <w:ind w:left="6133" w:hanging="360"/>
      </w:pPr>
    </w:lvl>
    <w:lvl w:ilvl="8" w:tplc="0413001B">
      <w:start w:val="1"/>
      <w:numFmt w:val="lowerRoman"/>
      <w:lvlText w:val="%9."/>
      <w:lvlJc w:val="right"/>
      <w:pPr>
        <w:ind w:left="6853" w:hanging="180"/>
      </w:pPr>
    </w:lvl>
  </w:abstractNum>
  <w:abstractNum w:abstractNumId="33">
    <w:nsid w:val="5F5D38F8"/>
    <w:multiLevelType w:val="multilevel"/>
    <w:tmpl w:val="69B26190"/>
    <w:numStyleLink w:val="ArcadisNumberOrange"/>
  </w:abstractNum>
  <w:abstractNum w:abstractNumId="34">
    <w:nsid w:val="6717272D"/>
    <w:multiLevelType w:val="hybridMultilevel"/>
    <w:tmpl w:val="6AE091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5">
    <w:nsid w:val="6EA87093"/>
    <w:multiLevelType w:val="hybridMultilevel"/>
    <w:tmpl w:val="9D04129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6">
    <w:nsid w:val="712A25A5"/>
    <w:multiLevelType w:val="multilevel"/>
    <w:tmpl w:val="AC0825EA"/>
    <w:numStyleLink w:val="ArcadisBulletOrange"/>
  </w:abstractNum>
  <w:abstractNum w:abstractNumId="37">
    <w:nsid w:val="748857BB"/>
    <w:multiLevelType w:val="multilevel"/>
    <w:tmpl w:val="703C1F50"/>
    <w:numStyleLink w:val="ArcadisNumber"/>
  </w:abstractNum>
  <w:abstractNum w:abstractNumId="38">
    <w:nsid w:val="7977127F"/>
    <w:multiLevelType w:val="multilevel"/>
    <w:tmpl w:val="B72A4476"/>
    <w:numStyleLink w:val="ArcadisLetterOrange"/>
  </w:abstractNum>
  <w:abstractNum w:abstractNumId="39">
    <w:nsid w:val="7AEE61D3"/>
    <w:multiLevelType w:val="multilevel"/>
    <w:tmpl w:val="B72A4476"/>
    <w:numStyleLink w:val="ArcadisLetterOrange"/>
  </w:abstractNum>
  <w:abstractNum w:abstractNumId="40">
    <w:nsid w:val="7DD2225E"/>
    <w:multiLevelType w:val="multilevel"/>
    <w:tmpl w:val="F61C2BBA"/>
    <w:numStyleLink w:val="ArcadisBullet"/>
  </w:abstractNum>
  <w:abstractNum w:abstractNumId="41">
    <w:nsid w:val="7F5363B5"/>
    <w:multiLevelType w:val="multilevel"/>
    <w:tmpl w:val="5E94BF44"/>
    <w:numStyleLink w:val="ArcadisLetter"/>
  </w:abstractNum>
  <w:num w:numId="1">
    <w:abstractNumId w:val="25"/>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20"/>
  </w:num>
  <w:num w:numId="6">
    <w:abstractNumId w:val="19"/>
  </w:num>
  <w:num w:numId="7">
    <w:abstractNumId w:val="8"/>
  </w:num>
  <w:num w:numId="8">
    <w:abstractNumId w:val="10"/>
  </w:num>
  <w:num w:numId="9">
    <w:abstractNumId w:val="29"/>
  </w:num>
  <w:num w:numId="10">
    <w:abstractNumId w:val="18"/>
  </w:num>
  <w:num w:numId="11">
    <w:abstractNumId w:val="30"/>
  </w:num>
  <w:num w:numId="12">
    <w:abstractNumId w:val="2"/>
  </w:num>
  <w:num w:numId="13">
    <w:abstractNumId w:val="21"/>
  </w:num>
  <w:num w:numId="14">
    <w:abstractNumId w:val="4"/>
  </w:num>
  <w:num w:numId="15">
    <w:abstractNumId w:val="23"/>
  </w:num>
  <w:num w:numId="16">
    <w:abstractNumId w:val="27"/>
  </w:num>
  <w:num w:numId="17">
    <w:abstractNumId w:val="16"/>
  </w:num>
  <w:num w:numId="18">
    <w:abstractNumId w:val="28"/>
  </w:num>
  <w:num w:numId="19">
    <w:abstractNumId w:val="3"/>
  </w:num>
  <w:num w:numId="20">
    <w:abstractNumId w:val="0"/>
  </w:num>
  <w:num w:numId="21">
    <w:abstractNumId w:val="15"/>
  </w:num>
  <w:num w:numId="22">
    <w:abstractNumId w:val="37"/>
  </w:num>
  <w:num w:numId="23">
    <w:abstractNumId w:val="40"/>
  </w:num>
  <w:num w:numId="24">
    <w:abstractNumId w:val="41"/>
  </w:num>
  <w:num w:numId="25">
    <w:abstractNumId w:val="26"/>
  </w:num>
  <w:num w:numId="26">
    <w:abstractNumId w:val="22"/>
  </w:num>
  <w:num w:numId="27">
    <w:abstractNumId w:val="6"/>
  </w:num>
  <w:num w:numId="28">
    <w:abstractNumId w:val="12"/>
  </w:num>
  <w:num w:numId="29">
    <w:abstractNumId w:val="9"/>
  </w:num>
  <w:num w:numId="30">
    <w:abstractNumId w:val="17"/>
  </w:num>
  <w:num w:numId="31">
    <w:abstractNumId w:val="39"/>
  </w:num>
  <w:num w:numId="32">
    <w:abstractNumId w:val="31"/>
  </w:num>
  <w:num w:numId="33">
    <w:abstractNumId w:val="11"/>
  </w:num>
  <w:num w:numId="34">
    <w:abstractNumId w:val="5"/>
  </w:num>
  <w:num w:numId="35">
    <w:abstractNumId w:val="36"/>
  </w:num>
  <w:num w:numId="36">
    <w:abstractNumId w:val="38"/>
  </w:num>
  <w:num w:numId="37">
    <w:abstractNumId w:val="33"/>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 w:numId="43">
    <w:abstractNumId w:val="7"/>
    <w:lvlOverride w:ilvl="0">
      <w:startOverride w:val="1"/>
    </w:lvlOverride>
    <w:lvlOverride w:ilvl="1">
      <w:startOverride w:val="1"/>
    </w:lvlOverride>
    <w:lvlOverride w:ilvl="2"/>
    <w:lvlOverride w:ilvl="3">
      <w:startOverride w:val="1"/>
    </w:lvlOverride>
    <w:lvlOverride w:ilvl="4"/>
    <w:lvlOverride w:ilvl="5">
      <w:startOverride w:val="1"/>
    </w:lvlOverride>
    <w:lvlOverride w:ilvl="6"/>
    <w:lvlOverride w:ilvl="7">
      <w:startOverride w:val="1"/>
    </w:lvlOverride>
    <w:lvlOverride w:ilvl="8"/>
  </w:num>
  <w:num w:numId="44">
    <w:abstractNumId w:val="7"/>
    <w:lvlOverride w:ilvl="0">
      <w:startOverride w:val="1"/>
    </w:lvlOverride>
    <w:lvlOverride w:ilvl="1">
      <w:startOverride w:val="1"/>
    </w:lvlOverride>
    <w:lvlOverride w:ilvl="2"/>
    <w:lvlOverride w:ilvl="3">
      <w:startOverride w:val="1"/>
    </w:lvlOverride>
    <w:lvlOverride w:ilvl="4"/>
    <w:lvlOverride w:ilvl="5">
      <w:startOverride w:val="1"/>
    </w:lvlOverride>
    <w:lvlOverride w:ilvl="6"/>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DBS_ActiveMasterVersion" w:val="2"/>
    <w:docVar w:name="eDBS_InitialMasterVersion" w:val="2"/>
    <w:docVar w:name="eDBS_LogoType" w:val="Arcadis"/>
    <w:docVar w:name="eDBS_LogoVersion" w:val="2"/>
    <w:docVar w:name="eDbsDocumentInfo" w:val="&lt;?xml version=&quot;1.0&quot; encoding=&quot;utf-16&quot;?&gt;_x000d__x000a_&lt;documentinfo version=&quot;1.0&quot; projectname=&quot;Arcadis&quot; projectid=&quot;56a9c715-87b0-40fa-ac77-5a8497ed70ef&quot; pagemasterid=&quot;00000000-0000-0000-0000-000000000000&quot; documentid=&quot;de292588-1d9e-4fbb-9ba8-b30807e85aff&quot; profileid=&quot;fae6b8b2-9ca5-47d1-99b1-8015a5b909c2&quot; culture=&quot;nl-NL&quot;&gt;_x000d__x000a_  &lt;content&gt;_x000d__x000a_    &lt;document sourcepath=&quot;\Blank&quot; sourceid=&quot;5035fe9f-b0b3-48e9-8fc4-900089595acf&quot;&gt;_x000d__x000a_      &lt;variables&gt;_x000d__x000a_        &lt;SenderData&gt;_x000d__x000a_          &lt;OrganizationId&gt;0ec47909-e87d-418c-98d3-cc633c254ff1&lt;/OrganizationId&gt;_x000d__x000a_          &lt;SignerId&gt;1993aa13-00f3-46c2-aad3-983e35cd2286&lt;/SignerId&gt;_x000d__x000a_          &lt;LocationId&gt;54407f73-5545-4b9b-91dd-b4cf77e1bc09&lt;/LocationId&gt;_x000d__x000a_        &lt;/SenderData&gt;_x000d__x000a_        &lt;InitialTemplateVersion&gt;2&lt;/InitialTemplateVersion&gt;_x000d__x000a_        &lt;ActiveTemplateVersion&gt;2&lt;/ActiveTemplateVersion&gt;_x000d__x000a_      &lt;/variables&gt;_x000d__x000a_    &lt;/document&gt;_x000d__x000a_  &lt;/content&gt;_x000d__x000a_&lt;/documentinfo&gt;"/>
    <w:docVar w:name="eDbsPath" w:val="\Blank"/>
  </w:docVars>
  <w:rsids>
    <w:rsidRoot w:val="00AF117A"/>
    <w:rsid w:val="000003E2"/>
    <w:rsid w:val="00001B11"/>
    <w:rsid w:val="00002C95"/>
    <w:rsid w:val="00004010"/>
    <w:rsid w:val="00004634"/>
    <w:rsid w:val="000106EA"/>
    <w:rsid w:val="00011260"/>
    <w:rsid w:val="00012048"/>
    <w:rsid w:val="0001293C"/>
    <w:rsid w:val="00016AE3"/>
    <w:rsid w:val="0002120F"/>
    <w:rsid w:val="00022F5F"/>
    <w:rsid w:val="00025938"/>
    <w:rsid w:val="00027228"/>
    <w:rsid w:val="00030A83"/>
    <w:rsid w:val="00031E8F"/>
    <w:rsid w:val="00032EB6"/>
    <w:rsid w:val="00033C90"/>
    <w:rsid w:val="000357C1"/>
    <w:rsid w:val="00041FCA"/>
    <w:rsid w:val="00043229"/>
    <w:rsid w:val="0004449A"/>
    <w:rsid w:val="00046C4C"/>
    <w:rsid w:val="00050815"/>
    <w:rsid w:val="00050CB7"/>
    <w:rsid w:val="00052437"/>
    <w:rsid w:val="000539C1"/>
    <w:rsid w:val="00057394"/>
    <w:rsid w:val="00060A86"/>
    <w:rsid w:val="00062613"/>
    <w:rsid w:val="00062667"/>
    <w:rsid w:val="0006327E"/>
    <w:rsid w:val="00063678"/>
    <w:rsid w:val="000652F0"/>
    <w:rsid w:val="000669E3"/>
    <w:rsid w:val="00070A39"/>
    <w:rsid w:val="00073EE0"/>
    <w:rsid w:val="00076A05"/>
    <w:rsid w:val="000777CA"/>
    <w:rsid w:val="00084E1F"/>
    <w:rsid w:val="00085121"/>
    <w:rsid w:val="00085C14"/>
    <w:rsid w:val="0008631C"/>
    <w:rsid w:val="00086FF1"/>
    <w:rsid w:val="000931D7"/>
    <w:rsid w:val="0009690B"/>
    <w:rsid w:val="000970BD"/>
    <w:rsid w:val="000A5E63"/>
    <w:rsid w:val="000A7B5F"/>
    <w:rsid w:val="000B30D4"/>
    <w:rsid w:val="000B6BC1"/>
    <w:rsid w:val="000B6CBA"/>
    <w:rsid w:val="000B7D4C"/>
    <w:rsid w:val="000C13D1"/>
    <w:rsid w:val="000C573C"/>
    <w:rsid w:val="000C7C78"/>
    <w:rsid w:val="000D1964"/>
    <w:rsid w:val="000D201F"/>
    <w:rsid w:val="000D4E13"/>
    <w:rsid w:val="000E0920"/>
    <w:rsid w:val="000E0ED6"/>
    <w:rsid w:val="000F1AFA"/>
    <w:rsid w:val="000F4702"/>
    <w:rsid w:val="000F54A9"/>
    <w:rsid w:val="00100720"/>
    <w:rsid w:val="00102A0A"/>
    <w:rsid w:val="001040A3"/>
    <w:rsid w:val="00104A71"/>
    <w:rsid w:val="00105529"/>
    <w:rsid w:val="00106153"/>
    <w:rsid w:val="00106EFC"/>
    <w:rsid w:val="0010703D"/>
    <w:rsid w:val="0011073B"/>
    <w:rsid w:val="00112389"/>
    <w:rsid w:val="0012090D"/>
    <w:rsid w:val="00120D5E"/>
    <w:rsid w:val="00120EF2"/>
    <w:rsid w:val="00121447"/>
    <w:rsid w:val="00125B99"/>
    <w:rsid w:val="00130C43"/>
    <w:rsid w:val="00131E11"/>
    <w:rsid w:val="00132080"/>
    <w:rsid w:val="001328FE"/>
    <w:rsid w:val="001354DD"/>
    <w:rsid w:val="00136644"/>
    <w:rsid w:val="0013725D"/>
    <w:rsid w:val="00141C7D"/>
    <w:rsid w:val="0014287A"/>
    <w:rsid w:val="00142C68"/>
    <w:rsid w:val="001448A8"/>
    <w:rsid w:val="001456F8"/>
    <w:rsid w:val="00146285"/>
    <w:rsid w:val="00147D91"/>
    <w:rsid w:val="001502BA"/>
    <w:rsid w:val="001516CC"/>
    <w:rsid w:val="00154DDF"/>
    <w:rsid w:val="00155051"/>
    <w:rsid w:val="0015554B"/>
    <w:rsid w:val="001578D4"/>
    <w:rsid w:val="00157D83"/>
    <w:rsid w:val="00157E22"/>
    <w:rsid w:val="00157F0A"/>
    <w:rsid w:val="00171CC4"/>
    <w:rsid w:val="00173221"/>
    <w:rsid w:val="00174DC0"/>
    <w:rsid w:val="001763A0"/>
    <w:rsid w:val="00177422"/>
    <w:rsid w:val="001818A9"/>
    <w:rsid w:val="0018318A"/>
    <w:rsid w:val="00183360"/>
    <w:rsid w:val="001853A3"/>
    <w:rsid w:val="00185496"/>
    <w:rsid w:val="00185C1F"/>
    <w:rsid w:val="00187471"/>
    <w:rsid w:val="00190BB2"/>
    <w:rsid w:val="00190E16"/>
    <w:rsid w:val="001930A9"/>
    <w:rsid w:val="0019399D"/>
    <w:rsid w:val="0019441F"/>
    <w:rsid w:val="00196549"/>
    <w:rsid w:val="00197EF9"/>
    <w:rsid w:val="001A05F1"/>
    <w:rsid w:val="001A6908"/>
    <w:rsid w:val="001B0F45"/>
    <w:rsid w:val="001B4868"/>
    <w:rsid w:val="001B5784"/>
    <w:rsid w:val="001B5E0E"/>
    <w:rsid w:val="001C2FDB"/>
    <w:rsid w:val="001C3E24"/>
    <w:rsid w:val="001C4406"/>
    <w:rsid w:val="001C546B"/>
    <w:rsid w:val="001C56E9"/>
    <w:rsid w:val="001C671C"/>
    <w:rsid w:val="001D386A"/>
    <w:rsid w:val="001D3EF4"/>
    <w:rsid w:val="001D430F"/>
    <w:rsid w:val="001E01E9"/>
    <w:rsid w:val="001E3D99"/>
    <w:rsid w:val="001E3DE9"/>
    <w:rsid w:val="001E6126"/>
    <w:rsid w:val="001F18B6"/>
    <w:rsid w:val="001F18B8"/>
    <w:rsid w:val="001F1DC9"/>
    <w:rsid w:val="001F1EE6"/>
    <w:rsid w:val="001F48CB"/>
    <w:rsid w:val="001F584F"/>
    <w:rsid w:val="001F65A8"/>
    <w:rsid w:val="001F65AA"/>
    <w:rsid w:val="001F7338"/>
    <w:rsid w:val="001F7578"/>
    <w:rsid w:val="00200C45"/>
    <w:rsid w:val="00203AD2"/>
    <w:rsid w:val="00205AEF"/>
    <w:rsid w:val="002060E2"/>
    <w:rsid w:val="002117EE"/>
    <w:rsid w:val="0021222D"/>
    <w:rsid w:val="0021385F"/>
    <w:rsid w:val="00214C14"/>
    <w:rsid w:val="002167BC"/>
    <w:rsid w:val="002227FD"/>
    <w:rsid w:val="00223AC2"/>
    <w:rsid w:val="00223EE1"/>
    <w:rsid w:val="00224842"/>
    <w:rsid w:val="00224A60"/>
    <w:rsid w:val="00231E5E"/>
    <w:rsid w:val="00232375"/>
    <w:rsid w:val="00240A6C"/>
    <w:rsid w:val="00242118"/>
    <w:rsid w:val="00243815"/>
    <w:rsid w:val="002449D2"/>
    <w:rsid w:val="00244C37"/>
    <w:rsid w:val="00245CF7"/>
    <w:rsid w:val="002467FB"/>
    <w:rsid w:val="00247E3E"/>
    <w:rsid w:val="00252119"/>
    <w:rsid w:val="00253078"/>
    <w:rsid w:val="00253118"/>
    <w:rsid w:val="002549E6"/>
    <w:rsid w:val="00254A04"/>
    <w:rsid w:val="00254E7E"/>
    <w:rsid w:val="00255F5E"/>
    <w:rsid w:val="002602B7"/>
    <w:rsid w:val="0026077E"/>
    <w:rsid w:val="0026384B"/>
    <w:rsid w:val="00266444"/>
    <w:rsid w:val="002705E3"/>
    <w:rsid w:val="0027127F"/>
    <w:rsid w:val="002725D4"/>
    <w:rsid w:val="0028044D"/>
    <w:rsid w:val="00280ECE"/>
    <w:rsid w:val="00282E31"/>
    <w:rsid w:val="00282EB0"/>
    <w:rsid w:val="0028574E"/>
    <w:rsid w:val="0029011A"/>
    <w:rsid w:val="002911B1"/>
    <w:rsid w:val="00291AC3"/>
    <w:rsid w:val="00297690"/>
    <w:rsid w:val="00297979"/>
    <w:rsid w:val="00297C8D"/>
    <w:rsid w:val="002A13B0"/>
    <w:rsid w:val="002A2909"/>
    <w:rsid w:val="002A3037"/>
    <w:rsid w:val="002A30C8"/>
    <w:rsid w:val="002A42F9"/>
    <w:rsid w:val="002B109A"/>
    <w:rsid w:val="002B19EC"/>
    <w:rsid w:val="002B4B70"/>
    <w:rsid w:val="002B7766"/>
    <w:rsid w:val="002C2765"/>
    <w:rsid w:val="002C4A45"/>
    <w:rsid w:val="002D1BCE"/>
    <w:rsid w:val="002D219A"/>
    <w:rsid w:val="002D3702"/>
    <w:rsid w:val="002D3E65"/>
    <w:rsid w:val="002D5394"/>
    <w:rsid w:val="002D6001"/>
    <w:rsid w:val="002D66A1"/>
    <w:rsid w:val="002D7206"/>
    <w:rsid w:val="002D75A2"/>
    <w:rsid w:val="002D7806"/>
    <w:rsid w:val="002D7E9E"/>
    <w:rsid w:val="002E2566"/>
    <w:rsid w:val="002E5C05"/>
    <w:rsid w:val="002F02D3"/>
    <w:rsid w:val="002F1BDF"/>
    <w:rsid w:val="002F1CB6"/>
    <w:rsid w:val="002F2F56"/>
    <w:rsid w:val="002F3CD3"/>
    <w:rsid w:val="00300314"/>
    <w:rsid w:val="00302968"/>
    <w:rsid w:val="00302ED9"/>
    <w:rsid w:val="0030315E"/>
    <w:rsid w:val="00303363"/>
    <w:rsid w:val="00303865"/>
    <w:rsid w:val="0030481B"/>
    <w:rsid w:val="00305333"/>
    <w:rsid w:val="00310B86"/>
    <w:rsid w:val="00310E99"/>
    <w:rsid w:val="00310F61"/>
    <w:rsid w:val="003116CF"/>
    <w:rsid w:val="003116F8"/>
    <w:rsid w:val="0031407F"/>
    <w:rsid w:val="0031412B"/>
    <w:rsid w:val="003150B2"/>
    <w:rsid w:val="00320FC8"/>
    <w:rsid w:val="003211EA"/>
    <w:rsid w:val="00322BB8"/>
    <w:rsid w:val="003234F2"/>
    <w:rsid w:val="00324CAF"/>
    <w:rsid w:val="003251B1"/>
    <w:rsid w:val="00325633"/>
    <w:rsid w:val="003262FA"/>
    <w:rsid w:val="00330B06"/>
    <w:rsid w:val="003311A5"/>
    <w:rsid w:val="0033339C"/>
    <w:rsid w:val="00336C2E"/>
    <w:rsid w:val="00337783"/>
    <w:rsid w:val="00340D3E"/>
    <w:rsid w:val="00342D7D"/>
    <w:rsid w:val="0034306E"/>
    <w:rsid w:val="00345154"/>
    <w:rsid w:val="0034741B"/>
    <w:rsid w:val="003520C5"/>
    <w:rsid w:val="00352F46"/>
    <w:rsid w:val="00353B25"/>
    <w:rsid w:val="00355CE4"/>
    <w:rsid w:val="00356001"/>
    <w:rsid w:val="003561D6"/>
    <w:rsid w:val="00356668"/>
    <w:rsid w:val="00357FB7"/>
    <w:rsid w:val="003613B5"/>
    <w:rsid w:val="003635FF"/>
    <w:rsid w:val="00364662"/>
    <w:rsid w:val="0036617A"/>
    <w:rsid w:val="0036620B"/>
    <w:rsid w:val="00366787"/>
    <w:rsid w:val="003668EB"/>
    <w:rsid w:val="00366DA9"/>
    <w:rsid w:val="00371A9D"/>
    <w:rsid w:val="003727BA"/>
    <w:rsid w:val="00373087"/>
    <w:rsid w:val="00374633"/>
    <w:rsid w:val="00376557"/>
    <w:rsid w:val="003774C5"/>
    <w:rsid w:val="00381FCF"/>
    <w:rsid w:val="003836F8"/>
    <w:rsid w:val="00385E24"/>
    <w:rsid w:val="003875E1"/>
    <w:rsid w:val="0039129B"/>
    <w:rsid w:val="00391511"/>
    <w:rsid w:val="00393BBA"/>
    <w:rsid w:val="003948CD"/>
    <w:rsid w:val="003956C6"/>
    <w:rsid w:val="003959D8"/>
    <w:rsid w:val="00395DD4"/>
    <w:rsid w:val="00397B23"/>
    <w:rsid w:val="00397D81"/>
    <w:rsid w:val="003A0102"/>
    <w:rsid w:val="003A02F2"/>
    <w:rsid w:val="003A05DF"/>
    <w:rsid w:val="003A0C99"/>
    <w:rsid w:val="003A36F5"/>
    <w:rsid w:val="003A51E8"/>
    <w:rsid w:val="003A5770"/>
    <w:rsid w:val="003A5AAE"/>
    <w:rsid w:val="003A5B7E"/>
    <w:rsid w:val="003A6895"/>
    <w:rsid w:val="003B1405"/>
    <w:rsid w:val="003B35D0"/>
    <w:rsid w:val="003B4021"/>
    <w:rsid w:val="003B5665"/>
    <w:rsid w:val="003B6A55"/>
    <w:rsid w:val="003C1858"/>
    <w:rsid w:val="003C23CC"/>
    <w:rsid w:val="003C3584"/>
    <w:rsid w:val="003D0A21"/>
    <w:rsid w:val="003D256A"/>
    <w:rsid w:val="003D257B"/>
    <w:rsid w:val="003D26CF"/>
    <w:rsid w:val="003D3D59"/>
    <w:rsid w:val="003D6DAF"/>
    <w:rsid w:val="003D7A5B"/>
    <w:rsid w:val="003E054C"/>
    <w:rsid w:val="003E0793"/>
    <w:rsid w:val="003E3610"/>
    <w:rsid w:val="003E4299"/>
    <w:rsid w:val="003E4947"/>
    <w:rsid w:val="003E5045"/>
    <w:rsid w:val="003E51EF"/>
    <w:rsid w:val="003E5801"/>
    <w:rsid w:val="003E66F9"/>
    <w:rsid w:val="003E7DFE"/>
    <w:rsid w:val="003F3B6B"/>
    <w:rsid w:val="003F5CF0"/>
    <w:rsid w:val="003F6E5C"/>
    <w:rsid w:val="004016D0"/>
    <w:rsid w:val="00401B83"/>
    <w:rsid w:val="004026ED"/>
    <w:rsid w:val="004027D7"/>
    <w:rsid w:val="004049FE"/>
    <w:rsid w:val="00406DE8"/>
    <w:rsid w:val="004108EF"/>
    <w:rsid w:val="00411120"/>
    <w:rsid w:val="00412556"/>
    <w:rsid w:val="004131FA"/>
    <w:rsid w:val="004134A8"/>
    <w:rsid w:val="00415EE4"/>
    <w:rsid w:val="00416364"/>
    <w:rsid w:val="00416E35"/>
    <w:rsid w:val="00420FE5"/>
    <w:rsid w:val="004253F3"/>
    <w:rsid w:val="00431208"/>
    <w:rsid w:val="00431649"/>
    <w:rsid w:val="00435689"/>
    <w:rsid w:val="00437128"/>
    <w:rsid w:val="00437F74"/>
    <w:rsid w:val="004424F4"/>
    <w:rsid w:val="0044482D"/>
    <w:rsid w:val="004458A6"/>
    <w:rsid w:val="00445E81"/>
    <w:rsid w:val="00447CAF"/>
    <w:rsid w:val="00450763"/>
    <w:rsid w:val="00453505"/>
    <w:rsid w:val="00455CBE"/>
    <w:rsid w:val="00463614"/>
    <w:rsid w:val="00465653"/>
    <w:rsid w:val="00470B3B"/>
    <w:rsid w:val="00471C9E"/>
    <w:rsid w:val="00471F11"/>
    <w:rsid w:val="00473538"/>
    <w:rsid w:val="004741E8"/>
    <w:rsid w:val="0047515E"/>
    <w:rsid w:val="00475249"/>
    <w:rsid w:val="00480336"/>
    <w:rsid w:val="004814F9"/>
    <w:rsid w:val="004818F5"/>
    <w:rsid w:val="00486EB5"/>
    <w:rsid w:val="004870ED"/>
    <w:rsid w:val="00487836"/>
    <w:rsid w:val="00487CD3"/>
    <w:rsid w:val="004901BC"/>
    <w:rsid w:val="00491CDA"/>
    <w:rsid w:val="004930C7"/>
    <w:rsid w:val="004A07BC"/>
    <w:rsid w:val="004A16C7"/>
    <w:rsid w:val="004A222C"/>
    <w:rsid w:val="004A40D6"/>
    <w:rsid w:val="004A4767"/>
    <w:rsid w:val="004A51BB"/>
    <w:rsid w:val="004A5968"/>
    <w:rsid w:val="004A6C22"/>
    <w:rsid w:val="004B0455"/>
    <w:rsid w:val="004B3DA2"/>
    <w:rsid w:val="004B3F54"/>
    <w:rsid w:val="004B62F6"/>
    <w:rsid w:val="004B7A24"/>
    <w:rsid w:val="004C3E00"/>
    <w:rsid w:val="004C6075"/>
    <w:rsid w:val="004C6434"/>
    <w:rsid w:val="004C6DCE"/>
    <w:rsid w:val="004C6EC7"/>
    <w:rsid w:val="004C7D63"/>
    <w:rsid w:val="004D667F"/>
    <w:rsid w:val="004D6D5C"/>
    <w:rsid w:val="004D6F0B"/>
    <w:rsid w:val="004E11B8"/>
    <w:rsid w:val="004E18A4"/>
    <w:rsid w:val="004E4385"/>
    <w:rsid w:val="004E6535"/>
    <w:rsid w:val="004E6564"/>
    <w:rsid w:val="004F001E"/>
    <w:rsid w:val="004F002F"/>
    <w:rsid w:val="004F2F73"/>
    <w:rsid w:val="004F4C9E"/>
    <w:rsid w:val="004F4CF3"/>
    <w:rsid w:val="004F4D21"/>
    <w:rsid w:val="004F5C49"/>
    <w:rsid w:val="004F5E4C"/>
    <w:rsid w:val="004F6845"/>
    <w:rsid w:val="004F7002"/>
    <w:rsid w:val="00501EBD"/>
    <w:rsid w:val="0050783A"/>
    <w:rsid w:val="00507ABA"/>
    <w:rsid w:val="00507ACD"/>
    <w:rsid w:val="005116E3"/>
    <w:rsid w:val="005123F7"/>
    <w:rsid w:val="00512D25"/>
    <w:rsid w:val="00512EDE"/>
    <w:rsid w:val="00517B36"/>
    <w:rsid w:val="005237B8"/>
    <w:rsid w:val="00525147"/>
    <w:rsid w:val="00526B97"/>
    <w:rsid w:val="00526BBD"/>
    <w:rsid w:val="00530755"/>
    <w:rsid w:val="00530D0E"/>
    <w:rsid w:val="00532983"/>
    <w:rsid w:val="00533911"/>
    <w:rsid w:val="00533BA6"/>
    <w:rsid w:val="00534E88"/>
    <w:rsid w:val="00535D47"/>
    <w:rsid w:val="0054110F"/>
    <w:rsid w:val="00545C6A"/>
    <w:rsid w:val="005510C5"/>
    <w:rsid w:val="00551CAB"/>
    <w:rsid w:val="00552022"/>
    <w:rsid w:val="0055328D"/>
    <w:rsid w:val="005536C0"/>
    <w:rsid w:val="005544FD"/>
    <w:rsid w:val="005546A5"/>
    <w:rsid w:val="005566A9"/>
    <w:rsid w:val="00560F60"/>
    <w:rsid w:val="00561D60"/>
    <w:rsid w:val="00562556"/>
    <w:rsid w:val="005679A0"/>
    <w:rsid w:val="00567EF5"/>
    <w:rsid w:val="0057049D"/>
    <w:rsid w:val="00572B33"/>
    <w:rsid w:val="00573B47"/>
    <w:rsid w:val="00574F45"/>
    <w:rsid w:val="00576C33"/>
    <w:rsid w:val="00577044"/>
    <w:rsid w:val="0058052E"/>
    <w:rsid w:val="0058160F"/>
    <w:rsid w:val="0058324C"/>
    <w:rsid w:val="0058422A"/>
    <w:rsid w:val="00585441"/>
    <w:rsid w:val="0058749C"/>
    <w:rsid w:val="00590538"/>
    <w:rsid w:val="00590C58"/>
    <w:rsid w:val="00593156"/>
    <w:rsid w:val="005958F9"/>
    <w:rsid w:val="005A11C4"/>
    <w:rsid w:val="005A2AEC"/>
    <w:rsid w:val="005B368C"/>
    <w:rsid w:val="005B6F81"/>
    <w:rsid w:val="005C09A8"/>
    <w:rsid w:val="005C0EE2"/>
    <w:rsid w:val="005C38C4"/>
    <w:rsid w:val="005C396A"/>
    <w:rsid w:val="005D5B82"/>
    <w:rsid w:val="005D654F"/>
    <w:rsid w:val="005E0132"/>
    <w:rsid w:val="005E0FA6"/>
    <w:rsid w:val="005E2C2A"/>
    <w:rsid w:val="005E4857"/>
    <w:rsid w:val="005E52EB"/>
    <w:rsid w:val="005F087A"/>
    <w:rsid w:val="005F1B3B"/>
    <w:rsid w:val="005F1DC9"/>
    <w:rsid w:val="005F6F47"/>
    <w:rsid w:val="006014BB"/>
    <w:rsid w:val="00601D73"/>
    <w:rsid w:val="00603299"/>
    <w:rsid w:val="00603C04"/>
    <w:rsid w:val="00605230"/>
    <w:rsid w:val="00610301"/>
    <w:rsid w:val="00612E13"/>
    <w:rsid w:val="00612FAA"/>
    <w:rsid w:val="0061334C"/>
    <w:rsid w:val="00613C23"/>
    <w:rsid w:val="0061415B"/>
    <w:rsid w:val="00617EFA"/>
    <w:rsid w:val="00620C9F"/>
    <w:rsid w:val="00620FC7"/>
    <w:rsid w:val="00621C32"/>
    <w:rsid w:val="00621E92"/>
    <w:rsid w:val="00622A61"/>
    <w:rsid w:val="006237F6"/>
    <w:rsid w:val="0062441F"/>
    <w:rsid w:val="0063018E"/>
    <w:rsid w:val="006321D1"/>
    <w:rsid w:val="00632448"/>
    <w:rsid w:val="006325CA"/>
    <w:rsid w:val="00634833"/>
    <w:rsid w:val="00637EFE"/>
    <w:rsid w:val="00645917"/>
    <w:rsid w:val="00647353"/>
    <w:rsid w:val="00651E11"/>
    <w:rsid w:val="0065276A"/>
    <w:rsid w:val="00654079"/>
    <w:rsid w:val="006624F6"/>
    <w:rsid w:val="006632DD"/>
    <w:rsid w:val="006648E0"/>
    <w:rsid w:val="006655B7"/>
    <w:rsid w:val="0066571F"/>
    <w:rsid w:val="0066664D"/>
    <w:rsid w:val="006701A3"/>
    <w:rsid w:val="00672B0E"/>
    <w:rsid w:val="00676072"/>
    <w:rsid w:val="00676919"/>
    <w:rsid w:val="00680A2F"/>
    <w:rsid w:val="0068315E"/>
    <w:rsid w:val="006838B7"/>
    <w:rsid w:val="0068774C"/>
    <w:rsid w:val="00691545"/>
    <w:rsid w:val="006919EE"/>
    <w:rsid w:val="00693CC9"/>
    <w:rsid w:val="00693E8A"/>
    <w:rsid w:val="00694CC7"/>
    <w:rsid w:val="00697111"/>
    <w:rsid w:val="006A0DC4"/>
    <w:rsid w:val="006A19CD"/>
    <w:rsid w:val="006A6D7D"/>
    <w:rsid w:val="006B1E31"/>
    <w:rsid w:val="006B4CC7"/>
    <w:rsid w:val="006B6FD1"/>
    <w:rsid w:val="006B7A53"/>
    <w:rsid w:val="006C0490"/>
    <w:rsid w:val="006C04CA"/>
    <w:rsid w:val="006C26B4"/>
    <w:rsid w:val="006C36AA"/>
    <w:rsid w:val="006C503A"/>
    <w:rsid w:val="006D0CEC"/>
    <w:rsid w:val="006D10D2"/>
    <w:rsid w:val="006D4223"/>
    <w:rsid w:val="006D45FA"/>
    <w:rsid w:val="006D783C"/>
    <w:rsid w:val="006E1B66"/>
    <w:rsid w:val="006E4100"/>
    <w:rsid w:val="006E52A5"/>
    <w:rsid w:val="006E62D5"/>
    <w:rsid w:val="006F1B3C"/>
    <w:rsid w:val="006F3F01"/>
    <w:rsid w:val="006F4AAE"/>
    <w:rsid w:val="006F7022"/>
    <w:rsid w:val="007014CD"/>
    <w:rsid w:val="00701964"/>
    <w:rsid w:val="00702493"/>
    <w:rsid w:val="00702D36"/>
    <w:rsid w:val="00702DBD"/>
    <w:rsid w:val="007031F7"/>
    <w:rsid w:val="0070361C"/>
    <w:rsid w:val="00703AFE"/>
    <w:rsid w:val="007044D7"/>
    <w:rsid w:val="007053B9"/>
    <w:rsid w:val="00724FDA"/>
    <w:rsid w:val="00725DC4"/>
    <w:rsid w:val="00731201"/>
    <w:rsid w:val="007315E8"/>
    <w:rsid w:val="00734FBE"/>
    <w:rsid w:val="00741B1F"/>
    <w:rsid w:val="00744572"/>
    <w:rsid w:val="0074596F"/>
    <w:rsid w:val="00746C03"/>
    <w:rsid w:val="00751F3E"/>
    <w:rsid w:val="00752323"/>
    <w:rsid w:val="0075316B"/>
    <w:rsid w:val="007573EF"/>
    <w:rsid w:val="007578F2"/>
    <w:rsid w:val="00757BE7"/>
    <w:rsid w:val="00760E1F"/>
    <w:rsid w:val="00762A57"/>
    <w:rsid w:val="00763639"/>
    <w:rsid w:val="007673DB"/>
    <w:rsid w:val="00767BD6"/>
    <w:rsid w:val="00774FBA"/>
    <w:rsid w:val="007756A8"/>
    <w:rsid w:val="00781248"/>
    <w:rsid w:val="007830A4"/>
    <w:rsid w:val="00783136"/>
    <w:rsid w:val="0078337C"/>
    <w:rsid w:val="00783810"/>
    <w:rsid w:val="00783B57"/>
    <w:rsid w:val="00787540"/>
    <w:rsid w:val="0078778E"/>
    <w:rsid w:val="007902B8"/>
    <w:rsid w:val="007964C1"/>
    <w:rsid w:val="0079759A"/>
    <w:rsid w:val="007A1596"/>
    <w:rsid w:val="007A1B70"/>
    <w:rsid w:val="007A1E65"/>
    <w:rsid w:val="007A29BA"/>
    <w:rsid w:val="007A4013"/>
    <w:rsid w:val="007A51C1"/>
    <w:rsid w:val="007A6468"/>
    <w:rsid w:val="007A712C"/>
    <w:rsid w:val="007B0BD4"/>
    <w:rsid w:val="007B1E9C"/>
    <w:rsid w:val="007C26D2"/>
    <w:rsid w:val="007C5768"/>
    <w:rsid w:val="007C5DD6"/>
    <w:rsid w:val="007D02BF"/>
    <w:rsid w:val="007D3A39"/>
    <w:rsid w:val="007E0364"/>
    <w:rsid w:val="007E3A94"/>
    <w:rsid w:val="007E3E0E"/>
    <w:rsid w:val="007E5B93"/>
    <w:rsid w:val="007F4D17"/>
    <w:rsid w:val="007F68B2"/>
    <w:rsid w:val="007F6ECD"/>
    <w:rsid w:val="00801773"/>
    <w:rsid w:val="0080447B"/>
    <w:rsid w:val="00804E6D"/>
    <w:rsid w:val="00805981"/>
    <w:rsid w:val="00811388"/>
    <w:rsid w:val="0081263B"/>
    <w:rsid w:val="008156B1"/>
    <w:rsid w:val="00821C2D"/>
    <w:rsid w:val="008232D7"/>
    <w:rsid w:val="00824DA7"/>
    <w:rsid w:val="00826EB0"/>
    <w:rsid w:val="00830F55"/>
    <w:rsid w:val="00831ACA"/>
    <w:rsid w:val="0083418E"/>
    <w:rsid w:val="00836E48"/>
    <w:rsid w:val="00841777"/>
    <w:rsid w:val="00843C1C"/>
    <w:rsid w:val="00844FFC"/>
    <w:rsid w:val="00846335"/>
    <w:rsid w:val="00846743"/>
    <w:rsid w:val="00847662"/>
    <w:rsid w:val="00850450"/>
    <w:rsid w:val="00850C16"/>
    <w:rsid w:val="008510BC"/>
    <w:rsid w:val="008515CC"/>
    <w:rsid w:val="0085356B"/>
    <w:rsid w:val="00853C7F"/>
    <w:rsid w:val="00853D8C"/>
    <w:rsid w:val="008552AF"/>
    <w:rsid w:val="00855426"/>
    <w:rsid w:val="008573BA"/>
    <w:rsid w:val="0085798D"/>
    <w:rsid w:val="00862005"/>
    <w:rsid w:val="00863007"/>
    <w:rsid w:val="00863039"/>
    <w:rsid w:val="008645FA"/>
    <w:rsid w:val="008705AA"/>
    <w:rsid w:val="008757B6"/>
    <w:rsid w:val="00876242"/>
    <w:rsid w:val="00877225"/>
    <w:rsid w:val="008774C5"/>
    <w:rsid w:val="0088165A"/>
    <w:rsid w:val="00882DF8"/>
    <w:rsid w:val="008832A3"/>
    <w:rsid w:val="00883D41"/>
    <w:rsid w:val="00885318"/>
    <w:rsid w:val="0088663E"/>
    <w:rsid w:val="00887510"/>
    <w:rsid w:val="00887D27"/>
    <w:rsid w:val="008906AA"/>
    <w:rsid w:val="00891E04"/>
    <w:rsid w:val="00895714"/>
    <w:rsid w:val="00896D85"/>
    <w:rsid w:val="008A1E79"/>
    <w:rsid w:val="008A43B0"/>
    <w:rsid w:val="008A4B59"/>
    <w:rsid w:val="008A5589"/>
    <w:rsid w:val="008A7D6E"/>
    <w:rsid w:val="008A7F2B"/>
    <w:rsid w:val="008B18D8"/>
    <w:rsid w:val="008B3B48"/>
    <w:rsid w:val="008B43CF"/>
    <w:rsid w:val="008B47DD"/>
    <w:rsid w:val="008B5DBB"/>
    <w:rsid w:val="008B5E5D"/>
    <w:rsid w:val="008C0611"/>
    <w:rsid w:val="008C201D"/>
    <w:rsid w:val="008C2918"/>
    <w:rsid w:val="008C56D0"/>
    <w:rsid w:val="008C5864"/>
    <w:rsid w:val="008C69CB"/>
    <w:rsid w:val="008C6DF1"/>
    <w:rsid w:val="008C6E93"/>
    <w:rsid w:val="008D10ED"/>
    <w:rsid w:val="008D2269"/>
    <w:rsid w:val="008D2E5E"/>
    <w:rsid w:val="008D3FD1"/>
    <w:rsid w:val="008D44CF"/>
    <w:rsid w:val="008D50CB"/>
    <w:rsid w:val="008D573C"/>
    <w:rsid w:val="008D6F9C"/>
    <w:rsid w:val="008D7E5D"/>
    <w:rsid w:val="008E022F"/>
    <w:rsid w:val="008E029D"/>
    <w:rsid w:val="008E0B95"/>
    <w:rsid w:val="008E2030"/>
    <w:rsid w:val="008E285E"/>
    <w:rsid w:val="008E4FDC"/>
    <w:rsid w:val="008F0051"/>
    <w:rsid w:val="008F6881"/>
    <w:rsid w:val="008F7EA7"/>
    <w:rsid w:val="00900CB5"/>
    <w:rsid w:val="009016A1"/>
    <w:rsid w:val="00901795"/>
    <w:rsid w:val="00905E60"/>
    <w:rsid w:val="00906213"/>
    <w:rsid w:val="009070D8"/>
    <w:rsid w:val="00907854"/>
    <w:rsid w:val="009143E6"/>
    <w:rsid w:val="00914E4A"/>
    <w:rsid w:val="009152B9"/>
    <w:rsid w:val="009156C4"/>
    <w:rsid w:val="009207D0"/>
    <w:rsid w:val="00920F8A"/>
    <w:rsid w:val="0092148F"/>
    <w:rsid w:val="00923519"/>
    <w:rsid w:val="00924939"/>
    <w:rsid w:val="00926925"/>
    <w:rsid w:val="00927EDC"/>
    <w:rsid w:val="009306C5"/>
    <w:rsid w:val="00931608"/>
    <w:rsid w:val="00931EFD"/>
    <w:rsid w:val="00937376"/>
    <w:rsid w:val="00942421"/>
    <w:rsid w:val="00950FDB"/>
    <w:rsid w:val="00952055"/>
    <w:rsid w:val="00955759"/>
    <w:rsid w:val="00955C0F"/>
    <w:rsid w:val="00957FC8"/>
    <w:rsid w:val="0096042F"/>
    <w:rsid w:val="0096281F"/>
    <w:rsid w:val="0096404E"/>
    <w:rsid w:val="00966C7E"/>
    <w:rsid w:val="00966E03"/>
    <w:rsid w:val="00967BA4"/>
    <w:rsid w:val="009725DA"/>
    <w:rsid w:val="009749B0"/>
    <w:rsid w:val="0098066F"/>
    <w:rsid w:val="009810D1"/>
    <w:rsid w:val="00981B3C"/>
    <w:rsid w:val="009832EB"/>
    <w:rsid w:val="00983923"/>
    <w:rsid w:val="00986A24"/>
    <w:rsid w:val="0099024C"/>
    <w:rsid w:val="00991E5F"/>
    <w:rsid w:val="00995059"/>
    <w:rsid w:val="009A1586"/>
    <w:rsid w:val="009A3D1E"/>
    <w:rsid w:val="009A4574"/>
    <w:rsid w:val="009B1B7B"/>
    <w:rsid w:val="009B1BA2"/>
    <w:rsid w:val="009B2E4F"/>
    <w:rsid w:val="009C056F"/>
    <w:rsid w:val="009C1705"/>
    <w:rsid w:val="009C2266"/>
    <w:rsid w:val="009C6C21"/>
    <w:rsid w:val="009D6FD4"/>
    <w:rsid w:val="009E0EA6"/>
    <w:rsid w:val="009E2095"/>
    <w:rsid w:val="009E28CE"/>
    <w:rsid w:val="009E3F5A"/>
    <w:rsid w:val="009E6DF5"/>
    <w:rsid w:val="009F05F6"/>
    <w:rsid w:val="009F1946"/>
    <w:rsid w:val="009F3C99"/>
    <w:rsid w:val="009F6236"/>
    <w:rsid w:val="009F6553"/>
    <w:rsid w:val="009F6730"/>
    <w:rsid w:val="00A00EA8"/>
    <w:rsid w:val="00A011DA"/>
    <w:rsid w:val="00A033D6"/>
    <w:rsid w:val="00A04EC9"/>
    <w:rsid w:val="00A11603"/>
    <w:rsid w:val="00A1197F"/>
    <w:rsid w:val="00A11B6B"/>
    <w:rsid w:val="00A11B97"/>
    <w:rsid w:val="00A11DD9"/>
    <w:rsid w:val="00A12323"/>
    <w:rsid w:val="00A12B5B"/>
    <w:rsid w:val="00A139AE"/>
    <w:rsid w:val="00A15862"/>
    <w:rsid w:val="00A224ED"/>
    <w:rsid w:val="00A22D81"/>
    <w:rsid w:val="00A247C1"/>
    <w:rsid w:val="00A27C1D"/>
    <w:rsid w:val="00A27E09"/>
    <w:rsid w:val="00A33AB4"/>
    <w:rsid w:val="00A349BA"/>
    <w:rsid w:val="00A35036"/>
    <w:rsid w:val="00A36A11"/>
    <w:rsid w:val="00A41623"/>
    <w:rsid w:val="00A42F70"/>
    <w:rsid w:val="00A434CA"/>
    <w:rsid w:val="00A44F46"/>
    <w:rsid w:val="00A47F6D"/>
    <w:rsid w:val="00A47FDC"/>
    <w:rsid w:val="00A5012C"/>
    <w:rsid w:val="00A511BC"/>
    <w:rsid w:val="00A55875"/>
    <w:rsid w:val="00A568ED"/>
    <w:rsid w:val="00A60073"/>
    <w:rsid w:val="00A60421"/>
    <w:rsid w:val="00A6086E"/>
    <w:rsid w:val="00A620A7"/>
    <w:rsid w:val="00A62B34"/>
    <w:rsid w:val="00A64522"/>
    <w:rsid w:val="00A647C0"/>
    <w:rsid w:val="00A658E9"/>
    <w:rsid w:val="00A664F2"/>
    <w:rsid w:val="00A71569"/>
    <w:rsid w:val="00A76739"/>
    <w:rsid w:val="00A81135"/>
    <w:rsid w:val="00A8120D"/>
    <w:rsid w:val="00A83125"/>
    <w:rsid w:val="00A85A6E"/>
    <w:rsid w:val="00A9511F"/>
    <w:rsid w:val="00A9677D"/>
    <w:rsid w:val="00AA1801"/>
    <w:rsid w:val="00AA2A6E"/>
    <w:rsid w:val="00AA61A6"/>
    <w:rsid w:val="00AA7E0F"/>
    <w:rsid w:val="00AB2A36"/>
    <w:rsid w:val="00AB62D9"/>
    <w:rsid w:val="00AC2BF6"/>
    <w:rsid w:val="00AC50E6"/>
    <w:rsid w:val="00AC6607"/>
    <w:rsid w:val="00AC680A"/>
    <w:rsid w:val="00AC6917"/>
    <w:rsid w:val="00AC731E"/>
    <w:rsid w:val="00AC7642"/>
    <w:rsid w:val="00AD0474"/>
    <w:rsid w:val="00AD189C"/>
    <w:rsid w:val="00AD1A01"/>
    <w:rsid w:val="00AD41B7"/>
    <w:rsid w:val="00AD7D16"/>
    <w:rsid w:val="00AE0138"/>
    <w:rsid w:val="00AE3B83"/>
    <w:rsid w:val="00AE4946"/>
    <w:rsid w:val="00AE5108"/>
    <w:rsid w:val="00AE5B73"/>
    <w:rsid w:val="00AF117A"/>
    <w:rsid w:val="00AF4274"/>
    <w:rsid w:val="00AF4B75"/>
    <w:rsid w:val="00AF639D"/>
    <w:rsid w:val="00AF64F9"/>
    <w:rsid w:val="00B0052E"/>
    <w:rsid w:val="00B030B2"/>
    <w:rsid w:val="00B036FE"/>
    <w:rsid w:val="00B03910"/>
    <w:rsid w:val="00B06EB9"/>
    <w:rsid w:val="00B11688"/>
    <w:rsid w:val="00B127FA"/>
    <w:rsid w:val="00B226A4"/>
    <w:rsid w:val="00B23363"/>
    <w:rsid w:val="00B25912"/>
    <w:rsid w:val="00B33756"/>
    <w:rsid w:val="00B33DCE"/>
    <w:rsid w:val="00B35594"/>
    <w:rsid w:val="00B35B53"/>
    <w:rsid w:val="00B36E9B"/>
    <w:rsid w:val="00B448C0"/>
    <w:rsid w:val="00B46ACE"/>
    <w:rsid w:val="00B51734"/>
    <w:rsid w:val="00B51AE7"/>
    <w:rsid w:val="00B55937"/>
    <w:rsid w:val="00B579B5"/>
    <w:rsid w:val="00B601C3"/>
    <w:rsid w:val="00B60C03"/>
    <w:rsid w:val="00B641A1"/>
    <w:rsid w:val="00B659D6"/>
    <w:rsid w:val="00B66E2F"/>
    <w:rsid w:val="00B67D26"/>
    <w:rsid w:val="00B7054F"/>
    <w:rsid w:val="00B729B4"/>
    <w:rsid w:val="00B72EE1"/>
    <w:rsid w:val="00B73259"/>
    <w:rsid w:val="00B77242"/>
    <w:rsid w:val="00B821A6"/>
    <w:rsid w:val="00B8249B"/>
    <w:rsid w:val="00B825D8"/>
    <w:rsid w:val="00B8657B"/>
    <w:rsid w:val="00B937CA"/>
    <w:rsid w:val="00BA2657"/>
    <w:rsid w:val="00BA3BD4"/>
    <w:rsid w:val="00BB2FF0"/>
    <w:rsid w:val="00BB320E"/>
    <w:rsid w:val="00BB56E6"/>
    <w:rsid w:val="00BB5742"/>
    <w:rsid w:val="00BC0708"/>
    <w:rsid w:val="00BC201F"/>
    <w:rsid w:val="00BC281D"/>
    <w:rsid w:val="00BC305A"/>
    <w:rsid w:val="00BD01CF"/>
    <w:rsid w:val="00BD11D3"/>
    <w:rsid w:val="00BD23F8"/>
    <w:rsid w:val="00BD3F8C"/>
    <w:rsid w:val="00BD667F"/>
    <w:rsid w:val="00BD6F5B"/>
    <w:rsid w:val="00BE05A2"/>
    <w:rsid w:val="00BE116B"/>
    <w:rsid w:val="00BE370A"/>
    <w:rsid w:val="00BE5AE8"/>
    <w:rsid w:val="00BE5FFC"/>
    <w:rsid w:val="00BF113D"/>
    <w:rsid w:val="00BF20EC"/>
    <w:rsid w:val="00BF442D"/>
    <w:rsid w:val="00BF6B2D"/>
    <w:rsid w:val="00BF6F9A"/>
    <w:rsid w:val="00BF7EEC"/>
    <w:rsid w:val="00C0018A"/>
    <w:rsid w:val="00C00A53"/>
    <w:rsid w:val="00C021D0"/>
    <w:rsid w:val="00C105C9"/>
    <w:rsid w:val="00C11F50"/>
    <w:rsid w:val="00C13801"/>
    <w:rsid w:val="00C14BFD"/>
    <w:rsid w:val="00C15096"/>
    <w:rsid w:val="00C1576E"/>
    <w:rsid w:val="00C15E1C"/>
    <w:rsid w:val="00C15ED9"/>
    <w:rsid w:val="00C202C6"/>
    <w:rsid w:val="00C206BD"/>
    <w:rsid w:val="00C235D9"/>
    <w:rsid w:val="00C23DD7"/>
    <w:rsid w:val="00C27794"/>
    <w:rsid w:val="00C329CF"/>
    <w:rsid w:val="00C331B7"/>
    <w:rsid w:val="00C334FE"/>
    <w:rsid w:val="00C35084"/>
    <w:rsid w:val="00C3565A"/>
    <w:rsid w:val="00C35BFE"/>
    <w:rsid w:val="00C40F66"/>
    <w:rsid w:val="00C424E5"/>
    <w:rsid w:val="00C524C8"/>
    <w:rsid w:val="00C53D73"/>
    <w:rsid w:val="00C55E6E"/>
    <w:rsid w:val="00C56402"/>
    <w:rsid w:val="00C57896"/>
    <w:rsid w:val="00C60088"/>
    <w:rsid w:val="00C6465B"/>
    <w:rsid w:val="00C64C8A"/>
    <w:rsid w:val="00C6534E"/>
    <w:rsid w:val="00C800AE"/>
    <w:rsid w:val="00C84113"/>
    <w:rsid w:val="00C92C77"/>
    <w:rsid w:val="00C95EC1"/>
    <w:rsid w:val="00CA0BB4"/>
    <w:rsid w:val="00CA0E99"/>
    <w:rsid w:val="00CB4BE4"/>
    <w:rsid w:val="00CB6AE3"/>
    <w:rsid w:val="00CC294E"/>
    <w:rsid w:val="00CC4C78"/>
    <w:rsid w:val="00CC553F"/>
    <w:rsid w:val="00CC6F7A"/>
    <w:rsid w:val="00CC7965"/>
    <w:rsid w:val="00CD12D8"/>
    <w:rsid w:val="00CD15B0"/>
    <w:rsid w:val="00CD1A70"/>
    <w:rsid w:val="00CD219F"/>
    <w:rsid w:val="00CD29BF"/>
    <w:rsid w:val="00CD6E63"/>
    <w:rsid w:val="00CD731A"/>
    <w:rsid w:val="00CD795D"/>
    <w:rsid w:val="00CE03FE"/>
    <w:rsid w:val="00CE155A"/>
    <w:rsid w:val="00CE38F9"/>
    <w:rsid w:val="00CE47DC"/>
    <w:rsid w:val="00CE5A88"/>
    <w:rsid w:val="00CE6074"/>
    <w:rsid w:val="00CE7449"/>
    <w:rsid w:val="00CF1D8F"/>
    <w:rsid w:val="00CF4599"/>
    <w:rsid w:val="00CF5F52"/>
    <w:rsid w:val="00CF6E4E"/>
    <w:rsid w:val="00D0105B"/>
    <w:rsid w:val="00D01935"/>
    <w:rsid w:val="00D01E8A"/>
    <w:rsid w:val="00D02E95"/>
    <w:rsid w:val="00D02F93"/>
    <w:rsid w:val="00D04087"/>
    <w:rsid w:val="00D04BB8"/>
    <w:rsid w:val="00D0719E"/>
    <w:rsid w:val="00D17448"/>
    <w:rsid w:val="00D20DD7"/>
    <w:rsid w:val="00D213B7"/>
    <w:rsid w:val="00D2280D"/>
    <w:rsid w:val="00D23071"/>
    <w:rsid w:val="00D25F2C"/>
    <w:rsid w:val="00D27ADC"/>
    <w:rsid w:val="00D35E2E"/>
    <w:rsid w:val="00D35F30"/>
    <w:rsid w:val="00D40ADF"/>
    <w:rsid w:val="00D411E3"/>
    <w:rsid w:val="00D413C5"/>
    <w:rsid w:val="00D4152F"/>
    <w:rsid w:val="00D4491A"/>
    <w:rsid w:val="00D504EA"/>
    <w:rsid w:val="00D5134F"/>
    <w:rsid w:val="00D545A2"/>
    <w:rsid w:val="00D60CCF"/>
    <w:rsid w:val="00D62334"/>
    <w:rsid w:val="00D62C5C"/>
    <w:rsid w:val="00D64912"/>
    <w:rsid w:val="00D64EA9"/>
    <w:rsid w:val="00D71621"/>
    <w:rsid w:val="00D71650"/>
    <w:rsid w:val="00D71F1A"/>
    <w:rsid w:val="00D73EC8"/>
    <w:rsid w:val="00D7636A"/>
    <w:rsid w:val="00D80F70"/>
    <w:rsid w:val="00D85BC8"/>
    <w:rsid w:val="00D8628B"/>
    <w:rsid w:val="00D960C0"/>
    <w:rsid w:val="00D96EC9"/>
    <w:rsid w:val="00DA2FFE"/>
    <w:rsid w:val="00DA615D"/>
    <w:rsid w:val="00DB4799"/>
    <w:rsid w:val="00DB6159"/>
    <w:rsid w:val="00DC00E6"/>
    <w:rsid w:val="00DD0064"/>
    <w:rsid w:val="00DD17AC"/>
    <w:rsid w:val="00DD1986"/>
    <w:rsid w:val="00DD2ED4"/>
    <w:rsid w:val="00DD2FB2"/>
    <w:rsid w:val="00DD416E"/>
    <w:rsid w:val="00DD5F99"/>
    <w:rsid w:val="00DD78C1"/>
    <w:rsid w:val="00DE23D1"/>
    <w:rsid w:val="00DE267B"/>
    <w:rsid w:val="00DE3822"/>
    <w:rsid w:val="00DE65EC"/>
    <w:rsid w:val="00DE74B3"/>
    <w:rsid w:val="00DE79E3"/>
    <w:rsid w:val="00DF2673"/>
    <w:rsid w:val="00DF464E"/>
    <w:rsid w:val="00DF5438"/>
    <w:rsid w:val="00DF5847"/>
    <w:rsid w:val="00E03CBC"/>
    <w:rsid w:val="00E03E6E"/>
    <w:rsid w:val="00E0602D"/>
    <w:rsid w:val="00E06A4C"/>
    <w:rsid w:val="00E0736D"/>
    <w:rsid w:val="00E109F6"/>
    <w:rsid w:val="00E10DFD"/>
    <w:rsid w:val="00E12E8C"/>
    <w:rsid w:val="00E1412E"/>
    <w:rsid w:val="00E146B8"/>
    <w:rsid w:val="00E15026"/>
    <w:rsid w:val="00E16425"/>
    <w:rsid w:val="00E20D71"/>
    <w:rsid w:val="00E22E56"/>
    <w:rsid w:val="00E27BFB"/>
    <w:rsid w:val="00E27F73"/>
    <w:rsid w:val="00E30804"/>
    <w:rsid w:val="00E32026"/>
    <w:rsid w:val="00E32803"/>
    <w:rsid w:val="00E3369B"/>
    <w:rsid w:val="00E417EF"/>
    <w:rsid w:val="00E42E0F"/>
    <w:rsid w:val="00E42E4D"/>
    <w:rsid w:val="00E454D4"/>
    <w:rsid w:val="00E454F3"/>
    <w:rsid w:val="00E46E97"/>
    <w:rsid w:val="00E46EBE"/>
    <w:rsid w:val="00E47185"/>
    <w:rsid w:val="00E479AF"/>
    <w:rsid w:val="00E5265E"/>
    <w:rsid w:val="00E539C6"/>
    <w:rsid w:val="00E559C4"/>
    <w:rsid w:val="00E57B81"/>
    <w:rsid w:val="00E64B99"/>
    <w:rsid w:val="00E67792"/>
    <w:rsid w:val="00E67F86"/>
    <w:rsid w:val="00E70BC6"/>
    <w:rsid w:val="00E714A6"/>
    <w:rsid w:val="00E725F7"/>
    <w:rsid w:val="00E73545"/>
    <w:rsid w:val="00E7512B"/>
    <w:rsid w:val="00E761E8"/>
    <w:rsid w:val="00E76690"/>
    <w:rsid w:val="00E76E36"/>
    <w:rsid w:val="00E81AEA"/>
    <w:rsid w:val="00E81FC7"/>
    <w:rsid w:val="00E825B9"/>
    <w:rsid w:val="00E849F6"/>
    <w:rsid w:val="00E909A5"/>
    <w:rsid w:val="00E92AE1"/>
    <w:rsid w:val="00E97DAD"/>
    <w:rsid w:val="00EA0C24"/>
    <w:rsid w:val="00EB5162"/>
    <w:rsid w:val="00EB6297"/>
    <w:rsid w:val="00EC0621"/>
    <w:rsid w:val="00EC0635"/>
    <w:rsid w:val="00EC0B49"/>
    <w:rsid w:val="00EC2F4E"/>
    <w:rsid w:val="00EC3071"/>
    <w:rsid w:val="00EC3174"/>
    <w:rsid w:val="00EC3282"/>
    <w:rsid w:val="00EC40AC"/>
    <w:rsid w:val="00EC4859"/>
    <w:rsid w:val="00EC5535"/>
    <w:rsid w:val="00EC675F"/>
    <w:rsid w:val="00EC7E70"/>
    <w:rsid w:val="00ED2D3C"/>
    <w:rsid w:val="00ED42C8"/>
    <w:rsid w:val="00ED5075"/>
    <w:rsid w:val="00ED5E83"/>
    <w:rsid w:val="00ED69A9"/>
    <w:rsid w:val="00ED767A"/>
    <w:rsid w:val="00EE4F58"/>
    <w:rsid w:val="00EE62CC"/>
    <w:rsid w:val="00EF5A73"/>
    <w:rsid w:val="00EF5DA7"/>
    <w:rsid w:val="00EF5F6D"/>
    <w:rsid w:val="00F10737"/>
    <w:rsid w:val="00F11F0E"/>
    <w:rsid w:val="00F15B15"/>
    <w:rsid w:val="00F2022F"/>
    <w:rsid w:val="00F20301"/>
    <w:rsid w:val="00F20AF9"/>
    <w:rsid w:val="00F225C0"/>
    <w:rsid w:val="00F2357C"/>
    <w:rsid w:val="00F23BCB"/>
    <w:rsid w:val="00F24180"/>
    <w:rsid w:val="00F27A7A"/>
    <w:rsid w:val="00F3187F"/>
    <w:rsid w:val="00F31EEE"/>
    <w:rsid w:val="00F326D8"/>
    <w:rsid w:val="00F327A6"/>
    <w:rsid w:val="00F33A47"/>
    <w:rsid w:val="00F34692"/>
    <w:rsid w:val="00F34796"/>
    <w:rsid w:val="00F34BC8"/>
    <w:rsid w:val="00F35463"/>
    <w:rsid w:val="00F36E5C"/>
    <w:rsid w:val="00F4131B"/>
    <w:rsid w:val="00F41E94"/>
    <w:rsid w:val="00F45357"/>
    <w:rsid w:val="00F46085"/>
    <w:rsid w:val="00F52132"/>
    <w:rsid w:val="00F53A01"/>
    <w:rsid w:val="00F54E21"/>
    <w:rsid w:val="00F57DAC"/>
    <w:rsid w:val="00F62361"/>
    <w:rsid w:val="00F63BDE"/>
    <w:rsid w:val="00F66B48"/>
    <w:rsid w:val="00F674C5"/>
    <w:rsid w:val="00F71DA7"/>
    <w:rsid w:val="00F730FB"/>
    <w:rsid w:val="00F75B74"/>
    <w:rsid w:val="00F75F57"/>
    <w:rsid w:val="00F81A16"/>
    <w:rsid w:val="00F83869"/>
    <w:rsid w:val="00F854A6"/>
    <w:rsid w:val="00F85B01"/>
    <w:rsid w:val="00F91A4A"/>
    <w:rsid w:val="00F91BAB"/>
    <w:rsid w:val="00F954DE"/>
    <w:rsid w:val="00F959CA"/>
    <w:rsid w:val="00F96CCC"/>
    <w:rsid w:val="00FA3DBA"/>
    <w:rsid w:val="00FA41A3"/>
    <w:rsid w:val="00FA6A0A"/>
    <w:rsid w:val="00FA7787"/>
    <w:rsid w:val="00FB149F"/>
    <w:rsid w:val="00FB70B1"/>
    <w:rsid w:val="00FC16FA"/>
    <w:rsid w:val="00FC1FE3"/>
    <w:rsid w:val="00FC32E9"/>
    <w:rsid w:val="00FC467C"/>
    <w:rsid w:val="00FC4821"/>
    <w:rsid w:val="00FC5215"/>
    <w:rsid w:val="00FC5B77"/>
    <w:rsid w:val="00FC7230"/>
    <w:rsid w:val="00FD0CDB"/>
    <w:rsid w:val="00FD0EB7"/>
    <w:rsid w:val="00FD154F"/>
    <w:rsid w:val="00FD2453"/>
    <w:rsid w:val="00FD2586"/>
    <w:rsid w:val="00FD3103"/>
    <w:rsid w:val="00FD41EB"/>
    <w:rsid w:val="00FD4C30"/>
    <w:rsid w:val="00FD7379"/>
    <w:rsid w:val="00FE15AD"/>
    <w:rsid w:val="00FE2C90"/>
    <w:rsid w:val="00FE4E46"/>
    <w:rsid w:val="00FE581A"/>
    <w:rsid w:val="00FE66D0"/>
    <w:rsid w:val="00FF3486"/>
    <w:rsid w:val="00FF35BC"/>
    <w:rsid w:val="00FF3E64"/>
    <w:rsid w:val="00FF4A34"/>
    <w:rsid w:val="00FF6B0B"/>
    <w:rsid w:val="00FF7C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F48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1D1D1D" w:themeColor="text1"/>
        <w:sz w:val="18"/>
        <w:szCs w:val="18"/>
        <w:lang w:val="nl-NL" w:eastAsia="en-US" w:bidi="ar-SA"/>
      </w:rPr>
    </w:rPrDefault>
    <w:pPrDefault>
      <w:pPr>
        <w:spacing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E725F7"/>
  </w:style>
  <w:style w:type="paragraph" w:styleId="Kop1">
    <w:name w:val="heading 1"/>
    <w:basedOn w:val="Standaard"/>
    <w:next w:val="Standaard"/>
    <w:link w:val="Kop1Char"/>
    <w:uiPriority w:val="9"/>
    <w:qFormat/>
    <w:rsid w:val="00CD219F"/>
    <w:pPr>
      <w:keepNext/>
      <w:keepLines/>
      <w:pageBreakBefore/>
      <w:numPr>
        <w:numId w:val="1"/>
      </w:numPr>
      <w:spacing w:after="120"/>
      <w:ind w:left="0" w:firstLine="0"/>
      <w:outlineLvl w:val="0"/>
    </w:pPr>
    <w:rPr>
      <w:rFonts w:asciiTheme="majorHAnsi" w:eastAsiaTheme="majorEastAsia" w:hAnsiTheme="majorHAnsi" w:cstheme="majorBidi"/>
      <w:b/>
      <w:bCs/>
      <w:caps/>
      <w:color w:val="E4610F" w:themeColor="background2"/>
      <w:sz w:val="32"/>
      <w:szCs w:val="28"/>
    </w:rPr>
  </w:style>
  <w:style w:type="paragraph" w:styleId="Kop2">
    <w:name w:val="heading 2"/>
    <w:basedOn w:val="Standaard"/>
    <w:next w:val="Standaard"/>
    <w:link w:val="Kop2Char"/>
    <w:uiPriority w:val="9"/>
    <w:unhideWhenUsed/>
    <w:qFormat/>
    <w:rsid w:val="00CD219F"/>
    <w:pPr>
      <w:keepNext/>
      <w:keepLines/>
      <w:numPr>
        <w:ilvl w:val="1"/>
        <w:numId w:val="1"/>
      </w:numPr>
      <w:spacing w:after="120"/>
      <w:ind w:left="0" w:firstLine="0"/>
      <w:outlineLvl w:val="1"/>
    </w:pPr>
    <w:rPr>
      <w:rFonts w:asciiTheme="majorHAnsi" w:eastAsiaTheme="majorEastAsia" w:hAnsiTheme="majorHAnsi" w:cstheme="majorBidi"/>
      <w:b/>
      <w:bCs/>
      <w:color w:val="E4610F" w:themeColor="background2"/>
      <w:sz w:val="28"/>
      <w:szCs w:val="26"/>
    </w:rPr>
  </w:style>
  <w:style w:type="paragraph" w:styleId="Kop3">
    <w:name w:val="heading 3"/>
    <w:basedOn w:val="Standaard"/>
    <w:next w:val="Standaard"/>
    <w:link w:val="Kop3Char"/>
    <w:uiPriority w:val="9"/>
    <w:unhideWhenUsed/>
    <w:qFormat/>
    <w:rsid w:val="00373087"/>
    <w:pPr>
      <w:keepNext/>
      <w:keepLines/>
      <w:numPr>
        <w:ilvl w:val="2"/>
        <w:numId w:val="1"/>
      </w:numPr>
      <w:spacing w:after="120"/>
      <w:ind w:left="0" w:firstLine="0"/>
      <w:outlineLvl w:val="2"/>
    </w:pPr>
    <w:rPr>
      <w:rFonts w:asciiTheme="majorHAnsi" w:eastAsiaTheme="majorEastAsia" w:hAnsiTheme="majorHAnsi" w:cstheme="majorBidi"/>
      <w:b/>
      <w:bCs/>
      <w:sz w:val="28"/>
    </w:rPr>
  </w:style>
  <w:style w:type="paragraph" w:styleId="Kop4">
    <w:name w:val="heading 4"/>
    <w:basedOn w:val="Standaard"/>
    <w:next w:val="Standaard"/>
    <w:link w:val="Kop4Char"/>
    <w:uiPriority w:val="9"/>
    <w:unhideWhenUsed/>
    <w:qFormat/>
    <w:rsid w:val="00085121"/>
    <w:pPr>
      <w:keepNext/>
      <w:keepLines/>
      <w:numPr>
        <w:ilvl w:val="3"/>
        <w:numId w:val="1"/>
      </w:numPr>
      <w:spacing w:after="120"/>
      <w:ind w:left="0" w:firstLine="0"/>
      <w:outlineLvl w:val="3"/>
    </w:pPr>
    <w:rPr>
      <w:rFonts w:asciiTheme="majorHAnsi" w:eastAsiaTheme="majorEastAsia" w:hAnsiTheme="majorHAnsi" w:cstheme="majorBidi"/>
      <w:bCs/>
      <w:iCs/>
      <w:color w:val="auto"/>
      <w:sz w:val="24"/>
    </w:rPr>
  </w:style>
  <w:style w:type="paragraph" w:styleId="Kop5">
    <w:name w:val="heading 5"/>
    <w:basedOn w:val="Standaard"/>
    <w:next w:val="Standaard"/>
    <w:link w:val="Kop5Char"/>
    <w:uiPriority w:val="9"/>
    <w:unhideWhenUsed/>
    <w:rsid w:val="00085121"/>
    <w:pPr>
      <w:keepNext/>
      <w:keepLines/>
      <w:numPr>
        <w:ilvl w:val="4"/>
        <w:numId w:val="1"/>
      </w:numPr>
      <w:spacing w:after="120"/>
      <w:ind w:left="0" w:firstLine="0"/>
      <w:outlineLvl w:val="4"/>
    </w:pPr>
    <w:rPr>
      <w:rFonts w:asciiTheme="majorHAnsi" w:eastAsiaTheme="majorEastAsia" w:hAnsiTheme="majorHAnsi" w:cstheme="majorBidi"/>
      <w:sz w:val="24"/>
    </w:rPr>
  </w:style>
  <w:style w:type="paragraph" w:styleId="Kop6">
    <w:name w:val="heading 6"/>
    <w:basedOn w:val="Standaard"/>
    <w:next w:val="Standaard"/>
    <w:link w:val="Kop6Char"/>
    <w:uiPriority w:val="9"/>
    <w:unhideWhenUsed/>
    <w:rsid w:val="00085121"/>
    <w:pPr>
      <w:keepNext/>
      <w:keepLines/>
      <w:numPr>
        <w:ilvl w:val="5"/>
        <w:numId w:val="1"/>
      </w:numPr>
      <w:spacing w:after="120"/>
      <w:ind w:left="0" w:firstLine="0"/>
      <w:outlineLvl w:val="5"/>
    </w:pPr>
    <w:rPr>
      <w:rFonts w:asciiTheme="majorHAnsi" w:eastAsiaTheme="majorEastAsia" w:hAnsiTheme="majorHAnsi" w:cstheme="majorBidi"/>
      <w:iCs/>
      <w:sz w:val="24"/>
    </w:rPr>
  </w:style>
  <w:style w:type="paragraph" w:styleId="Kop7">
    <w:name w:val="heading 7"/>
    <w:basedOn w:val="Standaard"/>
    <w:next w:val="Standaard"/>
    <w:link w:val="Kop7Char"/>
    <w:uiPriority w:val="9"/>
    <w:unhideWhenUsed/>
    <w:rsid w:val="00085121"/>
    <w:pPr>
      <w:keepNext/>
      <w:keepLines/>
      <w:numPr>
        <w:ilvl w:val="6"/>
        <w:numId w:val="1"/>
      </w:numPr>
      <w:spacing w:after="120"/>
      <w:ind w:left="0" w:firstLine="0"/>
      <w:outlineLvl w:val="6"/>
    </w:pPr>
    <w:rPr>
      <w:rFonts w:asciiTheme="majorHAnsi" w:eastAsiaTheme="majorEastAsia" w:hAnsiTheme="majorHAnsi" w:cstheme="majorBidi"/>
      <w:iCs/>
      <w:sz w:val="24"/>
    </w:rPr>
  </w:style>
  <w:style w:type="paragraph" w:styleId="Kop8">
    <w:name w:val="heading 8"/>
    <w:basedOn w:val="Standaard"/>
    <w:next w:val="Standaard"/>
    <w:link w:val="Kop8Char"/>
    <w:uiPriority w:val="9"/>
    <w:unhideWhenUsed/>
    <w:rsid w:val="00085121"/>
    <w:pPr>
      <w:keepNext/>
      <w:keepLines/>
      <w:numPr>
        <w:ilvl w:val="7"/>
        <w:numId w:val="1"/>
      </w:numPr>
      <w:spacing w:after="120"/>
      <w:ind w:left="0" w:firstLine="0"/>
      <w:outlineLvl w:val="7"/>
    </w:pPr>
    <w:rPr>
      <w:rFonts w:asciiTheme="majorHAnsi" w:eastAsiaTheme="majorEastAsia" w:hAnsiTheme="majorHAnsi" w:cstheme="majorBidi"/>
      <w:sz w:val="24"/>
      <w:szCs w:val="20"/>
    </w:rPr>
  </w:style>
  <w:style w:type="paragraph" w:styleId="Kop9">
    <w:name w:val="heading 9"/>
    <w:basedOn w:val="Standaard"/>
    <w:next w:val="Standaard"/>
    <w:link w:val="Kop9Char"/>
    <w:uiPriority w:val="9"/>
    <w:unhideWhenUsed/>
    <w:rsid w:val="00085121"/>
    <w:pPr>
      <w:keepNext/>
      <w:keepLines/>
      <w:numPr>
        <w:ilvl w:val="8"/>
        <w:numId w:val="1"/>
      </w:numPr>
      <w:spacing w:after="120"/>
      <w:ind w:left="0" w:firstLine="0"/>
      <w:outlineLvl w:val="8"/>
    </w:pPr>
    <w:rPr>
      <w:rFonts w:asciiTheme="majorHAnsi" w:eastAsiaTheme="majorEastAsia" w:hAnsiTheme="majorHAnsi" w:cstheme="majorBidi"/>
      <w:iCs/>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F6E4E"/>
    <w:pPr>
      <w:ind w:left="113"/>
    </w:pPr>
    <w:rPr>
      <w:color w:val="55575A" w:themeColor="text2"/>
      <w:szCs w:val="20"/>
    </w:rPr>
    <w:tblPr>
      <w:tblBorders>
        <w:bottom w:val="single" w:sz="8" w:space="0" w:color="E4610F" w:themeColor="background2"/>
        <w:insideH w:val="single" w:sz="2" w:space="0" w:color="55575A" w:themeColor="text2"/>
      </w:tblBorders>
      <w:tblCellMar>
        <w:top w:w="113" w:type="dxa"/>
        <w:left w:w="0" w:type="dxa"/>
        <w:bottom w:w="113" w:type="dxa"/>
        <w:right w:w="0" w:type="dxa"/>
      </w:tblCellMar>
    </w:tblPr>
    <w:tcPr>
      <w:vAlign w:val="center"/>
    </w:tcPr>
    <w:tblStylePr w:type="firstRow">
      <w:pPr>
        <w:spacing w:before="113"/>
      </w:pPr>
      <w:rPr>
        <w:b/>
        <w:color w:val="FFFFFF" w:themeColor="background1"/>
        <w:sz w:val="20"/>
      </w:rPr>
      <w:tblPr/>
      <w:tcPr>
        <w:tcBorders>
          <w:top w:val="nil"/>
          <w:left w:val="nil"/>
          <w:bottom w:val="single" w:sz="4" w:space="0" w:color="FFFFFF" w:themeColor="background1"/>
          <w:right w:val="nil"/>
          <w:insideH w:val="nil"/>
          <w:insideV w:val="single" w:sz="24" w:space="0" w:color="FFFFFF" w:themeColor="background1"/>
          <w:tl2br w:val="nil"/>
          <w:tr2bl w:val="nil"/>
        </w:tcBorders>
        <w:shd w:val="clear" w:color="auto" w:fill="E4610F" w:themeFill="background2"/>
        <w:tcMar>
          <w:top w:w="0" w:type="dxa"/>
          <w:left w:w="0" w:type="nil"/>
          <w:bottom w:w="0" w:type="nil"/>
          <w:right w:w="0" w:type="nil"/>
        </w:tcMar>
      </w:tcPr>
    </w:tblStylePr>
  </w:style>
  <w:style w:type="paragraph" w:customStyle="1" w:styleId="ArcadisDocumentInformation">
    <w:name w:val="Arcadis_DocumentInformation"/>
    <w:basedOn w:val="Standaard"/>
    <w:rsid w:val="00A9511F"/>
    <w:rPr>
      <w:sz w:val="16"/>
      <w:lang w:val="en-US"/>
    </w:rPr>
  </w:style>
  <w:style w:type="paragraph" w:styleId="Ballontekst">
    <w:name w:val="Balloon Text"/>
    <w:basedOn w:val="Standaard"/>
    <w:link w:val="BallontekstChar"/>
    <w:uiPriority w:val="99"/>
    <w:semiHidden/>
    <w:unhideWhenUsed/>
    <w:rsid w:val="00A9511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11F"/>
    <w:rPr>
      <w:rFonts w:ascii="Tahoma" w:hAnsi="Tahoma" w:cs="Tahoma"/>
      <w:sz w:val="16"/>
      <w:szCs w:val="16"/>
    </w:rPr>
  </w:style>
  <w:style w:type="paragraph" w:styleId="Koptekst">
    <w:name w:val="header"/>
    <w:basedOn w:val="Standaard"/>
    <w:link w:val="KoptekstChar"/>
    <w:unhideWhenUsed/>
    <w:rsid w:val="00A951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511F"/>
  </w:style>
  <w:style w:type="paragraph" w:styleId="Voettekst">
    <w:name w:val="footer"/>
    <w:basedOn w:val="Standaard"/>
    <w:link w:val="VoettekstChar"/>
    <w:uiPriority w:val="99"/>
    <w:unhideWhenUsed/>
    <w:rsid w:val="00E15026"/>
    <w:pPr>
      <w:tabs>
        <w:tab w:val="center" w:pos="4536"/>
        <w:tab w:val="right" w:pos="9072"/>
      </w:tabs>
    </w:pPr>
  </w:style>
  <w:style w:type="character" w:customStyle="1" w:styleId="VoettekstChar">
    <w:name w:val="Voettekst Char"/>
    <w:basedOn w:val="Standaardalinea-lettertype"/>
    <w:link w:val="Voettekst"/>
    <w:uiPriority w:val="99"/>
    <w:rsid w:val="00E15026"/>
    <w:rPr>
      <w:sz w:val="18"/>
    </w:rPr>
  </w:style>
  <w:style w:type="paragraph" w:customStyle="1" w:styleId="ArcadisLogoFrontPage">
    <w:name w:val="Arcadis_LogoFrontPage"/>
    <w:basedOn w:val="Standaard"/>
    <w:rsid w:val="00001B11"/>
    <w:pPr>
      <w:framePr w:w="5642" w:h="437" w:wrap="around" w:vAnchor="page" w:hAnchor="page" w:xAlign="right" w:y="908"/>
    </w:pPr>
  </w:style>
  <w:style w:type="paragraph" w:customStyle="1" w:styleId="ArcadisDocumentTitle">
    <w:name w:val="Arcadis_DocumentTitle"/>
    <w:basedOn w:val="Standaard"/>
    <w:rsid w:val="007014CD"/>
    <w:pPr>
      <w:framePr w:h="567" w:wrap="around" w:vAnchor="page" w:hAnchor="margin" w:y="922"/>
    </w:pPr>
  </w:style>
  <w:style w:type="paragraph" w:customStyle="1" w:styleId="ArcadisDocumentDirectory">
    <w:name w:val="Arcadis_DocumentDirectory"/>
    <w:basedOn w:val="Voettekst"/>
    <w:rsid w:val="00E417EF"/>
    <w:pPr>
      <w:spacing w:before="100" w:line="180" w:lineRule="atLeast"/>
    </w:pPr>
    <w:rPr>
      <w:sz w:val="10"/>
    </w:rPr>
  </w:style>
  <w:style w:type="paragraph" w:customStyle="1" w:styleId="ArcadisDisclaimer">
    <w:name w:val="Arcadis_Disclaimer"/>
    <w:basedOn w:val="Voettekst"/>
    <w:rsid w:val="00480336"/>
    <w:pPr>
      <w:spacing w:before="100" w:line="180" w:lineRule="atLeast"/>
    </w:pPr>
    <w:rPr>
      <w:sz w:val="14"/>
    </w:rPr>
  </w:style>
  <w:style w:type="character" w:customStyle="1" w:styleId="Kop1Char">
    <w:name w:val="Kop 1 Char"/>
    <w:basedOn w:val="Standaardalinea-lettertype"/>
    <w:link w:val="Kop1"/>
    <w:uiPriority w:val="9"/>
    <w:rsid w:val="00CD219F"/>
    <w:rPr>
      <w:rFonts w:asciiTheme="majorHAnsi" w:eastAsiaTheme="majorEastAsia" w:hAnsiTheme="majorHAnsi" w:cstheme="majorBidi"/>
      <w:b/>
      <w:bCs/>
      <w:caps/>
      <w:color w:val="E4610F" w:themeColor="background2"/>
      <w:sz w:val="32"/>
      <w:szCs w:val="28"/>
    </w:rPr>
  </w:style>
  <w:style w:type="character" w:customStyle="1" w:styleId="Kop2Char">
    <w:name w:val="Kop 2 Char"/>
    <w:basedOn w:val="Standaardalinea-lettertype"/>
    <w:link w:val="Kop2"/>
    <w:uiPriority w:val="9"/>
    <w:rsid w:val="00CD219F"/>
    <w:rPr>
      <w:rFonts w:asciiTheme="majorHAnsi" w:eastAsiaTheme="majorEastAsia" w:hAnsiTheme="majorHAnsi" w:cstheme="majorBidi"/>
      <w:b/>
      <w:bCs/>
      <w:color w:val="E4610F" w:themeColor="background2"/>
      <w:sz w:val="28"/>
      <w:szCs w:val="26"/>
    </w:rPr>
  </w:style>
  <w:style w:type="character" w:customStyle="1" w:styleId="Kop3Char">
    <w:name w:val="Kop 3 Char"/>
    <w:basedOn w:val="Standaardalinea-lettertype"/>
    <w:link w:val="Kop3"/>
    <w:uiPriority w:val="9"/>
    <w:rsid w:val="00373087"/>
    <w:rPr>
      <w:rFonts w:asciiTheme="majorHAnsi" w:eastAsiaTheme="majorEastAsia" w:hAnsiTheme="majorHAnsi" w:cstheme="majorBidi"/>
      <w:b/>
      <w:bCs/>
      <w:sz w:val="28"/>
      <w:lang w:val="en-GB"/>
    </w:rPr>
  </w:style>
  <w:style w:type="character" w:customStyle="1" w:styleId="Kop4Char">
    <w:name w:val="Kop 4 Char"/>
    <w:basedOn w:val="Standaardalinea-lettertype"/>
    <w:link w:val="Kop4"/>
    <w:uiPriority w:val="9"/>
    <w:rsid w:val="00085121"/>
    <w:rPr>
      <w:rFonts w:asciiTheme="majorHAnsi" w:eastAsiaTheme="majorEastAsia" w:hAnsiTheme="majorHAnsi" w:cstheme="majorBidi"/>
      <w:bCs/>
      <w:iCs/>
      <w:color w:val="auto"/>
      <w:sz w:val="24"/>
      <w:lang w:val="en-GB"/>
    </w:rPr>
  </w:style>
  <w:style w:type="character" w:customStyle="1" w:styleId="Kop5Char">
    <w:name w:val="Kop 5 Char"/>
    <w:basedOn w:val="Standaardalinea-lettertype"/>
    <w:link w:val="Kop5"/>
    <w:uiPriority w:val="9"/>
    <w:rsid w:val="00085121"/>
    <w:rPr>
      <w:rFonts w:asciiTheme="majorHAnsi" w:eastAsiaTheme="majorEastAsia" w:hAnsiTheme="majorHAnsi" w:cstheme="majorBidi"/>
      <w:sz w:val="24"/>
      <w:lang w:val="en-GB"/>
    </w:rPr>
  </w:style>
  <w:style w:type="character" w:customStyle="1" w:styleId="Kop6Char">
    <w:name w:val="Kop 6 Char"/>
    <w:basedOn w:val="Standaardalinea-lettertype"/>
    <w:link w:val="Kop6"/>
    <w:uiPriority w:val="9"/>
    <w:rsid w:val="00085121"/>
    <w:rPr>
      <w:rFonts w:asciiTheme="majorHAnsi" w:eastAsiaTheme="majorEastAsia" w:hAnsiTheme="majorHAnsi" w:cstheme="majorBidi"/>
      <w:iCs/>
      <w:sz w:val="24"/>
      <w:lang w:val="en-GB"/>
    </w:rPr>
  </w:style>
  <w:style w:type="character" w:customStyle="1" w:styleId="Kop7Char">
    <w:name w:val="Kop 7 Char"/>
    <w:basedOn w:val="Standaardalinea-lettertype"/>
    <w:link w:val="Kop7"/>
    <w:uiPriority w:val="9"/>
    <w:rsid w:val="00085121"/>
    <w:rPr>
      <w:rFonts w:asciiTheme="majorHAnsi" w:eastAsiaTheme="majorEastAsia" w:hAnsiTheme="majorHAnsi" w:cstheme="majorBidi"/>
      <w:iCs/>
      <w:sz w:val="24"/>
      <w:lang w:val="en-GB"/>
    </w:rPr>
  </w:style>
  <w:style w:type="character" w:customStyle="1" w:styleId="Kop8Char">
    <w:name w:val="Kop 8 Char"/>
    <w:basedOn w:val="Standaardalinea-lettertype"/>
    <w:link w:val="Kop8"/>
    <w:uiPriority w:val="9"/>
    <w:rsid w:val="00085121"/>
    <w:rPr>
      <w:rFonts w:asciiTheme="majorHAnsi" w:eastAsiaTheme="majorEastAsia" w:hAnsiTheme="majorHAnsi" w:cstheme="majorBidi"/>
      <w:sz w:val="24"/>
      <w:szCs w:val="20"/>
      <w:lang w:val="en-GB"/>
    </w:rPr>
  </w:style>
  <w:style w:type="character" w:customStyle="1" w:styleId="Kop9Char">
    <w:name w:val="Kop 9 Char"/>
    <w:basedOn w:val="Standaardalinea-lettertype"/>
    <w:link w:val="Kop9"/>
    <w:uiPriority w:val="9"/>
    <w:rsid w:val="00085121"/>
    <w:rPr>
      <w:rFonts w:asciiTheme="majorHAnsi" w:eastAsiaTheme="majorEastAsia" w:hAnsiTheme="majorHAnsi" w:cstheme="majorBidi"/>
      <w:iCs/>
      <w:sz w:val="24"/>
      <w:szCs w:val="20"/>
      <w:lang w:val="en-GB"/>
    </w:rPr>
  </w:style>
  <w:style w:type="numbering" w:customStyle="1" w:styleId="ArcadisBullet">
    <w:name w:val="Arcadis_Bullet"/>
    <w:basedOn w:val="Geenlijst"/>
    <w:uiPriority w:val="99"/>
    <w:rsid w:val="001930A9"/>
    <w:pPr>
      <w:numPr>
        <w:numId w:val="4"/>
      </w:numPr>
    </w:pPr>
  </w:style>
  <w:style w:type="paragraph" w:styleId="Lijstalinea">
    <w:name w:val="List Paragraph"/>
    <w:basedOn w:val="Standaard"/>
    <w:uiPriority w:val="34"/>
    <w:rsid w:val="00D20DD7"/>
    <w:pPr>
      <w:ind w:left="720"/>
      <w:contextualSpacing/>
    </w:pPr>
  </w:style>
  <w:style w:type="paragraph" w:customStyle="1" w:styleId="ArcadisListBullet">
    <w:name w:val="Arcadis_ListBullet"/>
    <w:basedOn w:val="Standaard"/>
    <w:qFormat/>
    <w:rsid w:val="00830F55"/>
    <w:pPr>
      <w:numPr>
        <w:numId w:val="23"/>
      </w:numPr>
      <w:spacing w:after="60"/>
      <w:contextualSpacing/>
    </w:pPr>
  </w:style>
  <w:style w:type="numbering" w:customStyle="1" w:styleId="ArcadisNumber">
    <w:name w:val="Arcadis_Number"/>
    <w:basedOn w:val="Geenlijst"/>
    <w:uiPriority w:val="99"/>
    <w:rsid w:val="001930A9"/>
    <w:pPr>
      <w:numPr>
        <w:numId w:val="6"/>
      </w:numPr>
    </w:pPr>
  </w:style>
  <w:style w:type="paragraph" w:customStyle="1" w:styleId="ArcadisListNumber">
    <w:name w:val="Arcadis_ListNumber"/>
    <w:basedOn w:val="Lijstalinea"/>
    <w:qFormat/>
    <w:rsid w:val="00830F55"/>
    <w:pPr>
      <w:numPr>
        <w:numId w:val="25"/>
      </w:numPr>
      <w:spacing w:after="60"/>
    </w:pPr>
  </w:style>
  <w:style w:type="numbering" w:customStyle="1" w:styleId="ArcadisLetter">
    <w:name w:val="Arcadis_Letter"/>
    <w:basedOn w:val="Geenlijst"/>
    <w:uiPriority w:val="99"/>
    <w:rsid w:val="001930A9"/>
    <w:pPr>
      <w:numPr>
        <w:numId w:val="13"/>
      </w:numPr>
    </w:pPr>
  </w:style>
  <w:style w:type="paragraph" w:customStyle="1" w:styleId="ArcadisListLetter">
    <w:name w:val="Arcadis_ListLetter"/>
    <w:basedOn w:val="Standaard"/>
    <w:qFormat/>
    <w:rsid w:val="00830F55"/>
    <w:pPr>
      <w:numPr>
        <w:numId w:val="24"/>
      </w:numPr>
      <w:spacing w:after="60"/>
      <w:contextualSpacing/>
    </w:pPr>
  </w:style>
  <w:style w:type="numbering" w:customStyle="1" w:styleId="ArcadisBulletOrange">
    <w:name w:val="Arcadis_BulletOrange"/>
    <w:basedOn w:val="Geenlijst"/>
    <w:uiPriority w:val="99"/>
    <w:rsid w:val="001930A9"/>
    <w:pPr>
      <w:numPr>
        <w:numId w:val="17"/>
      </w:numPr>
    </w:pPr>
  </w:style>
  <w:style w:type="paragraph" w:customStyle="1" w:styleId="ArcadisListBulletOrange">
    <w:name w:val="Arcadis_ListBulletOrange"/>
    <w:basedOn w:val="Standaard"/>
    <w:qFormat/>
    <w:rsid w:val="00830F55"/>
    <w:pPr>
      <w:numPr>
        <w:numId w:val="35"/>
      </w:numPr>
      <w:spacing w:after="60"/>
      <w:contextualSpacing/>
    </w:pPr>
  </w:style>
  <w:style w:type="numbering" w:customStyle="1" w:styleId="ArcadisNumberOrange">
    <w:name w:val="Arcadis_NumberOrange"/>
    <w:basedOn w:val="Geenlijst"/>
    <w:uiPriority w:val="99"/>
    <w:rsid w:val="00373087"/>
    <w:pPr>
      <w:numPr>
        <w:numId w:val="26"/>
      </w:numPr>
    </w:pPr>
  </w:style>
  <w:style w:type="paragraph" w:customStyle="1" w:styleId="ArcadisListNumberOrange">
    <w:name w:val="Arcadis_ListNumberOrange"/>
    <w:basedOn w:val="Lijstalinea"/>
    <w:qFormat/>
    <w:rsid w:val="00830F55"/>
    <w:pPr>
      <w:numPr>
        <w:numId w:val="37"/>
      </w:numPr>
      <w:spacing w:after="60"/>
    </w:pPr>
  </w:style>
  <w:style w:type="numbering" w:customStyle="1" w:styleId="ArcadisLetterOrange">
    <w:name w:val="Arcadis_LetterOrange"/>
    <w:basedOn w:val="Geenlijst"/>
    <w:uiPriority w:val="99"/>
    <w:rsid w:val="00373087"/>
    <w:pPr>
      <w:numPr>
        <w:numId w:val="29"/>
      </w:numPr>
    </w:pPr>
  </w:style>
  <w:style w:type="paragraph" w:customStyle="1" w:styleId="ArcadisListLetterOrange">
    <w:name w:val="Arcadis_ListLetterOrange"/>
    <w:basedOn w:val="Standaard"/>
    <w:qFormat/>
    <w:rsid w:val="00830F55"/>
    <w:pPr>
      <w:numPr>
        <w:numId w:val="36"/>
      </w:numPr>
      <w:spacing w:after="60"/>
      <w:contextualSpacing/>
    </w:pPr>
  </w:style>
  <w:style w:type="paragraph" w:customStyle="1" w:styleId="ArcadisUnnumberedHeading1">
    <w:name w:val="Arcadis_UnnumberedHeading1"/>
    <w:basedOn w:val="Standaard"/>
    <w:next w:val="Standaard"/>
    <w:qFormat/>
    <w:rsid w:val="000E0920"/>
    <w:pPr>
      <w:keepNext/>
      <w:keepLines/>
      <w:pageBreakBefore/>
      <w:spacing w:after="120"/>
    </w:pPr>
    <w:rPr>
      <w:b/>
      <w:caps/>
      <w:color w:val="E4610F" w:themeColor="background2"/>
      <w:sz w:val="32"/>
    </w:rPr>
  </w:style>
  <w:style w:type="paragraph" w:customStyle="1" w:styleId="ArcadisUnnumberedHeading2">
    <w:name w:val="Arcadis_UnnumberedHeading2"/>
    <w:basedOn w:val="Standaard"/>
    <w:next w:val="Standaard"/>
    <w:qFormat/>
    <w:rsid w:val="00CD219F"/>
    <w:pPr>
      <w:keepNext/>
      <w:keepLines/>
      <w:spacing w:after="120"/>
    </w:pPr>
    <w:rPr>
      <w:b/>
      <w:color w:val="E4610F" w:themeColor="background2"/>
      <w:sz w:val="28"/>
    </w:rPr>
  </w:style>
  <w:style w:type="paragraph" w:customStyle="1" w:styleId="ArcadisUnnumberedHeading3">
    <w:name w:val="Arcadis_UnnumberedHeading3"/>
    <w:basedOn w:val="Standaard"/>
    <w:next w:val="Standaard"/>
    <w:qFormat/>
    <w:rsid w:val="005A2AEC"/>
    <w:pPr>
      <w:keepNext/>
      <w:keepLines/>
      <w:spacing w:after="120"/>
    </w:pPr>
    <w:rPr>
      <w:b/>
      <w:sz w:val="24"/>
    </w:rPr>
  </w:style>
  <w:style w:type="paragraph" w:customStyle="1" w:styleId="ArcadisUnnumberedHeading4">
    <w:name w:val="Arcadis_UnnumberedHeading4"/>
    <w:basedOn w:val="Standaard"/>
    <w:next w:val="Standaard"/>
    <w:qFormat/>
    <w:rsid w:val="005A2AEC"/>
    <w:pPr>
      <w:keepNext/>
      <w:keepLines/>
      <w:spacing w:after="120"/>
    </w:pPr>
    <w:rPr>
      <w:sz w:val="24"/>
    </w:rPr>
  </w:style>
  <w:style w:type="paragraph" w:customStyle="1" w:styleId="ArcadisDataHead">
    <w:name w:val="Arcadis_DataHead"/>
    <w:basedOn w:val="Standaard"/>
    <w:next w:val="Standaard"/>
    <w:rsid w:val="00AF639D"/>
    <w:pPr>
      <w:spacing w:line="200" w:lineRule="atLeast"/>
    </w:pPr>
    <w:rPr>
      <w:b/>
      <w:caps/>
      <w:sz w:val="14"/>
    </w:rPr>
  </w:style>
  <w:style w:type="paragraph" w:customStyle="1" w:styleId="ArcadisDataValue">
    <w:name w:val="Arcadis_DataValue"/>
    <w:basedOn w:val="Standaard"/>
    <w:rsid w:val="00C64C8A"/>
    <w:pPr>
      <w:spacing w:after="100" w:line="200" w:lineRule="atLeast"/>
      <w:contextualSpacing/>
    </w:pPr>
    <w:rPr>
      <w:sz w:val="16"/>
    </w:rPr>
  </w:style>
  <w:style w:type="paragraph" w:customStyle="1" w:styleId="ArcadisDataValueBold">
    <w:name w:val="Arcadis_DataValueBold"/>
    <w:basedOn w:val="ArcadisDataValue"/>
    <w:next w:val="ArcadisDataValue"/>
    <w:rsid w:val="00345154"/>
    <w:rPr>
      <w:b/>
    </w:rPr>
  </w:style>
  <w:style w:type="numbering" w:customStyle="1" w:styleId="ArcadisItem">
    <w:name w:val="Arcadis_Item"/>
    <w:basedOn w:val="Geenlijst"/>
    <w:uiPriority w:val="99"/>
    <w:rsid w:val="008F7EA7"/>
    <w:pPr>
      <w:numPr>
        <w:numId w:val="32"/>
      </w:numPr>
    </w:pPr>
  </w:style>
  <w:style w:type="paragraph" w:customStyle="1" w:styleId="ArcadisListItem">
    <w:name w:val="Arcadis_ListItem"/>
    <w:basedOn w:val="Standaard"/>
    <w:qFormat/>
    <w:rsid w:val="00AC6917"/>
    <w:pPr>
      <w:numPr>
        <w:numId w:val="34"/>
      </w:numPr>
    </w:pPr>
    <w:rPr>
      <w:sz w:val="16"/>
    </w:rPr>
  </w:style>
  <w:style w:type="paragraph" w:customStyle="1" w:styleId="ArcadisInformation">
    <w:name w:val="Arcadis_Information"/>
    <w:basedOn w:val="Standaard"/>
    <w:rsid w:val="009832EB"/>
    <w:pPr>
      <w:framePr w:w="2098" w:wrap="around" w:hAnchor="page" w:xAlign="right" w:yAlign="top"/>
    </w:pPr>
    <w:rPr>
      <w:sz w:val="16"/>
      <w:lang w:val="en-US"/>
    </w:rPr>
  </w:style>
  <w:style w:type="paragraph" w:customStyle="1" w:styleId="ArcadisLogoNextPage">
    <w:name w:val="Arcadis_LogoNextPage"/>
    <w:basedOn w:val="Standaard"/>
    <w:rsid w:val="00F34796"/>
    <w:pPr>
      <w:framePr w:w="5642" w:h="437" w:wrap="around" w:vAnchor="page" w:hAnchor="page" w:xAlign="right" w:y="908"/>
    </w:pPr>
  </w:style>
  <w:style w:type="character" w:customStyle="1" w:styleId="ArcadisDisclaimerWebsite">
    <w:name w:val="Arcadis_DisclaimerWebsite"/>
    <w:basedOn w:val="Standaardalinea-lettertype"/>
    <w:uiPriority w:val="1"/>
    <w:rsid w:val="00CD219F"/>
    <w:rPr>
      <w:b/>
      <w:color w:val="E4610F" w:themeColor="background2"/>
    </w:rPr>
  </w:style>
  <w:style w:type="paragraph" w:customStyle="1" w:styleId="ArcadisFooterContinuationPage">
    <w:name w:val="Arcadis_FooterContinuationPage"/>
    <w:basedOn w:val="ArcadisDisclaimer"/>
    <w:rsid w:val="00983923"/>
    <w:pPr>
      <w:spacing w:before="0"/>
    </w:pPr>
  </w:style>
  <w:style w:type="paragraph" w:customStyle="1" w:styleId="ArcadisDataValueSpacer">
    <w:name w:val="Arcadis_DataValueSpacer"/>
    <w:basedOn w:val="ArcadisDataValue"/>
    <w:rsid w:val="00AF4B75"/>
    <w:pPr>
      <w:spacing w:line="100" w:lineRule="exact"/>
    </w:pPr>
    <w:rPr>
      <w:lang w:val="en-US"/>
    </w:rPr>
  </w:style>
  <w:style w:type="paragraph" w:styleId="Bijschrift">
    <w:name w:val="caption"/>
    <w:basedOn w:val="Standaard"/>
    <w:next w:val="Standaard"/>
    <w:uiPriority w:val="35"/>
    <w:unhideWhenUsed/>
    <w:qFormat/>
    <w:rsid w:val="00A5012C"/>
    <w:pPr>
      <w:spacing w:line="200" w:lineRule="atLeast"/>
    </w:pPr>
    <w:rPr>
      <w:bCs/>
      <w:i/>
      <w:color w:val="auto"/>
      <w:lang w:val="en-US"/>
    </w:rPr>
  </w:style>
  <w:style w:type="paragraph" w:styleId="Lijstmetafbeeldingen">
    <w:name w:val="table of figures"/>
    <w:basedOn w:val="Standaard"/>
    <w:next w:val="Standaard"/>
    <w:uiPriority w:val="99"/>
    <w:unhideWhenUsed/>
    <w:rsid w:val="00BF6F9A"/>
    <w:pPr>
      <w:tabs>
        <w:tab w:val="right" w:pos="5670"/>
      </w:tabs>
      <w:spacing w:after="120" w:line="240" w:lineRule="atLeast"/>
    </w:pPr>
    <w:rPr>
      <w:color w:val="auto"/>
      <w:sz w:val="20"/>
      <w:szCs w:val="20"/>
      <w:lang w:val="en-US"/>
    </w:rPr>
  </w:style>
  <w:style w:type="paragraph" w:styleId="Titel">
    <w:name w:val="Title"/>
    <w:basedOn w:val="Standaard"/>
    <w:link w:val="TitelChar"/>
    <w:qFormat/>
    <w:rsid w:val="00AF117A"/>
    <w:pPr>
      <w:spacing w:line="600" w:lineRule="atLeast"/>
    </w:pPr>
    <w:rPr>
      <w:rFonts w:ascii="Georgia" w:eastAsia="Times New Roman" w:hAnsi="Georgia" w:cs="Times New Roman"/>
      <w:color w:val="auto"/>
      <w:kern w:val="28"/>
      <w:sz w:val="54"/>
      <w:szCs w:val="32"/>
    </w:rPr>
  </w:style>
  <w:style w:type="character" w:customStyle="1" w:styleId="TitelChar">
    <w:name w:val="Titel Char"/>
    <w:basedOn w:val="Standaardalinea-lettertype"/>
    <w:link w:val="Titel"/>
    <w:rsid w:val="00AF117A"/>
    <w:rPr>
      <w:rFonts w:ascii="Georgia" w:eastAsia="Times New Roman" w:hAnsi="Georgia" w:cs="Times New Roman"/>
      <w:color w:val="auto"/>
      <w:kern w:val="28"/>
      <w:sz w:val="54"/>
      <w:szCs w:val="32"/>
    </w:rPr>
  </w:style>
  <w:style w:type="paragraph" w:customStyle="1" w:styleId="Subtitel">
    <w:name w:val="Subtitel"/>
    <w:basedOn w:val="Standaard"/>
    <w:qFormat/>
    <w:rsid w:val="00AF117A"/>
    <w:pPr>
      <w:spacing w:line="480" w:lineRule="atLeast"/>
    </w:pPr>
    <w:rPr>
      <w:rFonts w:ascii="Georgia" w:eastAsia="Times New Roman" w:hAnsi="Georgia" w:cs="Times New Roman"/>
      <w:i/>
      <w:color w:val="auto"/>
      <w:sz w:val="36"/>
      <w:szCs w:val="24"/>
    </w:rPr>
  </w:style>
  <w:style w:type="paragraph" w:styleId="Inhopg1">
    <w:name w:val="toc 1"/>
    <w:basedOn w:val="Standaard"/>
    <w:next w:val="Standaard"/>
    <w:uiPriority w:val="39"/>
    <w:rsid w:val="00AF117A"/>
    <w:pPr>
      <w:pBdr>
        <w:top w:val="single" w:sz="4" w:space="0" w:color="auto"/>
      </w:pBdr>
      <w:tabs>
        <w:tab w:val="left" w:pos="743"/>
        <w:tab w:val="right" w:pos="8904"/>
      </w:tabs>
      <w:spacing w:before="480" w:line="240" w:lineRule="atLeast"/>
      <w:ind w:left="744" w:hanging="744"/>
    </w:pPr>
    <w:rPr>
      <w:rFonts w:ascii="Georgia" w:eastAsia="Times New Roman" w:hAnsi="Georgia" w:cs="Times New Roman"/>
      <w:b/>
      <w:noProof/>
      <w:color w:val="auto"/>
      <w:szCs w:val="24"/>
    </w:rPr>
  </w:style>
  <w:style w:type="character" w:styleId="Verwijzingopmerking">
    <w:name w:val="annotation reference"/>
    <w:basedOn w:val="Standaardalinea-lettertype"/>
    <w:uiPriority w:val="99"/>
    <w:semiHidden/>
    <w:unhideWhenUsed/>
    <w:rsid w:val="00E146B8"/>
    <w:rPr>
      <w:sz w:val="16"/>
      <w:szCs w:val="16"/>
    </w:rPr>
  </w:style>
  <w:style w:type="paragraph" w:styleId="Tekstopmerking">
    <w:name w:val="annotation text"/>
    <w:basedOn w:val="Standaard"/>
    <w:link w:val="TekstopmerkingChar"/>
    <w:uiPriority w:val="99"/>
    <w:semiHidden/>
    <w:unhideWhenUsed/>
    <w:rsid w:val="00E146B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46B8"/>
    <w:rPr>
      <w:sz w:val="20"/>
      <w:szCs w:val="20"/>
    </w:rPr>
  </w:style>
  <w:style w:type="paragraph" w:styleId="Onderwerpvanopmerking">
    <w:name w:val="annotation subject"/>
    <w:basedOn w:val="Tekstopmerking"/>
    <w:next w:val="Tekstopmerking"/>
    <w:link w:val="OnderwerpvanopmerkingChar"/>
    <w:uiPriority w:val="99"/>
    <w:semiHidden/>
    <w:unhideWhenUsed/>
    <w:rsid w:val="00E146B8"/>
    <w:rPr>
      <w:b/>
      <w:bCs/>
    </w:rPr>
  </w:style>
  <w:style w:type="character" w:customStyle="1" w:styleId="OnderwerpvanopmerkingChar">
    <w:name w:val="Onderwerp van opmerking Char"/>
    <w:basedOn w:val="TekstopmerkingChar"/>
    <w:link w:val="Onderwerpvanopmerking"/>
    <w:uiPriority w:val="99"/>
    <w:semiHidden/>
    <w:rsid w:val="00E146B8"/>
    <w:rPr>
      <w:b/>
      <w:bCs/>
      <w:sz w:val="20"/>
      <w:szCs w:val="20"/>
    </w:rPr>
  </w:style>
  <w:style w:type="paragraph" w:customStyle="1" w:styleId="list-number">
    <w:name w:val="list-number"/>
    <w:basedOn w:val="Standaard"/>
    <w:uiPriority w:val="8"/>
    <w:qFormat/>
    <w:rsid w:val="0019441F"/>
    <w:pPr>
      <w:keepLines/>
      <w:numPr>
        <w:numId w:val="43"/>
      </w:numPr>
      <w:spacing w:line="280" w:lineRule="atLeast"/>
    </w:pPr>
    <w:rPr>
      <w:rFonts w:ascii="Palatino Linotype" w:eastAsia="Times New Roman" w:hAnsi="Palatino Linotype" w:cs="Times New Roman"/>
      <w:color w:val="auto"/>
      <w:szCs w:val="24"/>
    </w:rPr>
  </w:style>
  <w:style w:type="paragraph" w:styleId="Revisie">
    <w:name w:val="Revision"/>
    <w:hidden/>
    <w:uiPriority w:val="99"/>
    <w:semiHidden/>
    <w:rsid w:val="0068315E"/>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1D1D1D" w:themeColor="text1"/>
        <w:sz w:val="18"/>
        <w:szCs w:val="18"/>
        <w:lang w:val="nl-NL" w:eastAsia="en-US" w:bidi="ar-SA"/>
      </w:rPr>
    </w:rPrDefault>
    <w:pPrDefault>
      <w:pPr>
        <w:spacing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qFormat/>
    <w:rsid w:val="00E725F7"/>
  </w:style>
  <w:style w:type="paragraph" w:styleId="Kop1">
    <w:name w:val="heading 1"/>
    <w:basedOn w:val="Standaard"/>
    <w:next w:val="Standaard"/>
    <w:link w:val="Kop1Char"/>
    <w:uiPriority w:val="9"/>
    <w:qFormat/>
    <w:rsid w:val="00CD219F"/>
    <w:pPr>
      <w:keepNext/>
      <w:keepLines/>
      <w:pageBreakBefore/>
      <w:numPr>
        <w:numId w:val="1"/>
      </w:numPr>
      <w:spacing w:after="120"/>
      <w:ind w:left="0" w:firstLine="0"/>
      <w:outlineLvl w:val="0"/>
    </w:pPr>
    <w:rPr>
      <w:rFonts w:asciiTheme="majorHAnsi" w:eastAsiaTheme="majorEastAsia" w:hAnsiTheme="majorHAnsi" w:cstheme="majorBidi"/>
      <w:b/>
      <w:bCs/>
      <w:caps/>
      <w:color w:val="E4610F" w:themeColor="background2"/>
      <w:sz w:val="32"/>
      <w:szCs w:val="28"/>
    </w:rPr>
  </w:style>
  <w:style w:type="paragraph" w:styleId="Kop2">
    <w:name w:val="heading 2"/>
    <w:basedOn w:val="Standaard"/>
    <w:next w:val="Standaard"/>
    <w:link w:val="Kop2Char"/>
    <w:uiPriority w:val="9"/>
    <w:unhideWhenUsed/>
    <w:qFormat/>
    <w:rsid w:val="00CD219F"/>
    <w:pPr>
      <w:keepNext/>
      <w:keepLines/>
      <w:numPr>
        <w:ilvl w:val="1"/>
        <w:numId w:val="1"/>
      </w:numPr>
      <w:spacing w:after="120"/>
      <w:ind w:left="0" w:firstLine="0"/>
      <w:outlineLvl w:val="1"/>
    </w:pPr>
    <w:rPr>
      <w:rFonts w:asciiTheme="majorHAnsi" w:eastAsiaTheme="majorEastAsia" w:hAnsiTheme="majorHAnsi" w:cstheme="majorBidi"/>
      <w:b/>
      <w:bCs/>
      <w:color w:val="E4610F" w:themeColor="background2"/>
      <w:sz w:val="28"/>
      <w:szCs w:val="26"/>
    </w:rPr>
  </w:style>
  <w:style w:type="paragraph" w:styleId="Kop3">
    <w:name w:val="heading 3"/>
    <w:basedOn w:val="Standaard"/>
    <w:next w:val="Standaard"/>
    <w:link w:val="Kop3Char"/>
    <w:uiPriority w:val="9"/>
    <w:unhideWhenUsed/>
    <w:qFormat/>
    <w:rsid w:val="00373087"/>
    <w:pPr>
      <w:keepNext/>
      <w:keepLines/>
      <w:numPr>
        <w:ilvl w:val="2"/>
        <w:numId w:val="1"/>
      </w:numPr>
      <w:spacing w:after="120"/>
      <w:ind w:left="0" w:firstLine="0"/>
      <w:outlineLvl w:val="2"/>
    </w:pPr>
    <w:rPr>
      <w:rFonts w:asciiTheme="majorHAnsi" w:eastAsiaTheme="majorEastAsia" w:hAnsiTheme="majorHAnsi" w:cstheme="majorBidi"/>
      <w:b/>
      <w:bCs/>
      <w:sz w:val="28"/>
    </w:rPr>
  </w:style>
  <w:style w:type="paragraph" w:styleId="Kop4">
    <w:name w:val="heading 4"/>
    <w:basedOn w:val="Standaard"/>
    <w:next w:val="Standaard"/>
    <w:link w:val="Kop4Char"/>
    <w:uiPriority w:val="9"/>
    <w:unhideWhenUsed/>
    <w:qFormat/>
    <w:rsid w:val="00085121"/>
    <w:pPr>
      <w:keepNext/>
      <w:keepLines/>
      <w:numPr>
        <w:ilvl w:val="3"/>
        <w:numId w:val="1"/>
      </w:numPr>
      <w:spacing w:after="120"/>
      <w:ind w:left="0" w:firstLine="0"/>
      <w:outlineLvl w:val="3"/>
    </w:pPr>
    <w:rPr>
      <w:rFonts w:asciiTheme="majorHAnsi" w:eastAsiaTheme="majorEastAsia" w:hAnsiTheme="majorHAnsi" w:cstheme="majorBidi"/>
      <w:bCs/>
      <w:iCs/>
      <w:color w:val="auto"/>
      <w:sz w:val="24"/>
    </w:rPr>
  </w:style>
  <w:style w:type="paragraph" w:styleId="Kop5">
    <w:name w:val="heading 5"/>
    <w:basedOn w:val="Standaard"/>
    <w:next w:val="Standaard"/>
    <w:link w:val="Kop5Char"/>
    <w:uiPriority w:val="9"/>
    <w:unhideWhenUsed/>
    <w:rsid w:val="00085121"/>
    <w:pPr>
      <w:keepNext/>
      <w:keepLines/>
      <w:numPr>
        <w:ilvl w:val="4"/>
        <w:numId w:val="1"/>
      </w:numPr>
      <w:spacing w:after="120"/>
      <w:ind w:left="0" w:firstLine="0"/>
      <w:outlineLvl w:val="4"/>
    </w:pPr>
    <w:rPr>
      <w:rFonts w:asciiTheme="majorHAnsi" w:eastAsiaTheme="majorEastAsia" w:hAnsiTheme="majorHAnsi" w:cstheme="majorBidi"/>
      <w:sz w:val="24"/>
    </w:rPr>
  </w:style>
  <w:style w:type="paragraph" w:styleId="Kop6">
    <w:name w:val="heading 6"/>
    <w:basedOn w:val="Standaard"/>
    <w:next w:val="Standaard"/>
    <w:link w:val="Kop6Char"/>
    <w:uiPriority w:val="9"/>
    <w:unhideWhenUsed/>
    <w:rsid w:val="00085121"/>
    <w:pPr>
      <w:keepNext/>
      <w:keepLines/>
      <w:numPr>
        <w:ilvl w:val="5"/>
        <w:numId w:val="1"/>
      </w:numPr>
      <w:spacing w:after="120"/>
      <w:ind w:left="0" w:firstLine="0"/>
      <w:outlineLvl w:val="5"/>
    </w:pPr>
    <w:rPr>
      <w:rFonts w:asciiTheme="majorHAnsi" w:eastAsiaTheme="majorEastAsia" w:hAnsiTheme="majorHAnsi" w:cstheme="majorBidi"/>
      <w:iCs/>
      <w:sz w:val="24"/>
    </w:rPr>
  </w:style>
  <w:style w:type="paragraph" w:styleId="Kop7">
    <w:name w:val="heading 7"/>
    <w:basedOn w:val="Standaard"/>
    <w:next w:val="Standaard"/>
    <w:link w:val="Kop7Char"/>
    <w:uiPriority w:val="9"/>
    <w:unhideWhenUsed/>
    <w:rsid w:val="00085121"/>
    <w:pPr>
      <w:keepNext/>
      <w:keepLines/>
      <w:numPr>
        <w:ilvl w:val="6"/>
        <w:numId w:val="1"/>
      </w:numPr>
      <w:spacing w:after="120"/>
      <w:ind w:left="0" w:firstLine="0"/>
      <w:outlineLvl w:val="6"/>
    </w:pPr>
    <w:rPr>
      <w:rFonts w:asciiTheme="majorHAnsi" w:eastAsiaTheme="majorEastAsia" w:hAnsiTheme="majorHAnsi" w:cstheme="majorBidi"/>
      <w:iCs/>
      <w:sz w:val="24"/>
    </w:rPr>
  </w:style>
  <w:style w:type="paragraph" w:styleId="Kop8">
    <w:name w:val="heading 8"/>
    <w:basedOn w:val="Standaard"/>
    <w:next w:val="Standaard"/>
    <w:link w:val="Kop8Char"/>
    <w:uiPriority w:val="9"/>
    <w:unhideWhenUsed/>
    <w:rsid w:val="00085121"/>
    <w:pPr>
      <w:keepNext/>
      <w:keepLines/>
      <w:numPr>
        <w:ilvl w:val="7"/>
        <w:numId w:val="1"/>
      </w:numPr>
      <w:spacing w:after="120"/>
      <w:ind w:left="0" w:firstLine="0"/>
      <w:outlineLvl w:val="7"/>
    </w:pPr>
    <w:rPr>
      <w:rFonts w:asciiTheme="majorHAnsi" w:eastAsiaTheme="majorEastAsia" w:hAnsiTheme="majorHAnsi" w:cstheme="majorBidi"/>
      <w:sz w:val="24"/>
      <w:szCs w:val="20"/>
    </w:rPr>
  </w:style>
  <w:style w:type="paragraph" w:styleId="Kop9">
    <w:name w:val="heading 9"/>
    <w:basedOn w:val="Standaard"/>
    <w:next w:val="Standaard"/>
    <w:link w:val="Kop9Char"/>
    <w:uiPriority w:val="9"/>
    <w:unhideWhenUsed/>
    <w:rsid w:val="00085121"/>
    <w:pPr>
      <w:keepNext/>
      <w:keepLines/>
      <w:numPr>
        <w:ilvl w:val="8"/>
        <w:numId w:val="1"/>
      </w:numPr>
      <w:spacing w:after="120"/>
      <w:ind w:left="0" w:firstLine="0"/>
      <w:outlineLvl w:val="8"/>
    </w:pPr>
    <w:rPr>
      <w:rFonts w:asciiTheme="majorHAnsi" w:eastAsiaTheme="majorEastAsia" w:hAnsiTheme="majorHAnsi" w:cstheme="majorBidi"/>
      <w:iCs/>
      <w:sz w:val="2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F6E4E"/>
    <w:pPr>
      <w:ind w:left="113"/>
    </w:pPr>
    <w:rPr>
      <w:color w:val="55575A" w:themeColor="text2"/>
      <w:szCs w:val="20"/>
    </w:rPr>
    <w:tblPr>
      <w:tblBorders>
        <w:bottom w:val="single" w:sz="8" w:space="0" w:color="E4610F" w:themeColor="background2"/>
        <w:insideH w:val="single" w:sz="2" w:space="0" w:color="55575A" w:themeColor="text2"/>
      </w:tblBorders>
      <w:tblCellMar>
        <w:top w:w="113" w:type="dxa"/>
        <w:left w:w="0" w:type="dxa"/>
        <w:bottom w:w="113" w:type="dxa"/>
        <w:right w:w="0" w:type="dxa"/>
      </w:tblCellMar>
    </w:tblPr>
    <w:tcPr>
      <w:vAlign w:val="center"/>
    </w:tcPr>
    <w:tblStylePr w:type="firstRow">
      <w:pPr>
        <w:spacing w:before="113"/>
      </w:pPr>
      <w:rPr>
        <w:b/>
        <w:color w:val="FFFFFF" w:themeColor="background1"/>
        <w:sz w:val="20"/>
      </w:rPr>
      <w:tblPr/>
      <w:tcPr>
        <w:tcBorders>
          <w:top w:val="nil"/>
          <w:left w:val="nil"/>
          <w:bottom w:val="single" w:sz="4" w:space="0" w:color="FFFFFF" w:themeColor="background1"/>
          <w:right w:val="nil"/>
          <w:insideH w:val="nil"/>
          <w:insideV w:val="single" w:sz="24" w:space="0" w:color="FFFFFF" w:themeColor="background1"/>
          <w:tl2br w:val="nil"/>
          <w:tr2bl w:val="nil"/>
        </w:tcBorders>
        <w:shd w:val="clear" w:color="auto" w:fill="E4610F" w:themeFill="background2"/>
        <w:tcMar>
          <w:top w:w="0" w:type="dxa"/>
          <w:left w:w="0" w:type="nil"/>
          <w:bottom w:w="0" w:type="nil"/>
          <w:right w:w="0" w:type="nil"/>
        </w:tcMar>
      </w:tcPr>
    </w:tblStylePr>
  </w:style>
  <w:style w:type="paragraph" w:customStyle="1" w:styleId="ArcadisDocumentInformation">
    <w:name w:val="Arcadis_DocumentInformation"/>
    <w:basedOn w:val="Standaard"/>
    <w:rsid w:val="00A9511F"/>
    <w:rPr>
      <w:sz w:val="16"/>
      <w:lang w:val="en-US"/>
    </w:rPr>
  </w:style>
  <w:style w:type="paragraph" w:styleId="Ballontekst">
    <w:name w:val="Balloon Text"/>
    <w:basedOn w:val="Standaard"/>
    <w:link w:val="BallontekstChar"/>
    <w:uiPriority w:val="99"/>
    <w:semiHidden/>
    <w:unhideWhenUsed/>
    <w:rsid w:val="00A9511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9511F"/>
    <w:rPr>
      <w:rFonts w:ascii="Tahoma" w:hAnsi="Tahoma" w:cs="Tahoma"/>
      <w:sz w:val="16"/>
      <w:szCs w:val="16"/>
    </w:rPr>
  </w:style>
  <w:style w:type="paragraph" w:styleId="Koptekst">
    <w:name w:val="header"/>
    <w:basedOn w:val="Standaard"/>
    <w:link w:val="KoptekstChar"/>
    <w:unhideWhenUsed/>
    <w:rsid w:val="00A951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9511F"/>
  </w:style>
  <w:style w:type="paragraph" w:styleId="Voettekst">
    <w:name w:val="footer"/>
    <w:basedOn w:val="Standaard"/>
    <w:link w:val="VoettekstChar"/>
    <w:uiPriority w:val="99"/>
    <w:unhideWhenUsed/>
    <w:rsid w:val="00E15026"/>
    <w:pPr>
      <w:tabs>
        <w:tab w:val="center" w:pos="4536"/>
        <w:tab w:val="right" w:pos="9072"/>
      </w:tabs>
    </w:pPr>
  </w:style>
  <w:style w:type="character" w:customStyle="1" w:styleId="VoettekstChar">
    <w:name w:val="Voettekst Char"/>
    <w:basedOn w:val="Standaardalinea-lettertype"/>
    <w:link w:val="Voettekst"/>
    <w:uiPriority w:val="99"/>
    <w:rsid w:val="00E15026"/>
    <w:rPr>
      <w:sz w:val="18"/>
    </w:rPr>
  </w:style>
  <w:style w:type="paragraph" w:customStyle="1" w:styleId="ArcadisLogoFrontPage">
    <w:name w:val="Arcadis_LogoFrontPage"/>
    <w:basedOn w:val="Standaard"/>
    <w:rsid w:val="00001B11"/>
    <w:pPr>
      <w:framePr w:w="5642" w:h="437" w:wrap="around" w:vAnchor="page" w:hAnchor="page" w:xAlign="right" w:y="908"/>
    </w:pPr>
  </w:style>
  <w:style w:type="paragraph" w:customStyle="1" w:styleId="ArcadisDocumentTitle">
    <w:name w:val="Arcadis_DocumentTitle"/>
    <w:basedOn w:val="Standaard"/>
    <w:rsid w:val="007014CD"/>
    <w:pPr>
      <w:framePr w:h="567" w:wrap="around" w:vAnchor="page" w:hAnchor="margin" w:y="922"/>
    </w:pPr>
  </w:style>
  <w:style w:type="paragraph" w:customStyle="1" w:styleId="ArcadisDocumentDirectory">
    <w:name w:val="Arcadis_DocumentDirectory"/>
    <w:basedOn w:val="Voettekst"/>
    <w:rsid w:val="00E417EF"/>
    <w:pPr>
      <w:spacing w:before="100" w:line="180" w:lineRule="atLeast"/>
    </w:pPr>
    <w:rPr>
      <w:sz w:val="10"/>
    </w:rPr>
  </w:style>
  <w:style w:type="paragraph" w:customStyle="1" w:styleId="ArcadisDisclaimer">
    <w:name w:val="Arcadis_Disclaimer"/>
    <w:basedOn w:val="Voettekst"/>
    <w:rsid w:val="00480336"/>
    <w:pPr>
      <w:spacing w:before="100" w:line="180" w:lineRule="atLeast"/>
    </w:pPr>
    <w:rPr>
      <w:sz w:val="14"/>
    </w:rPr>
  </w:style>
  <w:style w:type="character" w:customStyle="1" w:styleId="Kop1Char">
    <w:name w:val="Kop 1 Char"/>
    <w:basedOn w:val="Standaardalinea-lettertype"/>
    <w:link w:val="Kop1"/>
    <w:uiPriority w:val="9"/>
    <w:rsid w:val="00CD219F"/>
    <w:rPr>
      <w:rFonts w:asciiTheme="majorHAnsi" w:eastAsiaTheme="majorEastAsia" w:hAnsiTheme="majorHAnsi" w:cstheme="majorBidi"/>
      <w:b/>
      <w:bCs/>
      <w:caps/>
      <w:color w:val="E4610F" w:themeColor="background2"/>
      <w:sz w:val="32"/>
      <w:szCs w:val="28"/>
    </w:rPr>
  </w:style>
  <w:style w:type="character" w:customStyle="1" w:styleId="Kop2Char">
    <w:name w:val="Kop 2 Char"/>
    <w:basedOn w:val="Standaardalinea-lettertype"/>
    <w:link w:val="Kop2"/>
    <w:uiPriority w:val="9"/>
    <w:rsid w:val="00CD219F"/>
    <w:rPr>
      <w:rFonts w:asciiTheme="majorHAnsi" w:eastAsiaTheme="majorEastAsia" w:hAnsiTheme="majorHAnsi" w:cstheme="majorBidi"/>
      <w:b/>
      <w:bCs/>
      <w:color w:val="E4610F" w:themeColor="background2"/>
      <w:sz w:val="28"/>
      <w:szCs w:val="26"/>
    </w:rPr>
  </w:style>
  <w:style w:type="character" w:customStyle="1" w:styleId="Kop3Char">
    <w:name w:val="Kop 3 Char"/>
    <w:basedOn w:val="Standaardalinea-lettertype"/>
    <w:link w:val="Kop3"/>
    <w:uiPriority w:val="9"/>
    <w:rsid w:val="00373087"/>
    <w:rPr>
      <w:rFonts w:asciiTheme="majorHAnsi" w:eastAsiaTheme="majorEastAsia" w:hAnsiTheme="majorHAnsi" w:cstheme="majorBidi"/>
      <w:b/>
      <w:bCs/>
      <w:sz w:val="28"/>
      <w:lang w:val="en-GB"/>
    </w:rPr>
  </w:style>
  <w:style w:type="character" w:customStyle="1" w:styleId="Kop4Char">
    <w:name w:val="Kop 4 Char"/>
    <w:basedOn w:val="Standaardalinea-lettertype"/>
    <w:link w:val="Kop4"/>
    <w:uiPriority w:val="9"/>
    <w:rsid w:val="00085121"/>
    <w:rPr>
      <w:rFonts w:asciiTheme="majorHAnsi" w:eastAsiaTheme="majorEastAsia" w:hAnsiTheme="majorHAnsi" w:cstheme="majorBidi"/>
      <w:bCs/>
      <w:iCs/>
      <w:color w:val="auto"/>
      <w:sz w:val="24"/>
      <w:lang w:val="en-GB"/>
    </w:rPr>
  </w:style>
  <w:style w:type="character" w:customStyle="1" w:styleId="Kop5Char">
    <w:name w:val="Kop 5 Char"/>
    <w:basedOn w:val="Standaardalinea-lettertype"/>
    <w:link w:val="Kop5"/>
    <w:uiPriority w:val="9"/>
    <w:rsid w:val="00085121"/>
    <w:rPr>
      <w:rFonts w:asciiTheme="majorHAnsi" w:eastAsiaTheme="majorEastAsia" w:hAnsiTheme="majorHAnsi" w:cstheme="majorBidi"/>
      <w:sz w:val="24"/>
      <w:lang w:val="en-GB"/>
    </w:rPr>
  </w:style>
  <w:style w:type="character" w:customStyle="1" w:styleId="Kop6Char">
    <w:name w:val="Kop 6 Char"/>
    <w:basedOn w:val="Standaardalinea-lettertype"/>
    <w:link w:val="Kop6"/>
    <w:uiPriority w:val="9"/>
    <w:rsid w:val="00085121"/>
    <w:rPr>
      <w:rFonts w:asciiTheme="majorHAnsi" w:eastAsiaTheme="majorEastAsia" w:hAnsiTheme="majorHAnsi" w:cstheme="majorBidi"/>
      <w:iCs/>
      <w:sz w:val="24"/>
      <w:lang w:val="en-GB"/>
    </w:rPr>
  </w:style>
  <w:style w:type="character" w:customStyle="1" w:styleId="Kop7Char">
    <w:name w:val="Kop 7 Char"/>
    <w:basedOn w:val="Standaardalinea-lettertype"/>
    <w:link w:val="Kop7"/>
    <w:uiPriority w:val="9"/>
    <w:rsid w:val="00085121"/>
    <w:rPr>
      <w:rFonts w:asciiTheme="majorHAnsi" w:eastAsiaTheme="majorEastAsia" w:hAnsiTheme="majorHAnsi" w:cstheme="majorBidi"/>
      <w:iCs/>
      <w:sz w:val="24"/>
      <w:lang w:val="en-GB"/>
    </w:rPr>
  </w:style>
  <w:style w:type="character" w:customStyle="1" w:styleId="Kop8Char">
    <w:name w:val="Kop 8 Char"/>
    <w:basedOn w:val="Standaardalinea-lettertype"/>
    <w:link w:val="Kop8"/>
    <w:uiPriority w:val="9"/>
    <w:rsid w:val="00085121"/>
    <w:rPr>
      <w:rFonts w:asciiTheme="majorHAnsi" w:eastAsiaTheme="majorEastAsia" w:hAnsiTheme="majorHAnsi" w:cstheme="majorBidi"/>
      <w:sz w:val="24"/>
      <w:szCs w:val="20"/>
      <w:lang w:val="en-GB"/>
    </w:rPr>
  </w:style>
  <w:style w:type="character" w:customStyle="1" w:styleId="Kop9Char">
    <w:name w:val="Kop 9 Char"/>
    <w:basedOn w:val="Standaardalinea-lettertype"/>
    <w:link w:val="Kop9"/>
    <w:uiPriority w:val="9"/>
    <w:rsid w:val="00085121"/>
    <w:rPr>
      <w:rFonts w:asciiTheme="majorHAnsi" w:eastAsiaTheme="majorEastAsia" w:hAnsiTheme="majorHAnsi" w:cstheme="majorBidi"/>
      <w:iCs/>
      <w:sz w:val="24"/>
      <w:szCs w:val="20"/>
      <w:lang w:val="en-GB"/>
    </w:rPr>
  </w:style>
  <w:style w:type="numbering" w:customStyle="1" w:styleId="ArcadisBullet">
    <w:name w:val="Arcadis_Bullet"/>
    <w:basedOn w:val="Geenlijst"/>
    <w:uiPriority w:val="99"/>
    <w:rsid w:val="001930A9"/>
    <w:pPr>
      <w:numPr>
        <w:numId w:val="4"/>
      </w:numPr>
    </w:pPr>
  </w:style>
  <w:style w:type="paragraph" w:styleId="Lijstalinea">
    <w:name w:val="List Paragraph"/>
    <w:basedOn w:val="Standaard"/>
    <w:uiPriority w:val="34"/>
    <w:rsid w:val="00D20DD7"/>
    <w:pPr>
      <w:ind w:left="720"/>
      <w:contextualSpacing/>
    </w:pPr>
  </w:style>
  <w:style w:type="paragraph" w:customStyle="1" w:styleId="ArcadisListBullet">
    <w:name w:val="Arcadis_ListBullet"/>
    <w:basedOn w:val="Standaard"/>
    <w:qFormat/>
    <w:rsid w:val="00830F55"/>
    <w:pPr>
      <w:numPr>
        <w:numId w:val="23"/>
      </w:numPr>
      <w:spacing w:after="60"/>
      <w:contextualSpacing/>
    </w:pPr>
  </w:style>
  <w:style w:type="numbering" w:customStyle="1" w:styleId="ArcadisNumber">
    <w:name w:val="Arcadis_Number"/>
    <w:basedOn w:val="Geenlijst"/>
    <w:uiPriority w:val="99"/>
    <w:rsid w:val="001930A9"/>
    <w:pPr>
      <w:numPr>
        <w:numId w:val="6"/>
      </w:numPr>
    </w:pPr>
  </w:style>
  <w:style w:type="paragraph" w:customStyle="1" w:styleId="ArcadisListNumber">
    <w:name w:val="Arcadis_ListNumber"/>
    <w:basedOn w:val="Lijstalinea"/>
    <w:qFormat/>
    <w:rsid w:val="00830F55"/>
    <w:pPr>
      <w:numPr>
        <w:numId w:val="25"/>
      </w:numPr>
      <w:spacing w:after="60"/>
    </w:pPr>
  </w:style>
  <w:style w:type="numbering" w:customStyle="1" w:styleId="ArcadisLetter">
    <w:name w:val="Arcadis_Letter"/>
    <w:basedOn w:val="Geenlijst"/>
    <w:uiPriority w:val="99"/>
    <w:rsid w:val="001930A9"/>
    <w:pPr>
      <w:numPr>
        <w:numId w:val="13"/>
      </w:numPr>
    </w:pPr>
  </w:style>
  <w:style w:type="paragraph" w:customStyle="1" w:styleId="ArcadisListLetter">
    <w:name w:val="Arcadis_ListLetter"/>
    <w:basedOn w:val="Standaard"/>
    <w:qFormat/>
    <w:rsid w:val="00830F55"/>
    <w:pPr>
      <w:numPr>
        <w:numId w:val="24"/>
      </w:numPr>
      <w:spacing w:after="60"/>
      <w:contextualSpacing/>
    </w:pPr>
  </w:style>
  <w:style w:type="numbering" w:customStyle="1" w:styleId="ArcadisBulletOrange">
    <w:name w:val="Arcadis_BulletOrange"/>
    <w:basedOn w:val="Geenlijst"/>
    <w:uiPriority w:val="99"/>
    <w:rsid w:val="001930A9"/>
    <w:pPr>
      <w:numPr>
        <w:numId w:val="17"/>
      </w:numPr>
    </w:pPr>
  </w:style>
  <w:style w:type="paragraph" w:customStyle="1" w:styleId="ArcadisListBulletOrange">
    <w:name w:val="Arcadis_ListBulletOrange"/>
    <w:basedOn w:val="Standaard"/>
    <w:qFormat/>
    <w:rsid w:val="00830F55"/>
    <w:pPr>
      <w:numPr>
        <w:numId w:val="35"/>
      </w:numPr>
      <w:spacing w:after="60"/>
      <w:contextualSpacing/>
    </w:pPr>
  </w:style>
  <w:style w:type="numbering" w:customStyle="1" w:styleId="ArcadisNumberOrange">
    <w:name w:val="Arcadis_NumberOrange"/>
    <w:basedOn w:val="Geenlijst"/>
    <w:uiPriority w:val="99"/>
    <w:rsid w:val="00373087"/>
    <w:pPr>
      <w:numPr>
        <w:numId w:val="26"/>
      </w:numPr>
    </w:pPr>
  </w:style>
  <w:style w:type="paragraph" w:customStyle="1" w:styleId="ArcadisListNumberOrange">
    <w:name w:val="Arcadis_ListNumberOrange"/>
    <w:basedOn w:val="Lijstalinea"/>
    <w:qFormat/>
    <w:rsid w:val="00830F55"/>
    <w:pPr>
      <w:numPr>
        <w:numId w:val="37"/>
      </w:numPr>
      <w:spacing w:after="60"/>
    </w:pPr>
  </w:style>
  <w:style w:type="numbering" w:customStyle="1" w:styleId="ArcadisLetterOrange">
    <w:name w:val="Arcadis_LetterOrange"/>
    <w:basedOn w:val="Geenlijst"/>
    <w:uiPriority w:val="99"/>
    <w:rsid w:val="00373087"/>
    <w:pPr>
      <w:numPr>
        <w:numId w:val="29"/>
      </w:numPr>
    </w:pPr>
  </w:style>
  <w:style w:type="paragraph" w:customStyle="1" w:styleId="ArcadisListLetterOrange">
    <w:name w:val="Arcadis_ListLetterOrange"/>
    <w:basedOn w:val="Standaard"/>
    <w:qFormat/>
    <w:rsid w:val="00830F55"/>
    <w:pPr>
      <w:numPr>
        <w:numId w:val="36"/>
      </w:numPr>
      <w:spacing w:after="60"/>
      <w:contextualSpacing/>
    </w:pPr>
  </w:style>
  <w:style w:type="paragraph" w:customStyle="1" w:styleId="ArcadisUnnumberedHeading1">
    <w:name w:val="Arcadis_UnnumberedHeading1"/>
    <w:basedOn w:val="Standaard"/>
    <w:next w:val="Standaard"/>
    <w:qFormat/>
    <w:rsid w:val="000E0920"/>
    <w:pPr>
      <w:keepNext/>
      <w:keepLines/>
      <w:pageBreakBefore/>
      <w:spacing w:after="120"/>
    </w:pPr>
    <w:rPr>
      <w:b/>
      <w:caps/>
      <w:color w:val="E4610F" w:themeColor="background2"/>
      <w:sz w:val="32"/>
    </w:rPr>
  </w:style>
  <w:style w:type="paragraph" w:customStyle="1" w:styleId="ArcadisUnnumberedHeading2">
    <w:name w:val="Arcadis_UnnumberedHeading2"/>
    <w:basedOn w:val="Standaard"/>
    <w:next w:val="Standaard"/>
    <w:qFormat/>
    <w:rsid w:val="00CD219F"/>
    <w:pPr>
      <w:keepNext/>
      <w:keepLines/>
      <w:spacing w:after="120"/>
    </w:pPr>
    <w:rPr>
      <w:b/>
      <w:color w:val="E4610F" w:themeColor="background2"/>
      <w:sz w:val="28"/>
    </w:rPr>
  </w:style>
  <w:style w:type="paragraph" w:customStyle="1" w:styleId="ArcadisUnnumberedHeading3">
    <w:name w:val="Arcadis_UnnumberedHeading3"/>
    <w:basedOn w:val="Standaard"/>
    <w:next w:val="Standaard"/>
    <w:qFormat/>
    <w:rsid w:val="005A2AEC"/>
    <w:pPr>
      <w:keepNext/>
      <w:keepLines/>
      <w:spacing w:after="120"/>
    </w:pPr>
    <w:rPr>
      <w:b/>
      <w:sz w:val="24"/>
    </w:rPr>
  </w:style>
  <w:style w:type="paragraph" w:customStyle="1" w:styleId="ArcadisUnnumberedHeading4">
    <w:name w:val="Arcadis_UnnumberedHeading4"/>
    <w:basedOn w:val="Standaard"/>
    <w:next w:val="Standaard"/>
    <w:qFormat/>
    <w:rsid w:val="005A2AEC"/>
    <w:pPr>
      <w:keepNext/>
      <w:keepLines/>
      <w:spacing w:after="120"/>
    </w:pPr>
    <w:rPr>
      <w:sz w:val="24"/>
    </w:rPr>
  </w:style>
  <w:style w:type="paragraph" w:customStyle="1" w:styleId="ArcadisDataHead">
    <w:name w:val="Arcadis_DataHead"/>
    <w:basedOn w:val="Standaard"/>
    <w:next w:val="Standaard"/>
    <w:rsid w:val="00AF639D"/>
    <w:pPr>
      <w:spacing w:line="200" w:lineRule="atLeast"/>
    </w:pPr>
    <w:rPr>
      <w:b/>
      <w:caps/>
      <w:sz w:val="14"/>
    </w:rPr>
  </w:style>
  <w:style w:type="paragraph" w:customStyle="1" w:styleId="ArcadisDataValue">
    <w:name w:val="Arcadis_DataValue"/>
    <w:basedOn w:val="Standaard"/>
    <w:rsid w:val="00C64C8A"/>
    <w:pPr>
      <w:spacing w:after="100" w:line="200" w:lineRule="atLeast"/>
      <w:contextualSpacing/>
    </w:pPr>
    <w:rPr>
      <w:sz w:val="16"/>
    </w:rPr>
  </w:style>
  <w:style w:type="paragraph" w:customStyle="1" w:styleId="ArcadisDataValueBold">
    <w:name w:val="Arcadis_DataValueBold"/>
    <w:basedOn w:val="ArcadisDataValue"/>
    <w:next w:val="ArcadisDataValue"/>
    <w:rsid w:val="00345154"/>
    <w:rPr>
      <w:b/>
    </w:rPr>
  </w:style>
  <w:style w:type="numbering" w:customStyle="1" w:styleId="ArcadisItem">
    <w:name w:val="Arcadis_Item"/>
    <w:basedOn w:val="Geenlijst"/>
    <w:uiPriority w:val="99"/>
    <w:rsid w:val="008F7EA7"/>
    <w:pPr>
      <w:numPr>
        <w:numId w:val="32"/>
      </w:numPr>
    </w:pPr>
  </w:style>
  <w:style w:type="paragraph" w:customStyle="1" w:styleId="ArcadisListItem">
    <w:name w:val="Arcadis_ListItem"/>
    <w:basedOn w:val="Standaard"/>
    <w:qFormat/>
    <w:rsid w:val="00AC6917"/>
    <w:pPr>
      <w:numPr>
        <w:numId w:val="34"/>
      </w:numPr>
    </w:pPr>
    <w:rPr>
      <w:sz w:val="16"/>
    </w:rPr>
  </w:style>
  <w:style w:type="paragraph" w:customStyle="1" w:styleId="ArcadisInformation">
    <w:name w:val="Arcadis_Information"/>
    <w:basedOn w:val="Standaard"/>
    <w:rsid w:val="009832EB"/>
    <w:pPr>
      <w:framePr w:w="2098" w:wrap="around" w:hAnchor="page" w:xAlign="right" w:yAlign="top"/>
    </w:pPr>
    <w:rPr>
      <w:sz w:val="16"/>
      <w:lang w:val="en-US"/>
    </w:rPr>
  </w:style>
  <w:style w:type="paragraph" w:customStyle="1" w:styleId="ArcadisLogoNextPage">
    <w:name w:val="Arcadis_LogoNextPage"/>
    <w:basedOn w:val="Standaard"/>
    <w:rsid w:val="00F34796"/>
    <w:pPr>
      <w:framePr w:w="5642" w:h="437" w:wrap="around" w:vAnchor="page" w:hAnchor="page" w:xAlign="right" w:y="908"/>
    </w:pPr>
  </w:style>
  <w:style w:type="character" w:customStyle="1" w:styleId="ArcadisDisclaimerWebsite">
    <w:name w:val="Arcadis_DisclaimerWebsite"/>
    <w:basedOn w:val="Standaardalinea-lettertype"/>
    <w:uiPriority w:val="1"/>
    <w:rsid w:val="00CD219F"/>
    <w:rPr>
      <w:b/>
      <w:color w:val="E4610F" w:themeColor="background2"/>
    </w:rPr>
  </w:style>
  <w:style w:type="paragraph" w:customStyle="1" w:styleId="ArcadisFooterContinuationPage">
    <w:name w:val="Arcadis_FooterContinuationPage"/>
    <w:basedOn w:val="ArcadisDisclaimer"/>
    <w:rsid w:val="00983923"/>
    <w:pPr>
      <w:spacing w:before="0"/>
    </w:pPr>
  </w:style>
  <w:style w:type="paragraph" w:customStyle="1" w:styleId="ArcadisDataValueSpacer">
    <w:name w:val="Arcadis_DataValueSpacer"/>
    <w:basedOn w:val="ArcadisDataValue"/>
    <w:rsid w:val="00AF4B75"/>
    <w:pPr>
      <w:spacing w:line="100" w:lineRule="exact"/>
    </w:pPr>
    <w:rPr>
      <w:lang w:val="en-US"/>
    </w:rPr>
  </w:style>
  <w:style w:type="paragraph" w:styleId="Bijschrift">
    <w:name w:val="caption"/>
    <w:basedOn w:val="Standaard"/>
    <w:next w:val="Standaard"/>
    <w:uiPriority w:val="35"/>
    <w:unhideWhenUsed/>
    <w:qFormat/>
    <w:rsid w:val="00A5012C"/>
    <w:pPr>
      <w:spacing w:line="200" w:lineRule="atLeast"/>
    </w:pPr>
    <w:rPr>
      <w:bCs/>
      <w:i/>
      <w:color w:val="auto"/>
      <w:lang w:val="en-US"/>
    </w:rPr>
  </w:style>
  <w:style w:type="paragraph" w:styleId="Lijstmetafbeeldingen">
    <w:name w:val="table of figures"/>
    <w:basedOn w:val="Standaard"/>
    <w:next w:val="Standaard"/>
    <w:uiPriority w:val="99"/>
    <w:unhideWhenUsed/>
    <w:rsid w:val="00BF6F9A"/>
    <w:pPr>
      <w:tabs>
        <w:tab w:val="right" w:pos="5670"/>
      </w:tabs>
      <w:spacing w:after="120" w:line="240" w:lineRule="atLeast"/>
    </w:pPr>
    <w:rPr>
      <w:color w:val="auto"/>
      <w:sz w:val="20"/>
      <w:szCs w:val="20"/>
      <w:lang w:val="en-US"/>
    </w:rPr>
  </w:style>
  <w:style w:type="paragraph" w:styleId="Titel">
    <w:name w:val="Title"/>
    <w:basedOn w:val="Standaard"/>
    <w:link w:val="TitelChar"/>
    <w:qFormat/>
    <w:rsid w:val="00AF117A"/>
    <w:pPr>
      <w:spacing w:line="600" w:lineRule="atLeast"/>
    </w:pPr>
    <w:rPr>
      <w:rFonts w:ascii="Georgia" w:eastAsia="Times New Roman" w:hAnsi="Georgia" w:cs="Times New Roman"/>
      <w:color w:val="auto"/>
      <w:kern w:val="28"/>
      <w:sz w:val="54"/>
      <w:szCs w:val="32"/>
    </w:rPr>
  </w:style>
  <w:style w:type="character" w:customStyle="1" w:styleId="TitelChar">
    <w:name w:val="Titel Char"/>
    <w:basedOn w:val="Standaardalinea-lettertype"/>
    <w:link w:val="Titel"/>
    <w:rsid w:val="00AF117A"/>
    <w:rPr>
      <w:rFonts w:ascii="Georgia" w:eastAsia="Times New Roman" w:hAnsi="Georgia" w:cs="Times New Roman"/>
      <w:color w:val="auto"/>
      <w:kern w:val="28"/>
      <w:sz w:val="54"/>
      <w:szCs w:val="32"/>
    </w:rPr>
  </w:style>
  <w:style w:type="paragraph" w:customStyle="1" w:styleId="Subtitel">
    <w:name w:val="Subtitel"/>
    <w:basedOn w:val="Standaard"/>
    <w:qFormat/>
    <w:rsid w:val="00AF117A"/>
    <w:pPr>
      <w:spacing w:line="480" w:lineRule="atLeast"/>
    </w:pPr>
    <w:rPr>
      <w:rFonts w:ascii="Georgia" w:eastAsia="Times New Roman" w:hAnsi="Georgia" w:cs="Times New Roman"/>
      <w:i/>
      <w:color w:val="auto"/>
      <w:sz w:val="36"/>
      <w:szCs w:val="24"/>
    </w:rPr>
  </w:style>
  <w:style w:type="paragraph" w:styleId="Inhopg1">
    <w:name w:val="toc 1"/>
    <w:basedOn w:val="Standaard"/>
    <w:next w:val="Standaard"/>
    <w:uiPriority w:val="39"/>
    <w:rsid w:val="00AF117A"/>
    <w:pPr>
      <w:pBdr>
        <w:top w:val="single" w:sz="4" w:space="0" w:color="auto"/>
      </w:pBdr>
      <w:tabs>
        <w:tab w:val="left" w:pos="743"/>
        <w:tab w:val="right" w:pos="8904"/>
      </w:tabs>
      <w:spacing w:before="480" w:line="240" w:lineRule="atLeast"/>
      <w:ind w:left="744" w:hanging="744"/>
    </w:pPr>
    <w:rPr>
      <w:rFonts w:ascii="Georgia" w:eastAsia="Times New Roman" w:hAnsi="Georgia" w:cs="Times New Roman"/>
      <w:b/>
      <w:noProof/>
      <w:color w:val="auto"/>
      <w:szCs w:val="24"/>
    </w:rPr>
  </w:style>
  <w:style w:type="character" w:styleId="Verwijzingopmerking">
    <w:name w:val="annotation reference"/>
    <w:basedOn w:val="Standaardalinea-lettertype"/>
    <w:uiPriority w:val="99"/>
    <w:semiHidden/>
    <w:unhideWhenUsed/>
    <w:rsid w:val="00E146B8"/>
    <w:rPr>
      <w:sz w:val="16"/>
      <w:szCs w:val="16"/>
    </w:rPr>
  </w:style>
  <w:style w:type="paragraph" w:styleId="Tekstopmerking">
    <w:name w:val="annotation text"/>
    <w:basedOn w:val="Standaard"/>
    <w:link w:val="TekstopmerkingChar"/>
    <w:uiPriority w:val="99"/>
    <w:semiHidden/>
    <w:unhideWhenUsed/>
    <w:rsid w:val="00E146B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146B8"/>
    <w:rPr>
      <w:sz w:val="20"/>
      <w:szCs w:val="20"/>
    </w:rPr>
  </w:style>
  <w:style w:type="paragraph" w:styleId="Onderwerpvanopmerking">
    <w:name w:val="annotation subject"/>
    <w:basedOn w:val="Tekstopmerking"/>
    <w:next w:val="Tekstopmerking"/>
    <w:link w:val="OnderwerpvanopmerkingChar"/>
    <w:uiPriority w:val="99"/>
    <w:semiHidden/>
    <w:unhideWhenUsed/>
    <w:rsid w:val="00E146B8"/>
    <w:rPr>
      <w:b/>
      <w:bCs/>
    </w:rPr>
  </w:style>
  <w:style w:type="character" w:customStyle="1" w:styleId="OnderwerpvanopmerkingChar">
    <w:name w:val="Onderwerp van opmerking Char"/>
    <w:basedOn w:val="TekstopmerkingChar"/>
    <w:link w:val="Onderwerpvanopmerking"/>
    <w:uiPriority w:val="99"/>
    <w:semiHidden/>
    <w:rsid w:val="00E146B8"/>
    <w:rPr>
      <w:b/>
      <w:bCs/>
      <w:sz w:val="20"/>
      <w:szCs w:val="20"/>
    </w:rPr>
  </w:style>
  <w:style w:type="paragraph" w:customStyle="1" w:styleId="list-number">
    <w:name w:val="list-number"/>
    <w:basedOn w:val="Standaard"/>
    <w:uiPriority w:val="8"/>
    <w:qFormat/>
    <w:rsid w:val="0019441F"/>
    <w:pPr>
      <w:keepLines/>
      <w:numPr>
        <w:numId w:val="43"/>
      </w:numPr>
      <w:spacing w:line="280" w:lineRule="atLeast"/>
    </w:pPr>
    <w:rPr>
      <w:rFonts w:ascii="Palatino Linotype" w:eastAsia="Times New Roman" w:hAnsi="Palatino Linotype" w:cs="Times New Roman"/>
      <w:color w:val="auto"/>
      <w:szCs w:val="24"/>
    </w:rPr>
  </w:style>
  <w:style w:type="paragraph" w:styleId="Revisie">
    <w:name w:val="Revision"/>
    <w:hidden/>
    <w:uiPriority w:val="99"/>
    <w:semiHidden/>
    <w:rsid w:val="0068315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694915">
      <w:bodyDiv w:val="1"/>
      <w:marLeft w:val="0"/>
      <w:marRight w:val="0"/>
      <w:marTop w:val="0"/>
      <w:marBottom w:val="0"/>
      <w:divBdr>
        <w:top w:val="none" w:sz="0" w:space="0" w:color="auto"/>
        <w:left w:val="none" w:sz="0" w:space="0" w:color="auto"/>
        <w:bottom w:val="none" w:sz="0" w:space="0" w:color="auto"/>
        <w:right w:val="none" w:sz="0" w:space="0" w:color="auto"/>
      </w:divBdr>
    </w:div>
    <w:div w:id="975262287">
      <w:bodyDiv w:val="1"/>
      <w:marLeft w:val="0"/>
      <w:marRight w:val="0"/>
      <w:marTop w:val="0"/>
      <w:marBottom w:val="0"/>
      <w:divBdr>
        <w:top w:val="none" w:sz="0" w:space="0" w:color="auto"/>
        <w:left w:val="none" w:sz="0" w:space="0" w:color="auto"/>
        <w:bottom w:val="none" w:sz="0" w:space="0" w:color="auto"/>
        <w:right w:val="none" w:sz="0" w:space="0" w:color="auto"/>
      </w:divBdr>
    </w:div>
    <w:div w:id="1460495874">
      <w:bodyDiv w:val="1"/>
      <w:marLeft w:val="0"/>
      <w:marRight w:val="0"/>
      <w:marTop w:val="0"/>
      <w:marBottom w:val="0"/>
      <w:divBdr>
        <w:top w:val="none" w:sz="0" w:space="0" w:color="auto"/>
        <w:left w:val="none" w:sz="0" w:space="0" w:color="auto"/>
        <w:bottom w:val="none" w:sz="0" w:space="0" w:color="auto"/>
        <w:right w:val="none" w:sz="0" w:space="0" w:color="auto"/>
      </w:divBdr>
    </w:div>
    <w:div w:id="149317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7" Type="http://schemas.openxmlformats.org/officeDocument/2006/relationships/image" Target="http://www.rekenkamerbel.nl/Portals/31/Afbeeldingen/logos/logo%20laren%2004.JPG" TargetMode="External"/><Relationship Id="rId2" Type="http://schemas.openxmlformats.org/officeDocument/2006/relationships/hyperlink" Target="http://www.blaricum.nl/" TargetMode="External"/><Relationship Id="rId1" Type="http://schemas.openxmlformats.org/officeDocument/2006/relationships/image" Target="media/image2.jpeg"/><Relationship Id="rId6" Type="http://schemas.openxmlformats.org/officeDocument/2006/relationships/image" Target="media/image4.jpeg"/><Relationship Id="rId5" Type="http://schemas.openxmlformats.org/officeDocument/2006/relationships/hyperlink" Target="http://www.laren.nl/" TargetMode="External"/><Relationship Id="rId4" Type="http://schemas.openxmlformats.org/officeDocument/2006/relationships/image" Target="http://www.rekenkamerbel.nl/Portals/31/Afbeeldingen/logos/Blaricum%2004.JPG" TargetMode="External"/></Relationships>
</file>

<file path=word/theme/theme1.xml><?xml version="1.0" encoding="utf-8"?>
<a:theme xmlns:a="http://schemas.openxmlformats.org/drawingml/2006/main" name="Kantoorthema">
  <a:themeElements>
    <a:clrScheme name="Arcadis">
      <a:dk1>
        <a:srgbClr val="1D1D1D"/>
      </a:dk1>
      <a:lt1>
        <a:srgbClr val="FFFFFF"/>
      </a:lt1>
      <a:dk2>
        <a:srgbClr val="55575A"/>
      </a:dk2>
      <a:lt2>
        <a:srgbClr val="E4610F"/>
      </a:lt2>
      <a:accent1>
        <a:srgbClr val="E4610F"/>
      </a:accent1>
      <a:accent2>
        <a:srgbClr val="1D1D1D"/>
      </a:accent2>
      <a:accent3>
        <a:srgbClr val="B3B3B3"/>
      </a:accent3>
      <a:accent4>
        <a:srgbClr val="0DA642"/>
      </a:accent4>
      <a:accent5>
        <a:srgbClr val="F8DA40"/>
      </a:accent5>
      <a:accent6>
        <a:srgbClr val="00A9E4"/>
      </a:accent6>
      <a:hlink>
        <a:srgbClr val="00A9E4"/>
      </a:hlink>
      <a:folHlink>
        <a:srgbClr val="E41F13"/>
      </a:folHlink>
    </a:clrScheme>
    <a:fontScheme name="Arcadis">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20352-DDF8-495B-95D0-75701ECF7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3599</Words>
  <Characters>19799</Characters>
  <Application>Microsoft Office Word</Application>
  <DocSecurity>4</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Arcadis Nederland B.V.</Company>
  <LinksUpToDate>false</LinksUpToDate>
  <CharactersWithSpaces>23352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Henk Jan Schat</dc:creator>
  <cp:lastModifiedBy>Dirk Klokke</cp:lastModifiedBy>
  <cp:revision>2</cp:revision>
  <cp:lastPrinted>2015-08-13T14:22:00Z</cp:lastPrinted>
  <dcterms:created xsi:type="dcterms:W3CDTF">2016-07-22T10:19:00Z</dcterms:created>
  <dcterms:modified xsi:type="dcterms:W3CDTF">2016-07-22T10:19:00Z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jectleider">
    <vt:lpwstr>Krol, R van de (Robert)</vt:lpwstr>
  </property>
  <property fmtid="{D5CDD505-2E9C-101B-9397-08002B2CF9AE}" pid="3" name="CdpVersienummerklant">
    <vt:lpwstr>A</vt:lpwstr>
  </property>
  <property fmtid="{D5CDD505-2E9C-101B-9397-08002B2CF9AE}" pid="4" name="cdpWBS">
    <vt:lpwstr>D03061.000214.0100</vt:lpwstr>
  </property>
  <property fmtid="{D5CDD505-2E9C-101B-9397-08002B2CF9AE}" pid="5" name="cdpProjectDefinitie">
    <vt:lpwstr>D03061.000214</vt:lpwstr>
  </property>
  <property fmtid="{D5CDD505-2E9C-101B-9397-08002B2CF9AE}" pid="6" name="cdpStatus">
    <vt:lpwstr>Released</vt:lpwstr>
  </property>
  <property fmtid="{D5CDD505-2E9C-101B-9397-08002B2CF9AE}" pid="7" name="cdpGoedgekeurdOp">
    <vt:filetime>2016-07-21T22:00:00Z</vt:filetime>
  </property>
  <property fmtid="{D5CDD505-2E9C-101B-9397-08002B2CF9AE}" pid="8" name="cdpGoedgekeurdDoor">
    <vt:lpwstr>schath</vt:lpwstr>
  </property>
  <property fmtid="{D5CDD505-2E9C-101B-9397-08002B2CF9AE}" pid="9" name="cdpGecontroleerdOp">
    <vt:filetime>2016-07-21T22:00:00Z</vt:filetime>
  </property>
  <property fmtid="{D5CDD505-2E9C-101B-9397-08002B2CF9AE}" pid="10" name="cdpGecontroleerdDoor">
    <vt:lpwstr>schath</vt:lpwstr>
  </property>
  <property fmtid="{D5CDD505-2E9C-101B-9397-08002B2CF9AE}" pid="11" name="cdpCheckindate">
    <vt:filetime>2016-07-22T09:50:05Z</vt:filetime>
  </property>
  <property fmtid="{D5CDD505-2E9C-101B-9397-08002B2CF9AE}" pid="12" name="cdpCheckedInByUser">
    <vt:lpwstr>schath</vt:lpwstr>
  </property>
  <property fmtid="{D5CDD505-2E9C-101B-9397-08002B2CF9AE}" pid="13" name="cdpProjectomschrijving (2)">
    <vt:lpwstr> </vt:lpwstr>
  </property>
  <property fmtid="{D5CDD505-2E9C-101B-9397-08002B2CF9AE}" pid="14" name="cdpProjectomschrijving (1)">
    <vt:lpwstr>Blaricum+Laren OVL uitvoeringsprogramma</vt:lpwstr>
  </property>
  <property fmtid="{D5CDD505-2E9C-101B-9397-08002B2CF9AE}" pid="15" name="cdpOpdrachtgever (2)">
    <vt:lpwstr> </vt:lpwstr>
  </property>
  <property fmtid="{D5CDD505-2E9C-101B-9397-08002B2CF9AE}" pid="16" name="cdpOpdrachtgever (1)">
    <vt:lpwstr>BEL Combinatie</vt:lpwstr>
  </property>
  <property fmtid="{D5CDD505-2E9C-101B-9397-08002B2CF9AE}" pid="17" name="cdpTitel">
    <vt:lpwstr>Bijlage H Annexen</vt:lpwstr>
  </property>
  <property fmtid="{D5CDD505-2E9C-101B-9397-08002B2CF9AE}" pid="18" name="cdpSoort">
    <vt:lpwstr>Contract/Overeenkomst</vt:lpwstr>
  </property>
  <property fmtid="{D5CDD505-2E9C-101B-9397-08002B2CF9AE}" pid="19" name="cdpVersienummer">
    <vt:lpwstr>A</vt:lpwstr>
  </property>
  <property fmtid="{D5CDD505-2E9C-101B-9397-08002B2CF9AE}" pid="20" name="cdpFileNetID">
    <vt:lpwstr>078971694</vt:lpwstr>
  </property>
</Properties>
</file>