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90" w:rsidRPr="00DA770A" w:rsidRDefault="00AB4A34" w:rsidP="00DA770A">
      <w:pPr>
        <w:rPr>
          <w:rStyle w:val="Kop3Char"/>
        </w:rPr>
      </w:pPr>
      <w:r>
        <w:rPr>
          <w:rFonts w:ascii="Verdana" w:hAnsi="Verdana"/>
          <w:b/>
          <w:sz w:val="20"/>
          <w:szCs w:val="20"/>
        </w:rPr>
        <w:t xml:space="preserve">Market Orientation </w:t>
      </w:r>
      <w:r w:rsidR="00592652">
        <w:rPr>
          <w:rFonts w:ascii="Verdana" w:hAnsi="Verdana"/>
          <w:b/>
          <w:sz w:val="20"/>
          <w:szCs w:val="20"/>
        </w:rPr>
        <w:t>for review of Partners for International Business (PIB) programme 2016</w:t>
      </w:r>
      <w:r w:rsidR="00592652">
        <w:rPr>
          <w:rFonts w:ascii="Verdana" w:hAnsi="Verdana"/>
          <w:b/>
          <w:sz w:val="20"/>
          <w:szCs w:val="20"/>
        </w:rPr>
        <w:br/>
      </w:r>
      <w:r w:rsidR="00592652">
        <w:rPr>
          <w:b/>
        </w:rPr>
        <w:br/>
      </w:r>
      <w:r w:rsidR="00592652">
        <w:rPr>
          <w:rStyle w:val="Kop3Char"/>
        </w:rPr>
        <w:t xml:space="preserve">Contents </w:t>
      </w:r>
    </w:p>
    <w:p w:rsidR="00DA770A" w:rsidRPr="00E94178" w:rsidRDefault="00DA770A">
      <w:pPr>
        <w:rPr>
          <w:rFonts w:ascii="Verdana" w:hAnsi="Verdana"/>
          <w:b/>
          <w:sz w:val="18"/>
          <w:szCs w:val="18"/>
        </w:rPr>
      </w:pPr>
    </w:p>
    <w:p w:rsidR="00800D90" w:rsidRPr="00DA770A" w:rsidRDefault="00DA770A" w:rsidP="00DA770A">
      <w:pPr>
        <w:pStyle w:val="Lijstalinea"/>
        <w:numPr>
          <w:ilvl w:val="0"/>
          <w:numId w:val="1"/>
        </w:numPr>
        <w:ind w:left="360"/>
        <w:rPr>
          <w:rFonts w:ascii="Verdana" w:hAnsi="Verdana"/>
          <w:b/>
          <w:sz w:val="18"/>
          <w:szCs w:val="18"/>
        </w:rPr>
      </w:pPr>
      <w:r>
        <w:rPr>
          <w:rFonts w:ascii="Verdana" w:hAnsi="Verdana"/>
          <w:b/>
          <w:sz w:val="18"/>
          <w:szCs w:val="18"/>
        </w:rPr>
        <w:t>Background to the review and description of PIB</w:t>
      </w:r>
    </w:p>
    <w:p w:rsidR="00DA770A" w:rsidRPr="00AB4A34" w:rsidRDefault="00DA770A" w:rsidP="00DA770A">
      <w:pPr>
        <w:rPr>
          <w:rFonts w:ascii="Verdana" w:hAnsi="Verdana"/>
          <w:b/>
          <w:sz w:val="18"/>
          <w:szCs w:val="18"/>
        </w:rPr>
      </w:pPr>
    </w:p>
    <w:p w:rsidR="00DA770A" w:rsidRPr="00DA770A" w:rsidRDefault="002C5980" w:rsidP="00DA770A">
      <w:pPr>
        <w:pStyle w:val="Lijstalinea"/>
        <w:numPr>
          <w:ilvl w:val="0"/>
          <w:numId w:val="1"/>
        </w:numPr>
        <w:ind w:left="360"/>
        <w:rPr>
          <w:rFonts w:ascii="Verdana" w:hAnsi="Verdana"/>
          <w:b/>
          <w:sz w:val="18"/>
          <w:szCs w:val="18"/>
        </w:rPr>
      </w:pPr>
      <w:r>
        <w:rPr>
          <w:rFonts w:ascii="Verdana" w:hAnsi="Verdana"/>
          <w:b/>
          <w:sz w:val="18"/>
          <w:szCs w:val="18"/>
        </w:rPr>
        <w:t>Purpose and scope of the review</w:t>
      </w:r>
    </w:p>
    <w:p w:rsidR="00DA770A" w:rsidRPr="00AB4A34" w:rsidRDefault="00DA770A" w:rsidP="00DA770A">
      <w:pPr>
        <w:rPr>
          <w:rFonts w:ascii="Verdana" w:hAnsi="Verdana"/>
          <w:b/>
          <w:sz w:val="18"/>
          <w:szCs w:val="18"/>
        </w:rPr>
      </w:pPr>
    </w:p>
    <w:p w:rsidR="00DA770A" w:rsidRPr="00DA770A" w:rsidRDefault="002C5980" w:rsidP="00DA770A">
      <w:pPr>
        <w:pStyle w:val="Lijstalinea"/>
        <w:numPr>
          <w:ilvl w:val="0"/>
          <w:numId w:val="1"/>
        </w:numPr>
        <w:ind w:left="360"/>
        <w:rPr>
          <w:rFonts w:ascii="Verdana" w:hAnsi="Verdana"/>
          <w:b/>
          <w:sz w:val="18"/>
          <w:szCs w:val="18"/>
        </w:rPr>
      </w:pPr>
      <w:r>
        <w:rPr>
          <w:rFonts w:ascii="Verdana" w:hAnsi="Verdana"/>
          <w:b/>
          <w:sz w:val="18"/>
          <w:szCs w:val="18"/>
        </w:rPr>
        <w:t>Research questions</w:t>
      </w:r>
    </w:p>
    <w:p w:rsidR="00DA770A" w:rsidRDefault="00DA770A" w:rsidP="00DA770A">
      <w:pPr>
        <w:rPr>
          <w:rFonts w:ascii="Verdana" w:hAnsi="Verdana"/>
          <w:b/>
          <w:sz w:val="18"/>
          <w:szCs w:val="18"/>
          <w:lang w:val="nl-NL"/>
        </w:rPr>
      </w:pPr>
    </w:p>
    <w:p w:rsidR="00DA770A" w:rsidRDefault="00656870" w:rsidP="00DA770A">
      <w:pPr>
        <w:pStyle w:val="Lijstalinea"/>
        <w:numPr>
          <w:ilvl w:val="0"/>
          <w:numId w:val="1"/>
        </w:numPr>
        <w:ind w:left="360"/>
        <w:rPr>
          <w:rFonts w:ascii="Verdana" w:hAnsi="Verdana"/>
          <w:b/>
          <w:sz w:val="18"/>
          <w:szCs w:val="18"/>
        </w:rPr>
      </w:pPr>
      <w:r>
        <w:rPr>
          <w:rFonts w:ascii="Verdana" w:hAnsi="Verdana"/>
          <w:b/>
          <w:sz w:val="18"/>
          <w:szCs w:val="18"/>
        </w:rPr>
        <w:t>Methodology and research strategy</w:t>
      </w:r>
      <w:r>
        <w:rPr>
          <w:rFonts w:ascii="Verdana" w:hAnsi="Verdana"/>
          <w:b/>
          <w:sz w:val="18"/>
          <w:szCs w:val="18"/>
        </w:rPr>
        <w:br/>
      </w:r>
      <w:bookmarkStart w:id="0" w:name="_GoBack"/>
      <w:bookmarkEnd w:id="0"/>
    </w:p>
    <w:p w:rsidR="00DA770A" w:rsidRPr="00DA770A" w:rsidRDefault="00AB4A34" w:rsidP="00DA770A">
      <w:pPr>
        <w:pStyle w:val="Lijstalinea"/>
        <w:numPr>
          <w:ilvl w:val="0"/>
          <w:numId w:val="1"/>
        </w:numPr>
        <w:ind w:left="360"/>
        <w:rPr>
          <w:rFonts w:ascii="Verdana" w:hAnsi="Verdana"/>
          <w:b/>
          <w:sz w:val="18"/>
          <w:szCs w:val="18"/>
        </w:rPr>
      </w:pPr>
      <w:r>
        <w:rPr>
          <w:rFonts w:ascii="Verdana" w:hAnsi="Verdana"/>
          <w:b/>
          <w:sz w:val="18"/>
          <w:szCs w:val="18"/>
        </w:rPr>
        <w:t>T</w:t>
      </w:r>
      <w:r w:rsidR="008B67DB">
        <w:rPr>
          <w:rFonts w:ascii="Verdana" w:hAnsi="Verdana"/>
          <w:b/>
          <w:sz w:val="18"/>
          <w:szCs w:val="18"/>
        </w:rPr>
        <w:t>imescale</w:t>
      </w:r>
    </w:p>
    <w:p w:rsidR="00DA770A" w:rsidRDefault="00DA770A" w:rsidP="00DA770A">
      <w:pPr>
        <w:rPr>
          <w:rFonts w:ascii="Verdana" w:hAnsi="Verdana"/>
          <w:b/>
          <w:sz w:val="18"/>
          <w:szCs w:val="18"/>
          <w:lang w:val="nl-NL"/>
        </w:rPr>
      </w:pPr>
    </w:p>
    <w:p w:rsidR="00DA770A" w:rsidRDefault="00DA770A" w:rsidP="00DA770A">
      <w:pPr>
        <w:pStyle w:val="Lijstalinea"/>
        <w:numPr>
          <w:ilvl w:val="0"/>
          <w:numId w:val="1"/>
        </w:numPr>
        <w:ind w:left="360"/>
        <w:rPr>
          <w:rFonts w:ascii="Verdana" w:hAnsi="Verdana"/>
          <w:b/>
          <w:sz w:val="18"/>
          <w:szCs w:val="18"/>
        </w:rPr>
      </w:pPr>
      <w:r>
        <w:rPr>
          <w:rFonts w:ascii="Verdana" w:hAnsi="Verdana"/>
          <w:b/>
          <w:sz w:val="18"/>
          <w:szCs w:val="18"/>
        </w:rPr>
        <w:t>Requirements for review research team</w:t>
      </w:r>
      <w:r>
        <w:rPr>
          <w:rFonts w:ascii="Verdana" w:hAnsi="Verdana"/>
          <w:b/>
          <w:sz w:val="18"/>
          <w:szCs w:val="18"/>
        </w:rPr>
        <w:br/>
      </w:r>
    </w:p>
    <w:p w:rsidR="00AB4A34" w:rsidRDefault="008B67DB" w:rsidP="00AB4A34">
      <w:pPr>
        <w:pStyle w:val="Lijstalinea"/>
        <w:numPr>
          <w:ilvl w:val="0"/>
          <w:numId w:val="1"/>
        </w:numPr>
        <w:ind w:left="426" w:hanging="426"/>
        <w:rPr>
          <w:rFonts w:ascii="Verdana" w:hAnsi="Verdana"/>
          <w:b/>
          <w:sz w:val="18"/>
          <w:szCs w:val="18"/>
        </w:rPr>
      </w:pPr>
      <w:r w:rsidRPr="00AB4A34">
        <w:rPr>
          <w:rFonts w:ascii="Verdana" w:hAnsi="Verdana"/>
          <w:b/>
          <w:sz w:val="18"/>
          <w:szCs w:val="18"/>
        </w:rPr>
        <w:t xml:space="preserve">Budget and </w:t>
      </w:r>
      <w:r w:rsidR="00AB4A34" w:rsidRPr="00AB4A34">
        <w:rPr>
          <w:rFonts w:ascii="Verdana" w:hAnsi="Verdana"/>
          <w:b/>
          <w:sz w:val="18"/>
          <w:szCs w:val="18"/>
        </w:rPr>
        <w:t xml:space="preserve">language </w:t>
      </w:r>
      <w:r w:rsidRPr="00AB4A34">
        <w:rPr>
          <w:rFonts w:ascii="Verdana" w:hAnsi="Verdana"/>
          <w:b/>
          <w:sz w:val="18"/>
          <w:szCs w:val="18"/>
        </w:rPr>
        <w:t>for review proposals</w:t>
      </w:r>
      <w:r w:rsidR="00AB4A34">
        <w:rPr>
          <w:rFonts w:ascii="Verdana" w:hAnsi="Verdana"/>
          <w:b/>
          <w:sz w:val="18"/>
          <w:szCs w:val="18"/>
        </w:rPr>
        <w:br/>
      </w:r>
    </w:p>
    <w:p w:rsidR="00AB4A34" w:rsidRPr="00AB4A34" w:rsidRDefault="00AB4A34" w:rsidP="00AB4A34">
      <w:pPr>
        <w:pStyle w:val="Lijstalinea"/>
        <w:numPr>
          <w:ilvl w:val="0"/>
          <w:numId w:val="1"/>
        </w:numPr>
        <w:ind w:left="426" w:hanging="426"/>
        <w:rPr>
          <w:rFonts w:ascii="Verdana" w:hAnsi="Verdana"/>
          <w:b/>
          <w:sz w:val="18"/>
          <w:szCs w:val="18"/>
        </w:rPr>
      </w:pPr>
      <w:r w:rsidRPr="00AB4A34">
        <w:rPr>
          <w:rFonts w:ascii="Verdana" w:hAnsi="Verdana"/>
          <w:b/>
          <w:sz w:val="18"/>
          <w:szCs w:val="18"/>
        </w:rPr>
        <w:t>Question to all interested parties</w:t>
      </w:r>
    </w:p>
    <w:p w:rsidR="00F51462" w:rsidRDefault="006503CB" w:rsidP="00162C86">
      <w:pPr>
        <w:rPr>
          <w:rStyle w:val="Kop3Char"/>
        </w:rPr>
      </w:pPr>
      <w:r>
        <w:br/>
      </w:r>
    </w:p>
    <w:p w:rsidR="00162C86" w:rsidRPr="00AE1D10" w:rsidRDefault="00AE1D10" w:rsidP="00162C86">
      <w:pPr>
        <w:rPr>
          <w:rStyle w:val="Kop3Char"/>
        </w:rPr>
      </w:pPr>
      <w:r>
        <w:rPr>
          <w:rStyle w:val="Kop3Char"/>
        </w:rPr>
        <w:t xml:space="preserve">Appendices </w:t>
      </w:r>
    </w:p>
    <w:p w:rsidR="00162C86" w:rsidRPr="00AE1D10" w:rsidRDefault="00DA770A" w:rsidP="00AE1D10">
      <w:pPr>
        <w:rPr>
          <w:rFonts w:ascii="Verdana" w:hAnsi="Verdana"/>
          <w:b/>
          <w:sz w:val="18"/>
          <w:szCs w:val="18"/>
        </w:rPr>
      </w:pPr>
      <w:r>
        <w:br/>
      </w:r>
      <w:r>
        <w:rPr>
          <w:rFonts w:ascii="Verdana" w:hAnsi="Verdana"/>
          <w:b/>
          <w:sz w:val="18"/>
          <w:szCs w:val="18"/>
        </w:rPr>
        <w:t>9.   PIB overview by key sector</w:t>
      </w:r>
    </w:p>
    <w:p w:rsidR="00AE1D10" w:rsidRPr="00AB4A34" w:rsidRDefault="00AE1D10" w:rsidP="00162C86">
      <w:pPr>
        <w:rPr>
          <w:rFonts w:ascii="Verdana" w:hAnsi="Verdana"/>
          <w:b/>
          <w:sz w:val="18"/>
          <w:szCs w:val="18"/>
        </w:rPr>
      </w:pPr>
    </w:p>
    <w:p w:rsidR="00162C86" w:rsidRPr="00AE1D10" w:rsidRDefault="00AE1D10" w:rsidP="00162C86">
      <w:pPr>
        <w:rPr>
          <w:rFonts w:ascii="Verdana" w:hAnsi="Verdana"/>
          <w:b/>
          <w:sz w:val="18"/>
          <w:szCs w:val="18"/>
        </w:rPr>
      </w:pPr>
      <w:r>
        <w:rPr>
          <w:rFonts w:ascii="Verdana" w:hAnsi="Verdana"/>
          <w:b/>
          <w:sz w:val="18"/>
          <w:szCs w:val="18"/>
        </w:rPr>
        <w:t>10. PIB overview by country</w:t>
      </w:r>
    </w:p>
    <w:p w:rsidR="00AE1D10" w:rsidRPr="00AB4A34" w:rsidRDefault="00AE1D10" w:rsidP="00162C86">
      <w:pPr>
        <w:rPr>
          <w:rFonts w:ascii="Verdana" w:hAnsi="Verdana"/>
          <w:b/>
          <w:sz w:val="18"/>
          <w:szCs w:val="18"/>
        </w:rPr>
      </w:pPr>
    </w:p>
    <w:p w:rsidR="009138F6" w:rsidRPr="00AB4A34" w:rsidRDefault="009138F6" w:rsidP="009138F6">
      <w:pPr>
        <w:rPr>
          <w:rFonts w:ascii="Verdana" w:hAnsi="Verdana"/>
          <w:b/>
          <w:sz w:val="18"/>
          <w:szCs w:val="18"/>
        </w:rPr>
      </w:pPr>
    </w:p>
    <w:p w:rsidR="008B67DB" w:rsidRPr="00AB4A34" w:rsidRDefault="008B67DB">
      <w:pPr>
        <w:rPr>
          <w:rFonts w:ascii="Verdana" w:hAnsi="Verdana"/>
          <w:b/>
          <w:sz w:val="18"/>
          <w:szCs w:val="18"/>
        </w:rPr>
      </w:pPr>
    </w:p>
    <w:p w:rsidR="00AE1D10" w:rsidRDefault="00AE1D10">
      <w:pPr>
        <w:rPr>
          <w:rFonts w:ascii="Verdana" w:hAnsi="Verdana"/>
          <w:b/>
          <w:sz w:val="18"/>
          <w:szCs w:val="18"/>
        </w:rPr>
      </w:pPr>
      <w:r>
        <w:br w:type="page"/>
      </w:r>
    </w:p>
    <w:p w:rsidR="00592652" w:rsidRPr="00F51462" w:rsidRDefault="00D30B10">
      <w:pPr>
        <w:rPr>
          <w:rFonts w:ascii="Verdana" w:hAnsi="Verdana"/>
          <w:b/>
          <w:sz w:val="18"/>
          <w:szCs w:val="18"/>
          <w:u w:val="single"/>
        </w:rPr>
      </w:pPr>
      <w:r>
        <w:rPr>
          <w:rFonts w:ascii="Verdana" w:hAnsi="Verdana"/>
          <w:b/>
          <w:sz w:val="18"/>
          <w:szCs w:val="18"/>
          <w:u w:val="single"/>
        </w:rPr>
        <w:lastRenderedPageBreak/>
        <w:t xml:space="preserve">1. Background to the review and description of </w:t>
      </w:r>
      <w:r w:rsidR="00A948B4" w:rsidRPr="00A948B4">
        <w:rPr>
          <w:rFonts w:ascii="Verdana" w:hAnsi="Verdana"/>
          <w:b/>
          <w:sz w:val="18"/>
          <w:szCs w:val="18"/>
          <w:u w:val="single"/>
        </w:rPr>
        <w:t>International Business (PIB) programme</w:t>
      </w:r>
    </w:p>
    <w:p w:rsidR="00F51462" w:rsidRDefault="00D30B10">
      <w:pPr>
        <w:rPr>
          <w:rFonts w:ascii="Verdana" w:hAnsi="Verdana"/>
          <w:sz w:val="18"/>
          <w:szCs w:val="18"/>
        </w:rPr>
      </w:pPr>
      <w:r>
        <w:rPr>
          <w:rFonts w:ascii="Verdana" w:hAnsi="Verdana"/>
          <w:sz w:val="18"/>
          <w:szCs w:val="18"/>
        </w:rPr>
        <w:br/>
      </w:r>
      <w:r>
        <w:rPr>
          <w:rFonts w:ascii="Verdana" w:hAnsi="Verdana"/>
          <w:b/>
          <w:i/>
          <w:sz w:val="18"/>
          <w:szCs w:val="18"/>
          <w:u w:val="single"/>
        </w:rPr>
        <w:t>1.1 Background to PIB</w:t>
      </w:r>
      <w:r>
        <w:rPr>
          <w:rFonts w:ascii="Verdana" w:hAnsi="Verdana"/>
          <w:b/>
          <w:sz w:val="18"/>
          <w:szCs w:val="18"/>
        </w:rPr>
        <w:br/>
      </w:r>
      <w:r>
        <w:rPr>
          <w:rFonts w:ascii="Verdana" w:hAnsi="Verdana"/>
          <w:sz w:val="18"/>
          <w:szCs w:val="18"/>
        </w:rPr>
        <w:t>The Partners for International Business (PIB) programme, for which the International Enterprise Department (DIO) of the Dutch Ministry of Foreign Affairs (BZ) has policy responsibility, has been in existence since 2012</w:t>
      </w:r>
      <w:r w:rsidR="00E23E08">
        <w:rPr>
          <w:rStyle w:val="Voetnootmarkering"/>
          <w:rFonts w:ascii="Verdana" w:hAnsi="Verdana"/>
          <w:sz w:val="18"/>
          <w:szCs w:val="18"/>
          <w:lang w:val="nl-NL"/>
        </w:rPr>
        <w:footnoteReference w:id="1"/>
      </w:r>
      <w:r>
        <w:rPr>
          <w:rFonts w:ascii="Verdana" w:hAnsi="Verdana"/>
          <w:sz w:val="18"/>
          <w:szCs w:val="18"/>
        </w:rPr>
        <w:t xml:space="preserve">. The PIB programme is implemented by the Netherlands Enterprise Agency (RVO.nl) in partnership with the diplomatic network. Now that the first PIB projects are reaching completion, DIO wishes to have the programme reviewed by an external party. </w:t>
      </w:r>
    </w:p>
    <w:p w:rsidR="00F000A4" w:rsidRPr="00AB4A34" w:rsidRDefault="00F000A4">
      <w:pPr>
        <w:rPr>
          <w:rFonts w:ascii="Verdana" w:hAnsi="Verdana"/>
          <w:sz w:val="18"/>
          <w:szCs w:val="18"/>
        </w:rPr>
      </w:pPr>
    </w:p>
    <w:p w:rsidR="00F51462" w:rsidRDefault="00257ADA">
      <w:pPr>
        <w:rPr>
          <w:rFonts w:ascii="Verdana" w:hAnsi="Verdana"/>
          <w:sz w:val="18"/>
          <w:szCs w:val="18"/>
        </w:rPr>
      </w:pPr>
      <w:r>
        <w:rPr>
          <w:rFonts w:ascii="Verdana" w:hAnsi="Verdana"/>
          <w:sz w:val="18"/>
          <w:szCs w:val="18"/>
        </w:rPr>
        <w:t xml:space="preserve">This review has three objectives: </w:t>
      </w:r>
    </w:p>
    <w:p w:rsidR="00F51462" w:rsidRDefault="00257ADA" w:rsidP="00F51462">
      <w:pPr>
        <w:pStyle w:val="Lijstalinea"/>
        <w:numPr>
          <w:ilvl w:val="0"/>
          <w:numId w:val="16"/>
        </w:numPr>
        <w:rPr>
          <w:rFonts w:ascii="Verdana" w:hAnsi="Verdana"/>
          <w:sz w:val="18"/>
          <w:szCs w:val="18"/>
        </w:rPr>
      </w:pPr>
      <w:r>
        <w:rPr>
          <w:rFonts w:ascii="Verdana" w:hAnsi="Verdana"/>
          <w:sz w:val="18"/>
          <w:szCs w:val="18"/>
        </w:rPr>
        <w:t>to give an account of the policy pursued and the extent to which the PIB contributes to it in terms of effectiveness and efficiency;</w:t>
      </w:r>
    </w:p>
    <w:p w:rsidR="00F51462" w:rsidRPr="00F51462" w:rsidRDefault="00257ADA" w:rsidP="00F51462">
      <w:pPr>
        <w:pStyle w:val="Lijstalinea"/>
        <w:numPr>
          <w:ilvl w:val="0"/>
          <w:numId w:val="16"/>
        </w:numPr>
        <w:rPr>
          <w:rFonts w:ascii="Verdana" w:hAnsi="Verdana"/>
          <w:sz w:val="18"/>
          <w:szCs w:val="18"/>
        </w:rPr>
      </w:pPr>
      <w:r>
        <w:rPr>
          <w:rFonts w:ascii="Verdana" w:hAnsi="Verdana"/>
          <w:sz w:val="18"/>
          <w:szCs w:val="18"/>
        </w:rPr>
        <w:t xml:space="preserve">to learn lessons from practice in order to further improve policy and implementation; </w:t>
      </w:r>
    </w:p>
    <w:p w:rsidR="00395502" w:rsidRPr="00F51462" w:rsidRDefault="00257ADA" w:rsidP="00F51462">
      <w:pPr>
        <w:pStyle w:val="Lijstalinea"/>
        <w:numPr>
          <w:ilvl w:val="0"/>
          <w:numId w:val="16"/>
        </w:numPr>
        <w:rPr>
          <w:rFonts w:ascii="Verdana" w:hAnsi="Verdana"/>
          <w:sz w:val="18"/>
          <w:szCs w:val="18"/>
        </w:rPr>
      </w:pPr>
      <w:r>
        <w:rPr>
          <w:rFonts w:ascii="Verdana" w:hAnsi="Verdana"/>
          <w:sz w:val="18"/>
          <w:szCs w:val="18"/>
        </w:rPr>
        <w:t>to inform the policy audit of policy article 1.2 of the budget of the department of Foreign Trade and Development Cooperation (BHOS), which will be undertaken by the Ministry of Foreign Affairs’  Policy and Operations Evaluation Department (IOB).</w:t>
      </w:r>
    </w:p>
    <w:p w:rsidR="00EF6615" w:rsidRPr="00AB4A34" w:rsidRDefault="00EF6615">
      <w:pPr>
        <w:rPr>
          <w:rFonts w:ascii="Verdana" w:hAnsi="Verdana"/>
          <w:sz w:val="18"/>
          <w:szCs w:val="18"/>
        </w:rPr>
      </w:pPr>
    </w:p>
    <w:p w:rsidR="00F51462" w:rsidRDefault="00556C50" w:rsidP="00371537">
      <w:pPr>
        <w:rPr>
          <w:rFonts w:ascii="Verdana" w:hAnsi="Verdana"/>
          <w:sz w:val="18"/>
          <w:szCs w:val="18"/>
        </w:rPr>
      </w:pPr>
      <w:r>
        <w:rPr>
          <w:rFonts w:ascii="Verdana" w:hAnsi="Verdana"/>
          <w:b/>
          <w:i/>
          <w:sz w:val="18"/>
          <w:szCs w:val="18"/>
          <w:u w:val="single"/>
        </w:rPr>
        <w:t>1.2 Description of PIB</w:t>
      </w:r>
      <w:r>
        <w:rPr>
          <w:rFonts w:ascii="Verdana" w:hAnsi="Verdana"/>
          <w:b/>
          <w:i/>
          <w:sz w:val="18"/>
          <w:szCs w:val="18"/>
        </w:rPr>
        <w:br/>
      </w:r>
      <w:r w:rsidR="000F0E1F">
        <w:rPr>
          <w:rFonts w:ascii="Verdana" w:hAnsi="Verdana"/>
          <w:sz w:val="18"/>
          <w:szCs w:val="18"/>
        </w:rPr>
        <w:t xml:space="preserve">The </w:t>
      </w:r>
      <w:r>
        <w:rPr>
          <w:rFonts w:ascii="Verdana" w:hAnsi="Verdana"/>
          <w:sz w:val="18"/>
          <w:szCs w:val="18"/>
        </w:rPr>
        <w:t xml:space="preserve">PIB </w:t>
      </w:r>
      <w:r w:rsidR="000F0E1F">
        <w:rPr>
          <w:rFonts w:ascii="Verdana" w:hAnsi="Verdana"/>
          <w:sz w:val="18"/>
          <w:szCs w:val="18"/>
        </w:rPr>
        <w:t xml:space="preserve">programme </w:t>
      </w:r>
      <w:r>
        <w:rPr>
          <w:rFonts w:ascii="Verdana" w:hAnsi="Verdana"/>
          <w:sz w:val="18"/>
          <w:szCs w:val="18"/>
        </w:rPr>
        <w:t>is the successor to 2g@there. It is driven by the initiative and (financial) commitment of business and industry. The Government aims to use the PIB programme to help solve problems where the market is not working effectively. Economic diplomacy and the deployment of instruments offered by the NL Agency (now RVO.nl) are a key feature of the public component</w:t>
      </w:r>
      <w:r w:rsidR="003573F5">
        <w:rPr>
          <w:rStyle w:val="Voetnootmarkering"/>
          <w:rFonts w:ascii="Verdana" w:hAnsi="Verdana"/>
          <w:sz w:val="18"/>
          <w:szCs w:val="18"/>
          <w:lang w:val="nl-NL"/>
        </w:rPr>
        <w:footnoteReference w:id="2"/>
      </w:r>
      <w:r>
        <w:rPr>
          <w:rFonts w:ascii="Verdana" w:hAnsi="Verdana"/>
          <w:sz w:val="18"/>
          <w:szCs w:val="18"/>
        </w:rPr>
        <w:t xml:space="preserve">. </w:t>
      </w:r>
    </w:p>
    <w:p w:rsidR="00F51462" w:rsidRDefault="00AB4D81" w:rsidP="00371537">
      <w:pPr>
        <w:rPr>
          <w:rFonts w:ascii="Verdana" w:hAnsi="Verdana"/>
          <w:sz w:val="18"/>
          <w:szCs w:val="18"/>
        </w:rPr>
      </w:pPr>
      <w:r>
        <w:rPr>
          <w:rFonts w:ascii="Verdana" w:hAnsi="Verdana"/>
          <w:sz w:val="18"/>
          <w:szCs w:val="18"/>
        </w:rPr>
        <w:t xml:space="preserve">The objective of PIB is to position partnerships of Dutch businesses and knowledge institutions on promising markets for the Netherlands and to help them access these markets. </w:t>
      </w:r>
    </w:p>
    <w:p w:rsidR="00371537" w:rsidRDefault="00371537" w:rsidP="00371537">
      <w:pPr>
        <w:rPr>
          <w:rFonts w:ascii="Verdana" w:hAnsi="Verdana"/>
          <w:sz w:val="18"/>
          <w:szCs w:val="18"/>
        </w:rPr>
      </w:pPr>
      <w:r>
        <w:rPr>
          <w:rFonts w:ascii="Verdana" w:hAnsi="Verdana"/>
          <w:sz w:val="18"/>
          <w:szCs w:val="18"/>
        </w:rPr>
        <w:t>PIB is directed in particular at companies in the Government's key sectors: Energy, Life Sciences &amp; Health (LSH), Creative Industry, Water, Agrifood, Horticulture and Starting Materials, High Tech Systems and Materials (HTSM), Logistics and Chemicals. The programme involves the combined deployment of private and public funds to make the Netherlands more competitive.</w:t>
      </w:r>
      <w:r>
        <w:rPr>
          <w:rStyle w:val="Voetnootmarkering"/>
          <w:rFonts w:ascii="Verdana" w:hAnsi="Verdana"/>
          <w:sz w:val="18"/>
          <w:szCs w:val="18"/>
          <w:lang w:val="nl-NL"/>
        </w:rPr>
        <w:footnoteReference w:id="3"/>
      </w:r>
      <w:r>
        <w:rPr>
          <w:rFonts w:ascii="Verdana" w:hAnsi="Verdana"/>
          <w:sz w:val="18"/>
          <w:szCs w:val="18"/>
        </w:rPr>
        <w:t xml:space="preserve"> </w:t>
      </w:r>
    </w:p>
    <w:p w:rsidR="00340D9B" w:rsidRPr="00AB4A34" w:rsidRDefault="00340D9B">
      <w:pPr>
        <w:rPr>
          <w:rFonts w:ascii="Verdana" w:hAnsi="Verdana"/>
          <w:sz w:val="18"/>
          <w:szCs w:val="18"/>
        </w:rPr>
      </w:pPr>
    </w:p>
    <w:p w:rsidR="00F51462" w:rsidRDefault="00395502">
      <w:pPr>
        <w:rPr>
          <w:rFonts w:ascii="Verdana" w:hAnsi="Verdana"/>
          <w:sz w:val="18"/>
          <w:szCs w:val="18"/>
        </w:rPr>
      </w:pPr>
      <w:r>
        <w:rPr>
          <w:rFonts w:ascii="Verdana" w:hAnsi="Verdana"/>
          <w:sz w:val="18"/>
          <w:szCs w:val="18"/>
        </w:rPr>
        <w:t xml:space="preserve">Within the PIB programme, companies devise tailor-made, multi-annual programmes in conjunction with RVO.nl for businesses, and knowledge institutions where appropriate, who wish to gain joint access to an international market (see </w:t>
      </w:r>
      <w:hyperlink r:id="rId9" w:history="1">
        <w:r>
          <w:rPr>
            <w:rStyle w:val="Hyperlink"/>
            <w:rFonts w:ascii="Verdana" w:hAnsi="Verdana"/>
            <w:sz w:val="18"/>
            <w:szCs w:val="18"/>
          </w:rPr>
          <w:t>www.rvo.nl/pib</w:t>
        </w:r>
      </w:hyperlink>
      <w:r>
        <w:rPr>
          <w:rFonts w:ascii="Verdana" w:hAnsi="Verdana"/>
          <w:sz w:val="18"/>
          <w:szCs w:val="18"/>
        </w:rPr>
        <w:t xml:space="preserve">). PIB uses a list of 64 countries which are covered by it. PIB is a demand-driven, dynamic and flexible programme. </w:t>
      </w:r>
    </w:p>
    <w:p w:rsidR="000F0E1F" w:rsidRDefault="000F0E1F">
      <w:pPr>
        <w:rPr>
          <w:rFonts w:ascii="Verdana" w:hAnsi="Verdana"/>
          <w:sz w:val="18"/>
          <w:szCs w:val="18"/>
        </w:rPr>
      </w:pPr>
    </w:p>
    <w:p w:rsidR="00D30B10" w:rsidRDefault="00395502">
      <w:pPr>
        <w:rPr>
          <w:rFonts w:ascii="Verdana" w:hAnsi="Verdana"/>
          <w:sz w:val="18"/>
          <w:szCs w:val="18"/>
        </w:rPr>
      </w:pPr>
      <w:r>
        <w:rPr>
          <w:rFonts w:ascii="Verdana" w:hAnsi="Verdana"/>
          <w:sz w:val="18"/>
          <w:szCs w:val="18"/>
        </w:rPr>
        <w:t>The Government’s input primarily comprises of economic diplomacy and supplementary activities in the field of inter-governmental collaboration (government-to-government), promotional activities and knowledge-sharing programmes. To this end, the PIB programme incorporates three modules, which cover various activities and which can be deployed both individually and in conjunction with each other:</w:t>
      </w:r>
      <w:r>
        <w:rPr>
          <w:rFonts w:ascii="Verdana" w:hAnsi="Verdana"/>
          <w:sz w:val="18"/>
          <w:szCs w:val="18"/>
        </w:rPr>
        <w:br/>
        <w:t>1. promotion and matchmaking</w:t>
      </w:r>
    </w:p>
    <w:p w:rsidR="00162029" w:rsidRDefault="00162029">
      <w:pPr>
        <w:rPr>
          <w:rFonts w:ascii="Verdana" w:hAnsi="Verdana"/>
          <w:sz w:val="18"/>
          <w:szCs w:val="18"/>
        </w:rPr>
      </w:pPr>
      <w:r>
        <w:rPr>
          <w:rFonts w:ascii="Verdana" w:hAnsi="Verdana"/>
          <w:sz w:val="18"/>
          <w:szCs w:val="18"/>
        </w:rPr>
        <w:t>2. knowledge sharing and networks</w:t>
      </w:r>
    </w:p>
    <w:p w:rsidR="00162029" w:rsidRDefault="00162029">
      <w:pPr>
        <w:rPr>
          <w:rFonts w:ascii="Verdana" w:hAnsi="Verdana"/>
          <w:sz w:val="18"/>
          <w:szCs w:val="18"/>
        </w:rPr>
      </w:pPr>
      <w:r>
        <w:rPr>
          <w:rFonts w:ascii="Verdana" w:hAnsi="Verdana"/>
          <w:sz w:val="18"/>
          <w:szCs w:val="18"/>
        </w:rPr>
        <w:t>3. economic diplomacy.</w:t>
      </w:r>
    </w:p>
    <w:p w:rsidR="00B42323" w:rsidRPr="00AB4A34" w:rsidRDefault="00B42323">
      <w:pPr>
        <w:rPr>
          <w:rFonts w:ascii="Verdana" w:hAnsi="Verdana"/>
          <w:sz w:val="18"/>
          <w:szCs w:val="18"/>
        </w:rPr>
      </w:pPr>
    </w:p>
    <w:p w:rsidR="00371537" w:rsidRDefault="00371537">
      <w:pPr>
        <w:rPr>
          <w:rFonts w:ascii="Verdana" w:hAnsi="Verdana"/>
          <w:sz w:val="18"/>
          <w:szCs w:val="18"/>
        </w:rPr>
      </w:pPr>
      <w:r>
        <w:rPr>
          <w:rFonts w:ascii="Verdana" w:hAnsi="Verdana"/>
          <w:sz w:val="18"/>
          <w:szCs w:val="18"/>
        </w:rPr>
        <w:t>The components of these modules are outlined below.</w:t>
      </w:r>
    </w:p>
    <w:p w:rsidR="00627F77" w:rsidRPr="00AB4A34" w:rsidRDefault="00627F77">
      <w:pPr>
        <w:rPr>
          <w:rFonts w:ascii="Verdana" w:hAnsi="Verdana"/>
          <w:i/>
          <w:sz w:val="18"/>
          <w:szCs w:val="18"/>
        </w:rPr>
      </w:pPr>
    </w:p>
    <w:p w:rsidR="00371537" w:rsidRDefault="00371537">
      <w:pPr>
        <w:rPr>
          <w:rFonts w:ascii="Verdana" w:hAnsi="Verdana"/>
          <w:sz w:val="18"/>
          <w:szCs w:val="18"/>
        </w:rPr>
      </w:pPr>
      <w:r>
        <w:rPr>
          <w:rFonts w:ascii="Verdana" w:hAnsi="Verdana"/>
          <w:sz w:val="18"/>
          <w:szCs w:val="18"/>
        </w:rPr>
        <w:t>Module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268"/>
        <w:gridCol w:w="6804"/>
      </w:tblGrid>
      <w:tr w:rsidR="00A05C79" w:rsidTr="00A05C79">
        <w:trPr>
          <w:trHeight w:val="87"/>
        </w:trPr>
        <w:tc>
          <w:tcPr>
            <w:tcW w:w="392" w:type="dxa"/>
          </w:tcPr>
          <w:p w:rsidR="00A05C79" w:rsidRDefault="00A05C79">
            <w:pPr>
              <w:pStyle w:val="Default"/>
              <w:rPr>
                <w:b/>
                <w:bCs/>
                <w:sz w:val="18"/>
                <w:szCs w:val="18"/>
              </w:rPr>
            </w:pPr>
          </w:p>
        </w:tc>
        <w:tc>
          <w:tcPr>
            <w:tcW w:w="2268" w:type="dxa"/>
          </w:tcPr>
          <w:p w:rsidR="00A05C79" w:rsidRDefault="00A05C79">
            <w:pPr>
              <w:pStyle w:val="Default"/>
              <w:rPr>
                <w:sz w:val="18"/>
                <w:szCs w:val="18"/>
              </w:rPr>
            </w:pPr>
            <w:r>
              <w:rPr>
                <w:b/>
                <w:bCs/>
                <w:sz w:val="18"/>
                <w:szCs w:val="18"/>
              </w:rPr>
              <w:t xml:space="preserve">Module </w:t>
            </w:r>
          </w:p>
        </w:tc>
        <w:tc>
          <w:tcPr>
            <w:tcW w:w="6804" w:type="dxa"/>
          </w:tcPr>
          <w:p w:rsidR="00A05C79" w:rsidRDefault="00A05C79">
            <w:pPr>
              <w:pStyle w:val="Default"/>
              <w:rPr>
                <w:sz w:val="18"/>
                <w:szCs w:val="18"/>
              </w:rPr>
            </w:pPr>
            <w:r>
              <w:rPr>
                <w:b/>
                <w:bCs/>
                <w:sz w:val="18"/>
                <w:szCs w:val="18"/>
              </w:rPr>
              <w:t xml:space="preserve">Components </w:t>
            </w:r>
          </w:p>
        </w:tc>
      </w:tr>
      <w:tr w:rsidR="00A05C79" w:rsidRPr="00E96725" w:rsidTr="00A05C79">
        <w:trPr>
          <w:trHeight w:val="1178"/>
        </w:trPr>
        <w:tc>
          <w:tcPr>
            <w:tcW w:w="392" w:type="dxa"/>
          </w:tcPr>
          <w:p w:rsidR="00A05C79" w:rsidRDefault="00A05C79">
            <w:pPr>
              <w:pStyle w:val="Default"/>
              <w:rPr>
                <w:b/>
                <w:bCs/>
                <w:sz w:val="18"/>
                <w:szCs w:val="18"/>
              </w:rPr>
            </w:pPr>
            <w:r>
              <w:rPr>
                <w:b/>
                <w:bCs/>
                <w:sz w:val="18"/>
                <w:szCs w:val="18"/>
              </w:rPr>
              <w:t>1</w:t>
            </w:r>
          </w:p>
        </w:tc>
        <w:tc>
          <w:tcPr>
            <w:tcW w:w="2268" w:type="dxa"/>
          </w:tcPr>
          <w:p w:rsidR="00A05C79" w:rsidRDefault="00A05C79">
            <w:pPr>
              <w:pStyle w:val="Default"/>
              <w:rPr>
                <w:sz w:val="18"/>
                <w:szCs w:val="18"/>
              </w:rPr>
            </w:pPr>
            <w:r>
              <w:rPr>
                <w:b/>
                <w:bCs/>
                <w:sz w:val="18"/>
                <w:szCs w:val="18"/>
              </w:rPr>
              <w:t>Promotion and matchmaking</w:t>
            </w:r>
          </w:p>
        </w:tc>
        <w:tc>
          <w:tcPr>
            <w:tcW w:w="6804" w:type="dxa"/>
          </w:tcPr>
          <w:p w:rsidR="00A05C79" w:rsidRDefault="00A05C79">
            <w:pPr>
              <w:pStyle w:val="Default"/>
              <w:rPr>
                <w:sz w:val="18"/>
                <w:szCs w:val="18"/>
              </w:rPr>
            </w:pPr>
            <w:r>
              <w:rPr>
                <w:sz w:val="18"/>
                <w:szCs w:val="18"/>
              </w:rPr>
              <w:t>1. Incoming/outgoing missions, Holland Pavilion for collective</w:t>
            </w:r>
          </w:p>
          <w:p w:rsidR="00A05C79" w:rsidRDefault="00A05C79">
            <w:pPr>
              <w:pStyle w:val="Default"/>
              <w:rPr>
                <w:sz w:val="18"/>
                <w:szCs w:val="18"/>
              </w:rPr>
            </w:pPr>
            <w:r>
              <w:rPr>
                <w:sz w:val="18"/>
                <w:szCs w:val="18"/>
              </w:rPr>
              <w:t xml:space="preserve">    promotion of the partnership itself and the Netherlands as a whole </w:t>
            </w:r>
          </w:p>
          <w:p w:rsidR="00A05C79" w:rsidRDefault="00A05C79">
            <w:pPr>
              <w:pStyle w:val="Default"/>
              <w:rPr>
                <w:sz w:val="18"/>
                <w:szCs w:val="18"/>
              </w:rPr>
            </w:pPr>
            <w:r>
              <w:rPr>
                <w:sz w:val="18"/>
                <w:szCs w:val="18"/>
              </w:rPr>
              <w:t xml:space="preserve">2. Visits and meetings to position and promote </w:t>
            </w:r>
          </w:p>
          <w:p w:rsidR="00A05C79" w:rsidRDefault="00A05C79">
            <w:pPr>
              <w:pStyle w:val="Default"/>
              <w:rPr>
                <w:sz w:val="18"/>
                <w:szCs w:val="18"/>
              </w:rPr>
            </w:pPr>
            <w:r>
              <w:rPr>
                <w:sz w:val="18"/>
                <w:szCs w:val="18"/>
              </w:rPr>
              <w:t xml:space="preserve">    groups of companies </w:t>
            </w:r>
          </w:p>
          <w:p w:rsidR="00A05C79" w:rsidRDefault="00A05C79">
            <w:pPr>
              <w:pStyle w:val="Default"/>
              <w:rPr>
                <w:sz w:val="18"/>
                <w:szCs w:val="18"/>
              </w:rPr>
            </w:pPr>
            <w:r>
              <w:rPr>
                <w:sz w:val="18"/>
                <w:szCs w:val="18"/>
              </w:rPr>
              <w:t>3. Invitation to specialist journalists to visit the Netherlands</w:t>
            </w:r>
          </w:p>
          <w:p w:rsidR="00A05C79" w:rsidRDefault="00A05C79">
            <w:pPr>
              <w:pStyle w:val="Default"/>
              <w:rPr>
                <w:sz w:val="18"/>
                <w:szCs w:val="18"/>
              </w:rPr>
            </w:pPr>
            <w:r>
              <w:rPr>
                <w:sz w:val="18"/>
                <w:szCs w:val="18"/>
              </w:rPr>
              <w:t>4. Holland Branding publications/communication plan:</w:t>
            </w:r>
          </w:p>
          <w:p w:rsidR="00A05C79" w:rsidRDefault="00A05C79">
            <w:pPr>
              <w:pStyle w:val="Default"/>
              <w:rPr>
                <w:sz w:val="18"/>
                <w:szCs w:val="18"/>
              </w:rPr>
            </w:pPr>
            <w:r>
              <w:rPr>
                <w:sz w:val="18"/>
                <w:szCs w:val="18"/>
              </w:rPr>
              <w:t xml:space="preserve">    various promotional products may be used to position</w:t>
            </w:r>
          </w:p>
          <w:p w:rsidR="00A05C79" w:rsidRDefault="00A05C79">
            <w:pPr>
              <w:pStyle w:val="Default"/>
              <w:rPr>
                <w:sz w:val="18"/>
                <w:szCs w:val="18"/>
              </w:rPr>
            </w:pPr>
            <w:r>
              <w:rPr>
                <w:sz w:val="18"/>
                <w:szCs w:val="18"/>
              </w:rPr>
              <w:t xml:space="preserve">    the partnership on an international market </w:t>
            </w:r>
          </w:p>
          <w:p w:rsidR="00A05C79" w:rsidRDefault="00A05C79">
            <w:pPr>
              <w:pStyle w:val="Default"/>
              <w:rPr>
                <w:sz w:val="18"/>
                <w:szCs w:val="18"/>
              </w:rPr>
            </w:pPr>
            <w:r>
              <w:rPr>
                <w:sz w:val="18"/>
                <w:szCs w:val="18"/>
              </w:rPr>
              <w:t>5. Liaison as representative of the partnership in the target country,</w:t>
            </w:r>
          </w:p>
          <w:p w:rsidR="00A05C79" w:rsidRDefault="00A05C79" w:rsidP="00A05C79">
            <w:pPr>
              <w:pStyle w:val="Default"/>
              <w:rPr>
                <w:sz w:val="18"/>
                <w:szCs w:val="18"/>
              </w:rPr>
            </w:pPr>
            <w:r>
              <w:rPr>
                <w:sz w:val="18"/>
                <w:szCs w:val="18"/>
              </w:rPr>
              <w:t xml:space="preserve">    based in the CG or embassy or otherwise </w:t>
            </w:r>
          </w:p>
        </w:tc>
      </w:tr>
      <w:tr w:rsidR="00A05C79" w:rsidTr="00A05C79">
        <w:trPr>
          <w:trHeight w:val="327"/>
        </w:trPr>
        <w:tc>
          <w:tcPr>
            <w:tcW w:w="392" w:type="dxa"/>
          </w:tcPr>
          <w:p w:rsidR="00A05C79" w:rsidRDefault="00A05C79">
            <w:pPr>
              <w:pStyle w:val="Default"/>
              <w:rPr>
                <w:b/>
                <w:bCs/>
                <w:sz w:val="18"/>
                <w:szCs w:val="18"/>
              </w:rPr>
            </w:pPr>
            <w:r>
              <w:rPr>
                <w:b/>
                <w:bCs/>
                <w:sz w:val="18"/>
                <w:szCs w:val="18"/>
              </w:rPr>
              <w:t>2</w:t>
            </w:r>
          </w:p>
        </w:tc>
        <w:tc>
          <w:tcPr>
            <w:tcW w:w="2268" w:type="dxa"/>
          </w:tcPr>
          <w:p w:rsidR="00A05C79" w:rsidRDefault="00A05C79">
            <w:pPr>
              <w:pStyle w:val="Default"/>
              <w:rPr>
                <w:sz w:val="18"/>
                <w:szCs w:val="18"/>
              </w:rPr>
            </w:pPr>
            <w:r>
              <w:rPr>
                <w:b/>
                <w:bCs/>
                <w:sz w:val="18"/>
                <w:szCs w:val="18"/>
              </w:rPr>
              <w:t xml:space="preserve">Knowledge sharing </w:t>
            </w:r>
          </w:p>
          <w:p w:rsidR="00A05C79" w:rsidRDefault="00A05C79">
            <w:pPr>
              <w:pStyle w:val="Default"/>
              <w:rPr>
                <w:sz w:val="18"/>
                <w:szCs w:val="18"/>
              </w:rPr>
            </w:pPr>
            <w:r>
              <w:rPr>
                <w:b/>
                <w:bCs/>
                <w:sz w:val="18"/>
                <w:szCs w:val="18"/>
              </w:rPr>
              <w:t xml:space="preserve">and networks </w:t>
            </w:r>
          </w:p>
        </w:tc>
        <w:tc>
          <w:tcPr>
            <w:tcW w:w="6804" w:type="dxa"/>
          </w:tcPr>
          <w:p w:rsidR="00A05C79" w:rsidRPr="00E94178" w:rsidRDefault="00A05C79">
            <w:pPr>
              <w:pStyle w:val="Default"/>
              <w:rPr>
                <w:sz w:val="18"/>
                <w:szCs w:val="18"/>
              </w:rPr>
            </w:pPr>
            <w:r>
              <w:rPr>
                <w:sz w:val="18"/>
                <w:szCs w:val="18"/>
              </w:rPr>
              <w:t xml:space="preserve">1. Government-to-Government (G2G): government collaboration </w:t>
            </w:r>
          </w:p>
          <w:p w:rsidR="00A05C79" w:rsidRPr="00E94178" w:rsidRDefault="00A05C79">
            <w:pPr>
              <w:pStyle w:val="Default"/>
              <w:rPr>
                <w:sz w:val="18"/>
                <w:szCs w:val="18"/>
              </w:rPr>
            </w:pPr>
            <w:r>
              <w:rPr>
                <w:sz w:val="18"/>
                <w:szCs w:val="18"/>
              </w:rPr>
              <w:t xml:space="preserve">2. Knowledge-to-Knowledge (K2K): knowledge-intensive collaboration </w:t>
            </w:r>
          </w:p>
          <w:p w:rsidR="00A05C79" w:rsidRDefault="00A05C79">
            <w:pPr>
              <w:pStyle w:val="Default"/>
              <w:rPr>
                <w:sz w:val="18"/>
                <w:szCs w:val="18"/>
              </w:rPr>
            </w:pPr>
            <w:r>
              <w:rPr>
                <w:sz w:val="18"/>
                <w:szCs w:val="18"/>
              </w:rPr>
              <w:t xml:space="preserve">3. Netherlands Management Training Programme (NMTP) </w:t>
            </w:r>
          </w:p>
        </w:tc>
      </w:tr>
      <w:tr w:rsidR="00A05C79" w:rsidTr="00A05C79">
        <w:trPr>
          <w:trHeight w:val="807"/>
        </w:trPr>
        <w:tc>
          <w:tcPr>
            <w:tcW w:w="392" w:type="dxa"/>
          </w:tcPr>
          <w:p w:rsidR="00A05C79" w:rsidRDefault="00A05C79">
            <w:pPr>
              <w:pStyle w:val="Default"/>
              <w:rPr>
                <w:b/>
                <w:bCs/>
                <w:sz w:val="18"/>
                <w:szCs w:val="18"/>
              </w:rPr>
            </w:pPr>
            <w:r>
              <w:rPr>
                <w:b/>
                <w:bCs/>
                <w:sz w:val="18"/>
                <w:szCs w:val="18"/>
              </w:rPr>
              <w:t>3</w:t>
            </w:r>
          </w:p>
        </w:tc>
        <w:tc>
          <w:tcPr>
            <w:tcW w:w="2268" w:type="dxa"/>
          </w:tcPr>
          <w:p w:rsidR="00A05C79" w:rsidRDefault="00A05C79">
            <w:pPr>
              <w:pStyle w:val="Default"/>
              <w:rPr>
                <w:sz w:val="18"/>
                <w:szCs w:val="18"/>
              </w:rPr>
            </w:pPr>
            <w:r>
              <w:rPr>
                <w:b/>
                <w:bCs/>
                <w:sz w:val="18"/>
                <w:szCs w:val="18"/>
              </w:rPr>
              <w:t xml:space="preserve">Economic </w:t>
            </w:r>
          </w:p>
          <w:p w:rsidR="00A05C79" w:rsidRDefault="00A05C79">
            <w:pPr>
              <w:pStyle w:val="Default"/>
              <w:rPr>
                <w:sz w:val="18"/>
                <w:szCs w:val="18"/>
              </w:rPr>
            </w:pPr>
            <w:r>
              <w:rPr>
                <w:b/>
                <w:bCs/>
                <w:sz w:val="18"/>
                <w:szCs w:val="18"/>
              </w:rPr>
              <w:t>diplomacy (ED)</w:t>
            </w:r>
          </w:p>
        </w:tc>
        <w:tc>
          <w:tcPr>
            <w:tcW w:w="6804" w:type="dxa"/>
          </w:tcPr>
          <w:p w:rsidR="00A05C79" w:rsidRDefault="00A05C79">
            <w:pPr>
              <w:pStyle w:val="Default"/>
              <w:rPr>
                <w:sz w:val="18"/>
                <w:szCs w:val="18"/>
              </w:rPr>
            </w:pPr>
            <w:r>
              <w:rPr>
                <w:sz w:val="18"/>
                <w:szCs w:val="18"/>
              </w:rPr>
              <w:t>1. Activities relating to market structure, market access and the</w:t>
            </w:r>
          </w:p>
          <w:p w:rsidR="00A05C79" w:rsidRDefault="00A05C79">
            <w:pPr>
              <w:pStyle w:val="Default"/>
              <w:rPr>
                <w:sz w:val="18"/>
                <w:szCs w:val="18"/>
              </w:rPr>
            </w:pPr>
            <w:r>
              <w:rPr>
                <w:sz w:val="18"/>
                <w:szCs w:val="18"/>
              </w:rPr>
              <w:t xml:space="preserve">    resolution of problems faced by the partnership by the</w:t>
            </w:r>
          </w:p>
          <w:p w:rsidR="00A05C79" w:rsidRDefault="00A05C79">
            <w:pPr>
              <w:pStyle w:val="Default"/>
              <w:rPr>
                <w:sz w:val="18"/>
                <w:szCs w:val="18"/>
              </w:rPr>
            </w:pPr>
            <w:r>
              <w:rPr>
                <w:sz w:val="18"/>
                <w:szCs w:val="18"/>
              </w:rPr>
              <w:t xml:space="preserve">    diplomatic network in the country concerned </w:t>
            </w:r>
          </w:p>
          <w:p w:rsidR="00A05C79" w:rsidRDefault="00A05C79" w:rsidP="00A05C79">
            <w:pPr>
              <w:pStyle w:val="Default"/>
              <w:rPr>
                <w:sz w:val="18"/>
                <w:szCs w:val="18"/>
              </w:rPr>
            </w:pPr>
            <w:r>
              <w:rPr>
                <w:sz w:val="18"/>
                <w:szCs w:val="18"/>
              </w:rPr>
              <w:t>2. Activities relating to market structure, market access and the resolution of</w:t>
            </w:r>
            <w:r w:rsidR="000F0E1F">
              <w:rPr>
                <w:sz w:val="18"/>
                <w:szCs w:val="18"/>
              </w:rPr>
              <w:t xml:space="preserve"> </w:t>
            </w:r>
            <w:r>
              <w:rPr>
                <w:sz w:val="18"/>
                <w:szCs w:val="18"/>
              </w:rPr>
              <w:t>problems faced by the partnership by the ministries involved</w:t>
            </w:r>
          </w:p>
          <w:p w:rsidR="00A05C79" w:rsidRDefault="00A05C79" w:rsidP="00A05C79">
            <w:pPr>
              <w:pStyle w:val="Default"/>
              <w:rPr>
                <w:sz w:val="18"/>
                <w:szCs w:val="18"/>
              </w:rPr>
            </w:pPr>
            <w:r>
              <w:rPr>
                <w:sz w:val="18"/>
                <w:szCs w:val="18"/>
              </w:rPr>
              <w:t xml:space="preserve">     </w:t>
            </w:r>
          </w:p>
        </w:tc>
      </w:tr>
    </w:tbl>
    <w:p w:rsidR="00371537" w:rsidRPr="00AB4A34" w:rsidRDefault="00371537">
      <w:pPr>
        <w:rPr>
          <w:rFonts w:ascii="Verdana" w:hAnsi="Verdana"/>
          <w:sz w:val="18"/>
          <w:szCs w:val="18"/>
        </w:rPr>
      </w:pPr>
    </w:p>
    <w:p w:rsidR="00371537" w:rsidRPr="00AB4A34" w:rsidRDefault="00371537">
      <w:pPr>
        <w:rPr>
          <w:rFonts w:ascii="Verdana" w:hAnsi="Verdana"/>
          <w:sz w:val="18"/>
          <w:szCs w:val="18"/>
        </w:rPr>
      </w:pPr>
    </w:p>
    <w:p w:rsidR="006C2532" w:rsidRPr="00A631E6" w:rsidRDefault="006C2532">
      <w:pPr>
        <w:rPr>
          <w:rFonts w:ascii="Verdana" w:hAnsi="Verdana"/>
          <w:b/>
          <w:i/>
          <w:sz w:val="18"/>
          <w:szCs w:val="18"/>
          <w:u w:val="single"/>
        </w:rPr>
      </w:pPr>
      <w:r>
        <w:rPr>
          <w:rFonts w:ascii="Verdana" w:hAnsi="Verdana"/>
          <w:b/>
          <w:i/>
          <w:sz w:val="18"/>
          <w:szCs w:val="18"/>
          <w:u w:val="single"/>
        </w:rPr>
        <w:t>1.3 Results chain for PIB</w:t>
      </w:r>
    </w:p>
    <w:p w:rsidR="006C2532" w:rsidRDefault="006C2532" w:rsidP="006C2532">
      <w:pPr>
        <w:autoSpaceDE w:val="0"/>
        <w:autoSpaceDN w:val="0"/>
        <w:adjustRightInd w:val="0"/>
        <w:spacing w:line="240" w:lineRule="auto"/>
        <w:rPr>
          <w:rFonts w:ascii="Verdana" w:hAnsi="Verdana"/>
          <w:sz w:val="18"/>
          <w:szCs w:val="18"/>
        </w:rPr>
      </w:pPr>
      <w:r>
        <w:rPr>
          <w:rFonts w:ascii="Verdana" w:hAnsi="Verdana"/>
          <w:sz w:val="18"/>
          <w:szCs w:val="18"/>
        </w:rPr>
        <w:t>In mid-June 2013 a monitoring and impact measurement plan was drawn up for PIB, which mapped the policy theory through a results chain. For the impact component of the evaluation, the correctness of the policy theory was tested, the results chain providing a framework for systematic data collection, the identification of indicators for a systematic review and determination of the relationships between the various results levels.</w:t>
      </w:r>
    </w:p>
    <w:p w:rsidR="006C2532" w:rsidRPr="00AB4A34" w:rsidRDefault="006C2532" w:rsidP="006C2532">
      <w:pPr>
        <w:autoSpaceDE w:val="0"/>
        <w:autoSpaceDN w:val="0"/>
        <w:adjustRightInd w:val="0"/>
        <w:spacing w:line="240" w:lineRule="auto"/>
        <w:rPr>
          <w:rFonts w:ascii="Verdana" w:hAnsi="Verdana"/>
          <w:sz w:val="18"/>
          <w:szCs w:val="18"/>
        </w:rPr>
      </w:pPr>
    </w:p>
    <w:p w:rsidR="006C2532" w:rsidRPr="00701EA8" w:rsidRDefault="006C2532" w:rsidP="006C2532">
      <w:pPr>
        <w:autoSpaceDE w:val="0"/>
        <w:autoSpaceDN w:val="0"/>
        <w:adjustRightInd w:val="0"/>
        <w:spacing w:line="240" w:lineRule="auto"/>
        <w:rPr>
          <w:rFonts w:ascii="Verdana" w:hAnsi="Verdana" w:cs="Verdana"/>
          <w:sz w:val="18"/>
          <w:szCs w:val="18"/>
        </w:rPr>
      </w:pPr>
      <w:r>
        <w:rPr>
          <w:rFonts w:ascii="Verdana" w:hAnsi="Verdana"/>
          <w:sz w:val="18"/>
          <w:szCs w:val="18"/>
          <w:u w:val="single"/>
        </w:rPr>
        <w:t>The results chain for PIB is as follows</w:t>
      </w:r>
      <w:r>
        <w:rPr>
          <w:rFonts w:ascii="Verdana" w:hAnsi="Verdana"/>
          <w:sz w:val="18"/>
          <w:szCs w:val="18"/>
        </w:rPr>
        <w:t xml:space="preserve">. </w:t>
      </w:r>
    </w:p>
    <w:p w:rsidR="006C2532" w:rsidRDefault="006C2532" w:rsidP="006C2532">
      <w:pPr>
        <w:autoSpaceDE w:val="0"/>
        <w:autoSpaceDN w:val="0"/>
        <w:adjustRightInd w:val="0"/>
        <w:spacing w:line="240" w:lineRule="auto"/>
        <w:rPr>
          <w:rFonts w:ascii="Verdana" w:hAnsi="Verdana" w:cs="Verdana"/>
          <w:sz w:val="18"/>
          <w:szCs w:val="18"/>
        </w:rPr>
      </w:pPr>
      <w:r>
        <w:rPr>
          <w:rFonts w:ascii="Verdana" w:hAnsi="Verdana"/>
          <w:sz w:val="18"/>
          <w:szCs w:val="18"/>
        </w:rPr>
        <w:t>Clusters of companies report difficulties in accessing the target market or in launching their service or product on the market. In this context, collaboration with the Government is crucial</w:t>
      </w:r>
    </w:p>
    <w:p w:rsidR="00A05C79" w:rsidRDefault="006C2532" w:rsidP="006C2532">
      <w:pPr>
        <w:autoSpaceDE w:val="0"/>
        <w:autoSpaceDN w:val="0"/>
        <w:adjustRightInd w:val="0"/>
        <w:spacing w:line="240" w:lineRule="auto"/>
        <w:rPr>
          <w:rFonts w:ascii="Verdana" w:hAnsi="Verdana" w:cs="Verdana"/>
          <w:sz w:val="18"/>
          <w:szCs w:val="18"/>
        </w:rPr>
      </w:pPr>
      <w:r>
        <w:rPr>
          <w:rFonts w:ascii="Verdana" w:hAnsi="Verdana"/>
          <w:sz w:val="18"/>
          <w:szCs w:val="18"/>
        </w:rPr>
        <w:t xml:space="preserve">if the right conditions for doing business with countries which are of interest to Dutch entrepreneurs are to be created. The Government may contribute by 'opening doors' or tackling (trade) restrictions and market failure. </w:t>
      </w:r>
    </w:p>
    <w:p w:rsidR="007226C8" w:rsidRPr="00AB4A34" w:rsidRDefault="007226C8" w:rsidP="006C2532">
      <w:pPr>
        <w:autoSpaceDE w:val="0"/>
        <w:autoSpaceDN w:val="0"/>
        <w:adjustRightInd w:val="0"/>
        <w:spacing w:line="240" w:lineRule="auto"/>
        <w:rPr>
          <w:rFonts w:ascii="Verdana" w:hAnsi="Verdana" w:cs="Verdana"/>
          <w:sz w:val="18"/>
          <w:szCs w:val="18"/>
        </w:rPr>
      </w:pPr>
    </w:p>
    <w:p w:rsidR="007226C8" w:rsidRDefault="006C2532" w:rsidP="006C2532">
      <w:pPr>
        <w:autoSpaceDE w:val="0"/>
        <w:autoSpaceDN w:val="0"/>
        <w:adjustRightInd w:val="0"/>
        <w:spacing w:line="240" w:lineRule="auto"/>
        <w:rPr>
          <w:rFonts w:ascii="Verdana" w:hAnsi="Verdana" w:cs="Verdana"/>
          <w:sz w:val="18"/>
          <w:szCs w:val="18"/>
        </w:rPr>
      </w:pPr>
      <w:r>
        <w:rPr>
          <w:rFonts w:ascii="Verdana" w:hAnsi="Verdana"/>
          <w:sz w:val="18"/>
          <w:szCs w:val="18"/>
          <w:u w:val="single"/>
        </w:rPr>
        <w:t>To this end, three modules are used</w:t>
      </w:r>
      <w:r>
        <w:rPr>
          <w:rFonts w:ascii="Verdana" w:hAnsi="Verdana"/>
          <w:sz w:val="18"/>
          <w:szCs w:val="18"/>
        </w:rPr>
        <w:t xml:space="preserve">: </w:t>
      </w:r>
    </w:p>
    <w:p w:rsidR="007226C8" w:rsidRDefault="00A05C79" w:rsidP="006C2532">
      <w:pPr>
        <w:autoSpaceDE w:val="0"/>
        <w:autoSpaceDN w:val="0"/>
        <w:adjustRightInd w:val="0"/>
        <w:spacing w:line="240" w:lineRule="auto"/>
        <w:rPr>
          <w:rFonts w:ascii="Verdana" w:hAnsi="Verdana" w:cs="Verdana"/>
          <w:sz w:val="18"/>
          <w:szCs w:val="18"/>
        </w:rPr>
      </w:pPr>
      <w:r>
        <w:rPr>
          <w:rFonts w:ascii="Verdana" w:hAnsi="Verdana"/>
          <w:sz w:val="18"/>
          <w:szCs w:val="18"/>
        </w:rPr>
        <w:t xml:space="preserve">1. promotion &amp; matchmaking; 2. knowledge sharing &amp; networks; 3. economic diplomacy </w:t>
      </w:r>
    </w:p>
    <w:p w:rsidR="007226C8" w:rsidRDefault="007226C8" w:rsidP="006C2532">
      <w:pPr>
        <w:autoSpaceDE w:val="0"/>
        <w:autoSpaceDN w:val="0"/>
        <w:adjustRightInd w:val="0"/>
        <w:spacing w:line="240" w:lineRule="auto"/>
        <w:rPr>
          <w:rFonts w:ascii="Verdana" w:hAnsi="Verdana" w:cs="Verdana"/>
          <w:sz w:val="18"/>
          <w:szCs w:val="18"/>
        </w:rPr>
      </w:pPr>
      <w:r>
        <w:rPr>
          <w:rFonts w:ascii="Verdana" w:hAnsi="Verdana"/>
          <w:sz w:val="18"/>
          <w:szCs w:val="18"/>
        </w:rPr>
        <w:t>Re 1. Participation in trade fairs, missions, Holland Branding etc. (</w:t>
      </w:r>
      <w:r>
        <w:rPr>
          <w:rFonts w:ascii="Verdana" w:hAnsi="Verdana"/>
          <w:i/>
          <w:iCs/>
          <w:sz w:val="18"/>
          <w:szCs w:val="18"/>
        </w:rPr>
        <w:t>output</w:t>
      </w:r>
      <w:r>
        <w:rPr>
          <w:rFonts w:ascii="Verdana" w:hAnsi="Verdana"/>
          <w:sz w:val="18"/>
          <w:szCs w:val="18"/>
        </w:rPr>
        <w:t xml:space="preserve">) should result in greater awareness of the cluster members on the target market and expansion of the network. </w:t>
      </w:r>
    </w:p>
    <w:p w:rsidR="007226C8" w:rsidRDefault="007226C8" w:rsidP="006C2532">
      <w:pPr>
        <w:autoSpaceDE w:val="0"/>
        <w:autoSpaceDN w:val="0"/>
        <w:adjustRightInd w:val="0"/>
        <w:spacing w:line="240" w:lineRule="auto"/>
        <w:rPr>
          <w:rFonts w:ascii="Verdana" w:hAnsi="Verdana" w:cs="Verdana"/>
          <w:sz w:val="18"/>
          <w:szCs w:val="18"/>
        </w:rPr>
      </w:pPr>
      <w:r>
        <w:rPr>
          <w:rFonts w:ascii="Verdana" w:hAnsi="Verdana"/>
          <w:sz w:val="18"/>
          <w:szCs w:val="18"/>
        </w:rPr>
        <w:t>Re 2. The deployment of Government-to-Government (G2G) and Knowledge-to-Knowledge (K2K) initiatives (= output) will remove or reduce restrictions on trade, improve access to knowledge and better trained local personnel, and create goodwill amongst local authorities and stakeholders.</w:t>
      </w:r>
    </w:p>
    <w:p w:rsidR="007226C8" w:rsidRDefault="007226C8" w:rsidP="006C2532">
      <w:pPr>
        <w:autoSpaceDE w:val="0"/>
        <w:autoSpaceDN w:val="0"/>
        <w:adjustRightInd w:val="0"/>
        <w:spacing w:line="240" w:lineRule="auto"/>
        <w:rPr>
          <w:rFonts w:ascii="Verdana" w:hAnsi="Verdana" w:cs="Verdana"/>
          <w:sz w:val="18"/>
          <w:szCs w:val="18"/>
        </w:rPr>
      </w:pPr>
      <w:r>
        <w:rPr>
          <w:rFonts w:ascii="Verdana" w:hAnsi="Verdana"/>
          <w:sz w:val="18"/>
          <w:szCs w:val="18"/>
        </w:rPr>
        <w:t xml:space="preserve">Re 3. In addition, there is a wide range of economic diplomacy measures (= output) which can be implemented by the policy, the mission, the RVO and other ministries. </w:t>
      </w:r>
    </w:p>
    <w:p w:rsidR="007226C8" w:rsidRPr="00AB4A34" w:rsidRDefault="007226C8" w:rsidP="006C2532">
      <w:pPr>
        <w:autoSpaceDE w:val="0"/>
        <w:autoSpaceDN w:val="0"/>
        <w:adjustRightInd w:val="0"/>
        <w:spacing w:line="240" w:lineRule="auto"/>
        <w:rPr>
          <w:rFonts w:ascii="Verdana" w:hAnsi="Verdana" w:cs="Verdana"/>
          <w:sz w:val="18"/>
          <w:szCs w:val="18"/>
        </w:rPr>
      </w:pPr>
    </w:p>
    <w:p w:rsidR="00F2194A" w:rsidRDefault="006C2532" w:rsidP="006C2532">
      <w:pPr>
        <w:autoSpaceDE w:val="0"/>
        <w:autoSpaceDN w:val="0"/>
        <w:adjustRightInd w:val="0"/>
        <w:spacing w:line="240" w:lineRule="auto"/>
        <w:rPr>
          <w:rFonts w:ascii="Verdana" w:hAnsi="Verdana" w:cs="Verdana"/>
          <w:sz w:val="18"/>
          <w:szCs w:val="18"/>
        </w:rPr>
      </w:pPr>
      <w:r>
        <w:rPr>
          <w:rFonts w:ascii="Verdana" w:hAnsi="Verdana"/>
          <w:sz w:val="18"/>
          <w:szCs w:val="18"/>
        </w:rPr>
        <w:t>In this way, through a public/private partnership approach, efforts are made to find solutions to issues faced by business and industry, to raise the profile of participants within the target market and to create an extensive network for Dutch knowledge institutions, businesses and authorities (= outcomes). The assumption is that, in turn, these outcomes</w:t>
      </w:r>
      <w:r>
        <w:rPr>
          <w:rFonts w:ascii="Verdana" w:hAnsi="Verdana"/>
          <w:i/>
          <w:iCs/>
          <w:sz w:val="18"/>
          <w:szCs w:val="18"/>
        </w:rPr>
        <w:t xml:space="preserve"> </w:t>
      </w:r>
      <w:r>
        <w:rPr>
          <w:rFonts w:ascii="Verdana" w:hAnsi="Verdana"/>
          <w:sz w:val="18"/>
          <w:szCs w:val="18"/>
        </w:rPr>
        <w:t xml:space="preserve">will result in sustainable economic growth for the participants involved in terms of the target market, i.e. in the generation of business: imports, exports (orders, contracts), investments (= impact). </w:t>
      </w:r>
    </w:p>
    <w:p w:rsidR="00AE1D10" w:rsidRPr="00AB4A34" w:rsidRDefault="00AE1D10" w:rsidP="006C2532">
      <w:pPr>
        <w:autoSpaceDE w:val="0"/>
        <w:autoSpaceDN w:val="0"/>
        <w:adjustRightInd w:val="0"/>
        <w:spacing w:line="240" w:lineRule="auto"/>
        <w:rPr>
          <w:rFonts w:ascii="Verdana" w:hAnsi="Verdana" w:cs="Verdana"/>
          <w:sz w:val="18"/>
          <w:szCs w:val="18"/>
          <w:u w:val="single"/>
        </w:rPr>
      </w:pPr>
    </w:p>
    <w:p w:rsidR="00701EA8" w:rsidRDefault="00701EA8">
      <w:pPr>
        <w:rPr>
          <w:rFonts w:ascii="Verdana" w:hAnsi="Verdana" w:cs="Verdana"/>
          <w:sz w:val="18"/>
          <w:szCs w:val="18"/>
          <w:u w:val="single"/>
        </w:rPr>
      </w:pPr>
      <w:r>
        <w:br w:type="page"/>
      </w:r>
    </w:p>
    <w:p w:rsidR="00F2194A" w:rsidRDefault="00F2194A" w:rsidP="006C2532">
      <w:pPr>
        <w:autoSpaceDE w:val="0"/>
        <w:autoSpaceDN w:val="0"/>
        <w:adjustRightInd w:val="0"/>
        <w:spacing w:line="240" w:lineRule="auto"/>
        <w:rPr>
          <w:rFonts w:ascii="Verdana" w:hAnsi="Verdana" w:cs="Verdana"/>
          <w:sz w:val="18"/>
          <w:szCs w:val="18"/>
        </w:rPr>
      </w:pPr>
      <w:r>
        <w:rPr>
          <w:rFonts w:ascii="Verdana" w:hAnsi="Verdana"/>
          <w:sz w:val="18"/>
          <w:szCs w:val="18"/>
          <w:u w:val="single"/>
        </w:rPr>
        <w:lastRenderedPageBreak/>
        <w:t>Note re. diagram</w:t>
      </w:r>
      <w:r>
        <w:rPr>
          <w:rFonts w:ascii="Verdana" w:hAnsi="Verdana"/>
          <w:sz w:val="18"/>
          <w:szCs w:val="18"/>
        </w:rPr>
        <w:t>:</w:t>
      </w:r>
    </w:p>
    <w:p w:rsidR="00F2194A" w:rsidRDefault="00F2194A" w:rsidP="00F2194A">
      <w:pPr>
        <w:pStyle w:val="Lijstalinea"/>
        <w:numPr>
          <w:ilvl w:val="0"/>
          <w:numId w:val="15"/>
        </w:numPr>
        <w:autoSpaceDE w:val="0"/>
        <w:autoSpaceDN w:val="0"/>
        <w:adjustRightInd w:val="0"/>
        <w:spacing w:line="240" w:lineRule="auto"/>
        <w:rPr>
          <w:rFonts w:ascii="Verdana" w:hAnsi="Verdana" w:cs="Verdana"/>
          <w:sz w:val="18"/>
          <w:szCs w:val="18"/>
        </w:rPr>
      </w:pPr>
      <w:r>
        <w:rPr>
          <w:rFonts w:ascii="Verdana" w:hAnsi="Verdana"/>
          <w:sz w:val="18"/>
          <w:szCs w:val="18"/>
        </w:rPr>
        <w:t xml:space="preserve">'AgNL' (NL Agency) is now known as 'RVO'; </w:t>
      </w:r>
    </w:p>
    <w:p w:rsidR="006C2532" w:rsidRPr="00F2194A" w:rsidRDefault="00754FD3" w:rsidP="00F2194A">
      <w:pPr>
        <w:pStyle w:val="Lijstalinea"/>
        <w:numPr>
          <w:ilvl w:val="0"/>
          <w:numId w:val="15"/>
        </w:numPr>
        <w:autoSpaceDE w:val="0"/>
        <w:autoSpaceDN w:val="0"/>
        <w:adjustRightInd w:val="0"/>
        <w:spacing w:line="240" w:lineRule="auto"/>
        <w:rPr>
          <w:rFonts w:ascii="Verdana" w:hAnsi="Verdana" w:cs="Verdana"/>
          <w:sz w:val="18"/>
          <w:szCs w:val="18"/>
        </w:rPr>
      </w:pPr>
      <w:r>
        <w:rPr>
          <w:rFonts w:ascii="Verdana" w:hAnsi="Verdana"/>
          <w:sz w:val="18"/>
          <w:szCs w:val="18"/>
        </w:rPr>
        <w:t xml:space="preserve">a 'cluster' is a 'partnership within a PIB agreement'. </w:t>
      </w:r>
    </w:p>
    <w:p w:rsidR="006C2532" w:rsidRPr="00AB4A34" w:rsidRDefault="006C2532">
      <w:pPr>
        <w:rPr>
          <w:rFonts w:ascii="Verdana" w:hAnsi="Verdana"/>
          <w:sz w:val="18"/>
          <w:szCs w:val="18"/>
        </w:rPr>
      </w:pPr>
    </w:p>
    <w:p w:rsidR="006C2532" w:rsidRDefault="006C2532">
      <w:pPr>
        <w:rPr>
          <w:rFonts w:ascii="Verdana" w:hAnsi="Verdana"/>
          <w:sz w:val="18"/>
          <w:szCs w:val="18"/>
        </w:rPr>
      </w:pPr>
      <w:r w:rsidRPr="00627F77">
        <w:rPr>
          <w:rFonts w:ascii="Verdana" w:hAnsi="Verdana"/>
          <w:noProof/>
          <w:sz w:val="18"/>
          <w:szCs w:val="18"/>
          <w:lang w:val="nl-NL" w:eastAsia="nl-NL"/>
        </w:rPr>
        <w:drawing>
          <wp:inline distT="0" distB="0" distL="0" distR="0" wp14:anchorId="06770BFE" wp14:editId="2013B783">
            <wp:extent cx="6753225" cy="4457167"/>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53225" cy="4457167"/>
                    </a:xfrm>
                    <a:prstGeom prst="rect">
                      <a:avLst/>
                    </a:prstGeom>
                  </pic:spPr>
                </pic:pic>
              </a:graphicData>
            </a:graphic>
          </wp:inline>
        </w:drawing>
      </w:r>
    </w:p>
    <w:p w:rsidR="006C2532" w:rsidRDefault="006C2532">
      <w:pPr>
        <w:rPr>
          <w:rFonts w:ascii="Verdana" w:hAnsi="Verdana"/>
          <w:sz w:val="18"/>
          <w:szCs w:val="18"/>
          <w:lang w:val="nl-NL"/>
        </w:rPr>
      </w:pPr>
    </w:p>
    <w:p w:rsidR="006C2532" w:rsidRDefault="006C2532">
      <w:pPr>
        <w:rPr>
          <w:rFonts w:ascii="Verdana" w:hAnsi="Verdana"/>
          <w:sz w:val="18"/>
          <w:szCs w:val="18"/>
          <w:lang w:val="nl-NL"/>
        </w:rPr>
      </w:pPr>
    </w:p>
    <w:p w:rsidR="005125AC" w:rsidRDefault="006C2532">
      <w:pPr>
        <w:rPr>
          <w:rFonts w:ascii="Verdana" w:hAnsi="Verdana"/>
          <w:sz w:val="18"/>
          <w:szCs w:val="18"/>
        </w:rPr>
      </w:pPr>
      <w:r>
        <w:rPr>
          <w:rFonts w:ascii="Verdana" w:hAnsi="Verdana"/>
          <w:b/>
          <w:i/>
          <w:sz w:val="18"/>
          <w:szCs w:val="18"/>
          <w:u w:val="single"/>
        </w:rPr>
        <w:t>1.4 Implementation of PIB in RVO.nl bid</w:t>
      </w:r>
      <w:r>
        <w:rPr>
          <w:rFonts w:ascii="Verdana" w:hAnsi="Verdana"/>
          <w:i/>
          <w:sz w:val="18"/>
          <w:szCs w:val="18"/>
          <w:u w:val="single"/>
        </w:rPr>
        <w:br/>
      </w:r>
      <w:r>
        <w:rPr>
          <w:rFonts w:ascii="Verdana" w:hAnsi="Verdana"/>
          <w:sz w:val="18"/>
          <w:szCs w:val="18"/>
        </w:rPr>
        <w:t>Based on the bids submitted by RVO.nl to the Ministry of Foreign Affairs, PIB contributes to results area D</w:t>
      </w:r>
      <w:r w:rsidR="007A1AE2">
        <w:rPr>
          <w:rStyle w:val="Voetnootmarkering"/>
          <w:rFonts w:ascii="Verdana" w:hAnsi="Verdana"/>
          <w:sz w:val="18"/>
          <w:szCs w:val="18"/>
          <w:lang w:val="nl-NL"/>
        </w:rPr>
        <w:footnoteReference w:id="4"/>
      </w:r>
      <w:r>
        <w:rPr>
          <w:rFonts w:ascii="Verdana" w:hAnsi="Verdana"/>
          <w:sz w:val="18"/>
          <w:szCs w:val="18"/>
        </w:rPr>
        <w:t>: positioning the Netherlands’ key sectors on markets which are difficult to access through multi-annual public/private partnerships, and helping Dutch businesses access new markets or position themselves on those markets.</w:t>
      </w:r>
      <w:r w:rsidR="000F0E1F">
        <w:rPr>
          <w:rFonts w:ascii="Verdana" w:hAnsi="Verdana"/>
          <w:sz w:val="18"/>
          <w:szCs w:val="18"/>
        </w:rPr>
        <w:t xml:space="preserve"> </w:t>
      </w:r>
      <w:r w:rsidR="006F696A">
        <w:rPr>
          <w:rFonts w:ascii="Verdana" w:hAnsi="Verdana"/>
          <w:sz w:val="18"/>
          <w:szCs w:val="18"/>
        </w:rPr>
        <w:t xml:space="preserve">The target indicator for this, which was included in the bids, is the number of PIB agreements to be concluded. In 2015 the target figure was 20. In 2014, 2013 and 2012 the target figures were 25, 20 and 11 respectively. </w:t>
      </w:r>
    </w:p>
    <w:p w:rsidR="00754FD3" w:rsidRDefault="003E5752">
      <w:pPr>
        <w:rPr>
          <w:rFonts w:ascii="Verdana" w:hAnsi="Verdana"/>
          <w:i/>
          <w:sz w:val="18"/>
          <w:szCs w:val="18"/>
        </w:rPr>
      </w:pPr>
      <w:r>
        <w:rPr>
          <w:rFonts w:ascii="Verdana" w:hAnsi="Verdana"/>
          <w:sz w:val="18"/>
          <w:szCs w:val="18"/>
        </w:rPr>
        <w:t xml:space="preserve"> </w:t>
      </w:r>
    </w:p>
    <w:p w:rsidR="00701EA8" w:rsidRDefault="006C2532">
      <w:pPr>
        <w:rPr>
          <w:rFonts w:ascii="Verdana" w:hAnsi="Verdana"/>
          <w:sz w:val="18"/>
          <w:szCs w:val="18"/>
        </w:rPr>
      </w:pPr>
      <w:r>
        <w:rPr>
          <w:rFonts w:ascii="Verdana" w:hAnsi="Verdana"/>
          <w:b/>
          <w:i/>
          <w:sz w:val="18"/>
          <w:szCs w:val="18"/>
          <w:u w:val="single"/>
        </w:rPr>
        <w:t>1.5 Available source material</w:t>
      </w:r>
      <w:r>
        <w:rPr>
          <w:rFonts w:ascii="Verdana" w:hAnsi="Verdana"/>
          <w:sz w:val="18"/>
          <w:szCs w:val="18"/>
          <w:u w:val="single"/>
        </w:rPr>
        <w:br/>
      </w:r>
      <w:r>
        <w:rPr>
          <w:rFonts w:ascii="Verdana" w:hAnsi="Verdana"/>
          <w:sz w:val="18"/>
          <w:szCs w:val="18"/>
        </w:rPr>
        <w:t>The following are available from RVO.nl: the project documentation for implementation of the PIB programme, other implementation data with self-evaluations, results overviews for PIB, the monitoring and impact measurement plan for PIB and public information on PIB on the website. This source material is in Dutch.</w:t>
      </w:r>
    </w:p>
    <w:p w:rsidR="00701EA8" w:rsidRDefault="003E5752">
      <w:pPr>
        <w:rPr>
          <w:rFonts w:ascii="Verdana" w:hAnsi="Verdana"/>
          <w:sz w:val="18"/>
          <w:szCs w:val="18"/>
        </w:rPr>
      </w:pPr>
      <w:r>
        <w:rPr>
          <w:rFonts w:ascii="Verdana" w:hAnsi="Verdana"/>
          <w:sz w:val="18"/>
          <w:szCs w:val="18"/>
        </w:rPr>
        <w:lastRenderedPageBreak/>
        <w:t>Policy-wise the following are available: the audit of 2g@there conducted by PricewaterhouseCoopers, the policy response to this, the published policy guidelines for PIB and parliamentary papers on PIB. This source material is in Dutch.</w:t>
      </w:r>
    </w:p>
    <w:p w:rsidR="000F0E1F" w:rsidRDefault="000F0E1F">
      <w:pPr>
        <w:rPr>
          <w:rFonts w:ascii="Verdana" w:hAnsi="Verdana"/>
          <w:sz w:val="18"/>
          <w:szCs w:val="18"/>
        </w:rPr>
      </w:pPr>
    </w:p>
    <w:p w:rsidR="00E322E1" w:rsidRDefault="00B32802">
      <w:pPr>
        <w:rPr>
          <w:rFonts w:ascii="Verdana" w:hAnsi="Verdana"/>
          <w:sz w:val="18"/>
          <w:szCs w:val="18"/>
        </w:rPr>
      </w:pPr>
      <w:r>
        <w:rPr>
          <w:rFonts w:ascii="Verdana" w:hAnsi="Verdana"/>
          <w:sz w:val="18"/>
          <w:szCs w:val="18"/>
        </w:rPr>
        <w:t xml:space="preserve">The multi-annual plans (MJSP, MIB) are available from the missions concerned. </w:t>
      </w:r>
    </w:p>
    <w:p w:rsidR="00E322E1" w:rsidRPr="00AB4A34" w:rsidRDefault="00E322E1">
      <w:pPr>
        <w:rPr>
          <w:rFonts w:ascii="Verdana" w:hAnsi="Verdana"/>
          <w:sz w:val="18"/>
          <w:szCs w:val="18"/>
        </w:rPr>
      </w:pPr>
    </w:p>
    <w:p w:rsidR="00E322E1" w:rsidRPr="00AB4A34" w:rsidRDefault="00E322E1">
      <w:pPr>
        <w:rPr>
          <w:rFonts w:ascii="Verdana" w:hAnsi="Verdana"/>
          <w:sz w:val="18"/>
          <w:szCs w:val="18"/>
        </w:rPr>
      </w:pPr>
    </w:p>
    <w:p w:rsidR="00D30B10" w:rsidRPr="00A631E6" w:rsidRDefault="004D2C1D">
      <w:pPr>
        <w:rPr>
          <w:rFonts w:ascii="Verdana" w:hAnsi="Verdana"/>
          <w:i/>
          <w:sz w:val="18"/>
          <w:szCs w:val="18"/>
          <w:u w:val="single"/>
        </w:rPr>
      </w:pPr>
      <w:r>
        <w:rPr>
          <w:rFonts w:ascii="Verdana" w:hAnsi="Verdana"/>
          <w:b/>
          <w:sz w:val="18"/>
          <w:szCs w:val="18"/>
          <w:u w:val="single"/>
        </w:rPr>
        <w:t>2. Purpose and scope of the review</w:t>
      </w:r>
    </w:p>
    <w:p w:rsidR="00ED7632" w:rsidRPr="00AB4A34" w:rsidRDefault="00ED7632">
      <w:pPr>
        <w:rPr>
          <w:rFonts w:ascii="Verdana" w:hAnsi="Verdana"/>
          <w:sz w:val="18"/>
          <w:szCs w:val="18"/>
        </w:rPr>
      </w:pPr>
    </w:p>
    <w:p w:rsidR="001C466C" w:rsidRDefault="00556C50" w:rsidP="001C466C">
      <w:pPr>
        <w:rPr>
          <w:rFonts w:ascii="Verdana" w:hAnsi="Verdana"/>
          <w:sz w:val="18"/>
          <w:szCs w:val="18"/>
        </w:rPr>
      </w:pPr>
      <w:r>
        <w:rPr>
          <w:rFonts w:ascii="Verdana" w:hAnsi="Verdana"/>
          <w:b/>
          <w:i/>
          <w:sz w:val="18"/>
          <w:szCs w:val="18"/>
          <w:u w:val="single"/>
        </w:rPr>
        <w:t>2.1 Purpose of the review</w:t>
      </w:r>
      <w:r>
        <w:rPr>
          <w:rFonts w:ascii="Verdana" w:hAnsi="Verdana"/>
          <w:b/>
          <w:sz w:val="18"/>
          <w:szCs w:val="18"/>
          <w:u w:val="single"/>
        </w:rPr>
        <w:br/>
      </w:r>
      <w:r>
        <w:rPr>
          <w:rFonts w:ascii="Verdana" w:hAnsi="Verdana"/>
          <w:sz w:val="18"/>
          <w:szCs w:val="18"/>
        </w:rPr>
        <w:t xml:space="preserve">As stated earlier, this review essentially has three objectives: </w:t>
      </w:r>
    </w:p>
    <w:p w:rsidR="001C466C" w:rsidRDefault="00ED7632" w:rsidP="00ED7632">
      <w:pPr>
        <w:pStyle w:val="Lijstalinea"/>
        <w:numPr>
          <w:ilvl w:val="0"/>
          <w:numId w:val="19"/>
        </w:numPr>
        <w:rPr>
          <w:rFonts w:ascii="Verdana" w:hAnsi="Verdana"/>
          <w:sz w:val="18"/>
          <w:szCs w:val="18"/>
        </w:rPr>
      </w:pPr>
      <w:r>
        <w:rPr>
          <w:rFonts w:ascii="Verdana" w:hAnsi="Verdana"/>
          <w:sz w:val="18"/>
          <w:szCs w:val="18"/>
        </w:rPr>
        <w:t>to give an account of the policy pursued in terms of effectiveness and efficiency:</w:t>
      </w:r>
    </w:p>
    <w:p w:rsidR="001C466C" w:rsidRDefault="00ED7632" w:rsidP="00ED7632">
      <w:pPr>
        <w:pStyle w:val="Lijstalinea"/>
        <w:numPr>
          <w:ilvl w:val="0"/>
          <w:numId w:val="19"/>
        </w:numPr>
        <w:rPr>
          <w:rFonts w:ascii="Verdana" w:hAnsi="Verdana"/>
          <w:sz w:val="18"/>
          <w:szCs w:val="18"/>
        </w:rPr>
      </w:pPr>
      <w:r>
        <w:rPr>
          <w:rFonts w:ascii="Verdana" w:hAnsi="Verdana"/>
          <w:sz w:val="18"/>
          <w:szCs w:val="18"/>
        </w:rPr>
        <w:t>to learn lessons from practice in order to further improve policy and implementation;</w:t>
      </w:r>
    </w:p>
    <w:p w:rsidR="00682E0F" w:rsidRPr="001C466C" w:rsidRDefault="00ED7632" w:rsidP="00ED7632">
      <w:pPr>
        <w:pStyle w:val="Lijstalinea"/>
        <w:numPr>
          <w:ilvl w:val="0"/>
          <w:numId w:val="19"/>
        </w:numPr>
        <w:rPr>
          <w:rFonts w:ascii="Verdana" w:hAnsi="Verdana"/>
          <w:sz w:val="18"/>
          <w:szCs w:val="18"/>
        </w:rPr>
      </w:pPr>
      <w:r>
        <w:rPr>
          <w:rFonts w:ascii="Verdana" w:hAnsi="Verdana"/>
          <w:sz w:val="18"/>
          <w:szCs w:val="18"/>
        </w:rPr>
        <w:t xml:space="preserve">to inform the policy audit of policy article 1.2 of the budget of the department of Foreign Trade and Development Cooperation (BHOS), which will be undertaken by the Ministry of Foreign Affairs’  Policy and Operations Evaluation Department (IOB). This policy audit covers several instruments; this review will provide input for PIB. </w:t>
      </w:r>
    </w:p>
    <w:p w:rsidR="00682E0F" w:rsidRPr="00AB4A34" w:rsidRDefault="00682E0F" w:rsidP="00ED7632">
      <w:pPr>
        <w:rPr>
          <w:rFonts w:ascii="Verdana" w:hAnsi="Verdana"/>
          <w:sz w:val="18"/>
          <w:szCs w:val="18"/>
        </w:rPr>
      </w:pPr>
    </w:p>
    <w:p w:rsidR="001C466C" w:rsidRDefault="00B42323" w:rsidP="00ED7632">
      <w:pPr>
        <w:rPr>
          <w:rFonts w:ascii="Verdana" w:hAnsi="Verdana"/>
          <w:sz w:val="18"/>
          <w:szCs w:val="18"/>
        </w:rPr>
      </w:pPr>
      <w:r>
        <w:rPr>
          <w:rFonts w:ascii="Verdana" w:hAnsi="Verdana"/>
          <w:sz w:val="18"/>
          <w:szCs w:val="18"/>
        </w:rPr>
        <w:t>The PIB review will also investigate (additional objective 4)</w:t>
      </w:r>
    </w:p>
    <w:p w:rsidR="001C466C" w:rsidRDefault="001C466C" w:rsidP="001C466C">
      <w:pPr>
        <w:rPr>
          <w:rFonts w:ascii="Verdana" w:hAnsi="Verdana"/>
          <w:sz w:val="18"/>
          <w:szCs w:val="18"/>
        </w:rPr>
      </w:pPr>
      <w:r>
        <w:rPr>
          <w:rFonts w:ascii="Verdana" w:hAnsi="Verdana"/>
          <w:sz w:val="18"/>
          <w:szCs w:val="18"/>
        </w:rPr>
        <w:t xml:space="preserve">4.   to what extent the recommendations from the audit of 2g@there have been incorporated in the PIB. </w:t>
      </w:r>
    </w:p>
    <w:p w:rsidR="00B87DF5" w:rsidRDefault="00682E0F" w:rsidP="001C466C">
      <w:pPr>
        <w:rPr>
          <w:rFonts w:ascii="Verdana" w:hAnsi="Verdana"/>
          <w:sz w:val="18"/>
          <w:szCs w:val="18"/>
        </w:rPr>
      </w:pPr>
      <w:r>
        <w:rPr>
          <w:rFonts w:ascii="Verdana" w:hAnsi="Verdana"/>
          <w:sz w:val="18"/>
          <w:szCs w:val="18"/>
        </w:rPr>
        <w:t>The key recommendations were as follows:</w:t>
      </w:r>
      <w:r>
        <w:rPr>
          <w:rFonts w:ascii="Verdana" w:hAnsi="Verdana"/>
          <w:sz w:val="18"/>
          <w:szCs w:val="18"/>
        </w:rPr>
        <w:br/>
        <w:t>- retain programmatic, multi-annual approach;</w:t>
      </w:r>
      <w:r>
        <w:rPr>
          <w:rFonts w:ascii="Verdana" w:hAnsi="Verdana"/>
          <w:sz w:val="18"/>
          <w:szCs w:val="18"/>
        </w:rPr>
        <w:br/>
        <w:t>- create an appropriate balance between a long-term approach and flexibility;</w:t>
      </w:r>
      <w:r>
        <w:rPr>
          <w:rFonts w:ascii="Verdana" w:hAnsi="Verdana"/>
          <w:sz w:val="18"/>
          <w:szCs w:val="18"/>
        </w:rPr>
        <w:br/>
        <w:t>- focus on the Government’s unique role;</w:t>
      </w:r>
      <w:r>
        <w:rPr>
          <w:rFonts w:ascii="Verdana" w:hAnsi="Verdana"/>
          <w:sz w:val="18"/>
          <w:szCs w:val="18"/>
        </w:rPr>
        <w:br/>
        <w:t>- convey clearly the added value of the Government;</w:t>
      </w:r>
      <w:r>
        <w:rPr>
          <w:rFonts w:ascii="Verdana" w:hAnsi="Verdana"/>
          <w:sz w:val="18"/>
          <w:szCs w:val="18"/>
        </w:rPr>
        <w:br/>
        <w:t>- consider coordinating the different interests of stakeholders within the Government</w:t>
      </w:r>
    </w:p>
    <w:p w:rsidR="00682E0F" w:rsidRDefault="00B87DF5" w:rsidP="00ED7632">
      <w:pPr>
        <w:rPr>
          <w:rFonts w:ascii="Verdana" w:hAnsi="Verdana"/>
          <w:sz w:val="18"/>
          <w:szCs w:val="18"/>
        </w:rPr>
      </w:pPr>
      <w:r>
        <w:rPr>
          <w:rFonts w:ascii="Verdana" w:hAnsi="Verdana"/>
          <w:sz w:val="18"/>
          <w:szCs w:val="18"/>
        </w:rPr>
        <w:t xml:space="preserve">  more effectively;</w:t>
      </w:r>
      <w:r>
        <w:rPr>
          <w:rFonts w:ascii="Verdana" w:hAnsi="Verdana"/>
          <w:sz w:val="18"/>
          <w:szCs w:val="18"/>
        </w:rPr>
        <w:br/>
        <w:t>- retain the effective components of 2g@there;</w:t>
      </w:r>
      <w:r>
        <w:rPr>
          <w:rFonts w:ascii="Verdana" w:hAnsi="Verdana"/>
          <w:sz w:val="18"/>
          <w:szCs w:val="18"/>
        </w:rPr>
        <w:br/>
        <w:t>- create scope for the strategic deployment of subsidies;</w:t>
      </w:r>
      <w:r>
        <w:rPr>
          <w:rFonts w:ascii="Verdana" w:hAnsi="Verdana"/>
          <w:sz w:val="18"/>
          <w:szCs w:val="18"/>
        </w:rPr>
        <w:br/>
        <w:t>- define the partnership’s point of departure;</w:t>
      </w:r>
      <w:r>
        <w:rPr>
          <w:rFonts w:ascii="Verdana" w:hAnsi="Verdana"/>
          <w:sz w:val="18"/>
          <w:szCs w:val="18"/>
        </w:rPr>
        <w:br/>
        <w:t>- expand the feasibility study;</w:t>
      </w:r>
      <w:r>
        <w:rPr>
          <w:rFonts w:ascii="Verdana" w:hAnsi="Verdana"/>
          <w:sz w:val="18"/>
          <w:szCs w:val="18"/>
        </w:rPr>
        <w:br/>
        <w:t>- formulate concrete objectives for 2g@there as a whole;</w:t>
      </w:r>
      <w:r>
        <w:rPr>
          <w:rFonts w:ascii="Verdana" w:hAnsi="Verdana"/>
          <w:sz w:val="18"/>
          <w:szCs w:val="18"/>
        </w:rPr>
        <w:br/>
        <w:t>- formulate concrete success indicators for individual programmes;</w:t>
      </w:r>
      <w:r>
        <w:rPr>
          <w:rFonts w:ascii="Verdana" w:hAnsi="Verdana"/>
          <w:sz w:val="18"/>
          <w:szCs w:val="18"/>
        </w:rPr>
        <w:br/>
        <w:t>- monitor progress based on these success indicators;</w:t>
      </w:r>
      <w:r>
        <w:rPr>
          <w:rFonts w:ascii="Verdana" w:hAnsi="Verdana"/>
          <w:sz w:val="18"/>
          <w:szCs w:val="18"/>
        </w:rPr>
        <w:br/>
        <w:t>- make sure there is adequate specialist knowledge and expertise, both prior to and during implementation.</w:t>
      </w:r>
    </w:p>
    <w:p w:rsidR="00682E0F" w:rsidRPr="00AB4A34" w:rsidRDefault="00682E0F" w:rsidP="00ED7632">
      <w:pPr>
        <w:rPr>
          <w:rFonts w:ascii="Verdana" w:hAnsi="Verdana"/>
          <w:sz w:val="18"/>
          <w:szCs w:val="18"/>
        </w:rPr>
      </w:pPr>
    </w:p>
    <w:p w:rsidR="00ED7632" w:rsidRDefault="00ED7632" w:rsidP="00ED7632">
      <w:pPr>
        <w:rPr>
          <w:rFonts w:ascii="Verdana" w:hAnsi="Verdana"/>
          <w:sz w:val="18"/>
          <w:szCs w:val="18"/>
        </w:rPr>
      </w:pPr>
      <w:r>
        <w:rPr>
          <w:rFonts w:ascii="Verdana" w:hAnsi="Verdana"/>
          <w:sz w:val="18"/>
          <w:szCs w:val="18"/>
        </w:rPr>
        <w:t>These four objectives will be considered in more detail in the research questions.</w:t>
      </w:r>
    </w:p>
    <w:p w:rsidR="00ED7632" w:rsidRPr="00AB4A34" w:rsidRDefault="00ED7632" w:rsidP="00ED7632">
      <w:pPr>
        <w:rPr>
          <w:rFonts w:ascii="Verdana" w:hAnsi="Verdana"/>
          <w:sz w:val="18"/>
          <w:szCs w:val="18"/>
        </w:rPr>
      </w:pPr>
    </w:p>
    <w:p w:rsidR="001C466C" w:rsidRDefault="00556C50" w:rsidP="000A2620">
      <w:pPr>
        <w:rPr>
          <w:rFonts w:ascii="Verdana" w:hAnsi="Verdana"/>
          <w:sz w:val="18"/>
          <w:szCs w:val="18"/>
        </w:rPr>
      </w:pPr>
      <w:r>
        <w:rPr>
          <w:rFonts w:ascii="Verdana" w:hAnsi="Verdana"/>
          <w:b/>
          <w:i/>
          <w:sz w:val="18"/>
          <w:szCs w:val="18"/>
          <w:u w:val="single"/>
        </w:rPr>
        <w:t>2.2 Scope of the review</w:t>
      </w:r>
      <w:r>
        <w:rPr>
          <w:rFonts w:ascii="Verdana" w:hAnsi="Verdana"/>
          <w:sz w:val="18"/>
          <w:szCs w:val="18"/>
          <w:u w:val="single"/>
        </w:rPr>
        <w:br/>
      </w:r>
      <w:r>
        <w:rPr>
          <w:rFonts w:ascii="Verdana" w:hAnsi="Verdana"/>
          <w:sz w:val="18"/>
          <w:szCs w:val="18"/>
        </w:rPr>
        <w:t xml:space="preserve">The review will comprise of a process review section and an impact assessment section. </w:t>
      </w:r>
      <w:r>
        <w:rPr>
          <w:rFonts w:ascii="Verdana" w:hAnsi="Verdana"/>
          <w:sz w:val="18"/>
          <w:szCs w:val="18"/>
        </w:rPr>
        <w:br/>
      </w:r>
      <w:r>
        <w:rPr>
          <w:rFonts w:ascii="Verdana" w:hAnsi="Verdana"/>
          <w:sz w:val="18"/>
          <w:szCs w:val="18"/>
        </w:rPr>
        <w:br/>
        <w:t xml:space="preserve">The research period for the process review is 16 February 2012 (launch of the PIB) up to and including </w:t>
      </w:r>
    </w:p>
    <w:p w:rsidR="000A2620" w:rsidRDefault="00276F4B" w:rsidP="000A2620">
      <w:pPr>
        <w:rPr>
          <w:rFonts w:ascii="Verdana" w:hAnsi="Verdana"/>
          <w:i/>
          <w:sz w:val="18"/>
          <w:szCs w:val="18"/>
        </w:rPr>
      </w:pPr>
      <w:r>
        <w:rPr>
          <w:rFonts w:ascii="Verdana" w:hAnsi="Verdana"/>
          <w:sz w:val="18"/>
          <w:szCs w:val="18"/>
        </w:rPr>
        <w:t xml:space="preserve">31 December 2015 and covers the establishment, implementation and management of PIB, including the introduction of pre-PIBs. </w:t>
      </w:r>
      <w:r>
        <w:rPr>
          <w:rFonts w:ascii="Verdana" w:hAnsi="Verdana"/>
          <w:sz w:val="18"/>
          <w:szCs w:val="18"/>
        </w:rPr>
        <w:br/>
      </w:r>
      <w:r>
        <w:rPr>
          <w:rFonts w:ascii="Verdana" w:hAnsi="Verdana"/>
          <w:sz w:val="18"/>
          <w:szCs w:val="18"/>
        </w:rPr>
        <w:br/>
        <w:t>The impact assessment component includes PIB agreements which started in 2012, 2013 and 2014 and relates to the impact which these agreements have had on the participants and other stakeholders.</w:t>
      </w:r>
      <w:r>
        <w:rPr>
          <w:rFonts w:ascii="Verdana" w:hAnsi="Verdana"/>
          <w:b/>
          <w:sz w:val="18"/>
          <w:szCs w:val="18"/>
        </w:rPr>
        <w:t xml:space="preserve"> </w:t>
      </w:r>
    </w:p>
    <w:p w:rsidR="004D2C1D" w:rsidRPr="00A631E6" w:rsidRDefault="004D2C1D" w:rsidP="00ED7632">
      <w:pPr>
        <w:rPr>
          <w:rFonts w:ascii="Verdana" w:hAnsi="Verdana"/>
          <w:i/>
          <w:sz w:val="18"/>
          <w:szCs w:val="18"/>
          <w:u w:val="single"/>
        </w:rPr>
      </w:pPr>
      <w:r>
        <w:br w:type="page"/>
      </w:r>
      <w:r>
        <w:rPr>
          <w:rFonts w:ascii="Verdana" w:hAnsi="Verdana"/>
          <w:b/>
          <w:sz w:val="18"/>
          <w:szCs w:val="18"/>
          <w:u w:val="single"/>
        </w:rPr>
        <w:lastRenderedPageBreak/>
        <w:t>3. Research questions</w:t>
      </w:r>
    </w:p>
    <w:p w:rsidR="004D2C1D" w:rsidRPr="00AB4A34" w:rsidRDefault="004D2C1D" w:rsidP="00ED7632">
      <w:pPr>
        <w:rPr>
          <w:rFonts w:ascii="Verdana" w:hAnsi="Verdana"/>
          <w:sz w:val="18"/>
          <w:szCs w:val="18"/>
        </w:rPr>
      </w:pPr>
    </w:p>
    <w:p w:rsidR="004D2C1D" w:rsidRPr="00A631E6" w:rsidRDefault="006C2532" w:rsidP="00ED7632">
      <w:pPr>
        <w:rPr>
          <w:rFonts w:ascii="Verdana" w:hAnsi="Verdana"/>
          <w:b/>
          <w:i/>
          <w:sz w:val="18"/>
          <w:szCs w:val="18"/>
          <w:u w:val="single"/>
        </w:rPr>
      </w:pPr>
      <w:r>
        <w:rPr>
          <w:rFonts w:ascii="Verdana" w:hAnsi="Verdana"/>
          <w:b/>
          <w:i/>
          <w:sz w:val="18"/>
          <w:szCs w:val="18"/>
          <w:u w:val="single"/>
        </w:rPr>
        <w:t>3.1 Process review (how was the instrument implemented?)</w:t>
      </w:r>
      <w:r>
        <w:rPr>
          <w:rFonts w:ascii="Verdana" w:hAnsi="Verdana"/>
          <w:b/>
          <w:i/>
          <w:sz w:val="18"/>
          <w:szCs w:val="18"/>
          <w:u w:val="single"/>
        </w:rPr>
        <w:br/>
        <w:t xml:space="preserve"> </w:t>
      </w:r>
    </w:p>
    <w:p w:rsidR="00C45F1A"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Selection and conclusion of PIB agreements</w:t>
      </w:r>
    </w:p>
    <w:p w:rsidR="00EA738E" w:rsidRPr="00C45F1A" w:rsidRDefault="00724649"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How was the assessment framework for the PIB agreements, including the country list, created and applied to the selection of PIB agreements? </w:t>
      </w:r>
    </w:p>
    <w:p w:rsidR="00724649" w:rsidRDefault="00682E0F"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role did RVO.NL, the Ministry of Foreign Affairs (and other ministries, where appropriate) and the missions (embassies) play in the conclusion and selection of PIB agreements? For example, in identifying market restrictions and promising sectors?</w:t>
      </w:r>
    </w:p>
    <w:p w:rsidR="00EA6A2D" w:rsidRDefault="00682E0F"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role did the potential participants themselves (and, where appropriate, any consultants or organisations engaged by them) have in the conclusion of PIB agreements? For example, in identifying market restrictions and promising sectors?</w:t>
      </w:r>
    </w:p>
    <w:p w:rsidR="00E45256" w:rsidRDefault="00E4525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was it clear in advance to potential PIB participants what was expected of them and what they could expect from the Government (e.g. a demand-driven, flexible and dynamic approach)?</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did potential participants think in practice of the administrative burden associated with the drawing up and selection of PIB agreements?</w:t>
      </w:r>
    </w:p>
    <w:p w:rsidR="00C45F1A" w:rsidRPr="00A631E6" w:rsidRDefault="00C45F1A"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rPr>
        <w:br/>
      </w:r>
      <w:r>
        <w:rPr>
          <w:rFonts w:ascii="Verdana" w:hAnsi="Verdana"/>
          <w:i/>
          <w:sz w:val="18"/>
          <w:szCs w:val="18"/>
          <w:u w:val="single"/>
        </w:rPr>
        <w:t>Management and accountability of selected PIB agreements</w:t>
      </w:r>
    </w:p>
    <w:p w:rsidR="00C45F1A" w:rsidRDefault="00E4525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was it clear to participants in the selected PIB agreements what was expected of them in terms of management and accountability during implementation of the PIB agreement?</w:t>
      </w:r>
    </w:p>
    <w:p w:rsidR="00EA6A2D" w:rsidRDefault="00EA6A2D"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approach did (a) the participants, (b) the missions, (c) RVO.nl and (d) the Ministry of Foreign Affairs take in terms of management and accountability during the practical implementation of the PIB agreement?</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did the participants in the selected PIB agreements think in practice of the administrative burden of management, implementation and accountability in the case of the missions and RVO.nl?</w:t>
      </w:r>
    </w:p>
    <w:p w:rsidR="00166723" w:rsidRDefault="000A61C7"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To what extent did the implementation by RVO.nl and the missions take into account the outcomes of the customer satisfaction surveys which RVO.nl had carried out for PIB? </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was participation in a PIB agreement part of a broader strategy for potential participants? Was there any synergy, for example, with other instruments designed to promote trade, and, if so, with which instruments?</w:t>
      </w:r>
    </w:p>
    <w:p w:rsidR="000A61C7" w:rsidRPr="00AB4A34" w:rsidRDefault="000A61C7" w:rsidP="00EB5C0B">
      <w:pPr>
        <w:pBdr>
          <w:top w:val="single" w:sz="4" w:space="1" w:color="auto"/>
          <w:left w:val="single" w:sz="4" w:space="4" w:color="auto"/>
          <w:bottom w:val="single" w:sz="4" w:space="1" w:color="auto"/>
          <w:right w:val="single" w:sz="4" w:space="4" w:color="auto"/>
        </w:pBdr>
        <w:rPr>
          <w:rFonts w:ascii="Verdana" w:hAnsi="Verdana"/>
          <w:sz w:val="18"/>
          <w:szCs w:val="18"/>
        </w:rPr>
      </w:pPr>
    </w:p>
    <w:p w:rsidR="000A61C7"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Governance</w:t>
      </w:r>
    </w:p>
    <w:p w:rsidR="00445696" w:rsidRDefault="0044569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How did the coordinators monitor the implementation of PIB agreements by the public and private participants and how was this perceived by the latter (public and private)?</w:t>
      </w:r>
    </w:p>
    <w:p w:rsidR="008425A2"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How did programme implementers within RVO.nl and the missions monitor the implementation of PIB agreements by the participants (public and private)?</w:t>
      </w:r>
    </w:p>
    <w:p w:rsidR="000A2620" w:rsidRDefault="000A2620"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did the PIB contribute to the long-term strategy of the missions concerned (as set out in the Government’s multi-annual strategic plan (MJSP) and multi-annual policy framework (MIB))?</w:t>
      </w:r>
    </w:p>
    <w:p w:rsidR="0001195A" w:rsidRDefault="0001195A"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did the PIB contribute to the long-term strategy of the departments concerned for the respective countries?</w:t>
      </w:r>
    </w:p>
    <w:p w:rsidR="008425A2"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How did the Ministry of Foreign Affairs monitor PIB implementation by RVO.nl and the missions?  </w:t>
      </w:r>
    </w:p>
    <w:p w:rsidR="00445696" w:rsidRPr="00AB4A34" w:rsidRDefault="00445696" w:rsidP="00EB5C0B">
      <w:pPr>
        <w:pBdr>
          <w:top w:val="single" w:sz="4" w:space="1" w:color="auto"/>
          <w:left w:val="single" w:sz="4" w:space="4" w:color="auto"/>
          <w:bottom w:val="single" w:sz="4" w:space="1" w:color="auto"/>
          <w:right w:val="single" w:sz="4" w:space="4" w:color="auto"/>
        </w:pBdr>
        <w:rPr>
          <w:rFonts w:ascii="Verdana" w:hAnsi="Verdana"/>
          <w:sz w:val="18"/>
          <w:szCs w:val="18"/>
        </w:rPr>
      </w:pPr>
    </w:p>
    <w:p w:rsidR="00445696"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Efficiency</w:t>
      </w:r>
    </w:p>
    <w:p w:rsidR="00445696" w:rsidRPr="00445696" w:rsidRDefault="0044569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was the PIB efficiently implemented by RVO.nl and the missions (e.g. in terms of lead times, administrative burden, contractual issues)?</w:t>
      </w:r>
    </w:p>
    <w:p w:rsidR="00C45F1A" w:rsidRPr="00A631E6" w:rsidRDefault="00166723"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sz w:val="18"/>
          <w:szCs w:val="18"/>
        </w:rPr>
        <w:br/>
      </w:r>
      <w:r>
        <w:rPr>
          <w:rFonts w:ascii="Verdana" w:hAnsi="Verdana"/>
          <w:i/>
          <w:sz w:val="18"/>
          <w:szCs w:val="18"/>
          <w:u w:val="single"/>
        </w:rPr>
        <w:t>Recommendations from 2gthere</w:t>
      </w:r>
    </w:p>
    <w:p w:rsidR="008425A2" w:rsidRPr="00EB5C0B"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To what extent were the recommendations from the audit of 2g@there applied in the PIB set-up and implementation (where not covered by the other questions)? </w:t>
      </w:r>
    </w:p>
    <w:p w:rsidR="00EB5C0B" w:rsidRDefault="00EB5C0B" w:rsidP="00C45F1A">
      <w:pPr>
        <w:rPr>
          <w:rFonts w:ascii="Verdana" w:hAnsi="Verdana"/>
          <w:b/>
          <w:sz w:val="18"/>
          <w:szCs w:val="18"/>
        </w:rPr>
      </w:pPr>
      <w:r>
        <w:rPr>
          <w:rFonts w:ascii="Verdana" w:hAnsi="Verdana"/>
          <w:b/>
          <w:sz w:val="18"/>
          <w:szCs w:val="18"/>
        </w:rPr>
        <w:lastRenderedPageBreak/>
        <w:br/>
      </w:r>
    </w:p>
    <w:p w:rsidR="00C45F1A" w:rsidRDefault="006C2532" w:rsidP="00C45F1A">
      <w:pPr>
        <w:rPr>
          <w:rFonts w:ascii="Verdana" w:hAnsi="Verdana"/>
          <w:b/>
          <w:sz w:val="18"/>
          <w:szCs w:val="18"/>
        </w:rPr>
      </w:pPr>
      <w:r>
        <w:rPr>
          <w:rFonts w:ascii="Verdana" w:hAnsi="Verdana"/>
          <w:b/>
          <w:sz w:val="18"/>
          <w:szCs w:val="18"/>
        </w:rPr>
        <w:t>3.2 Impact assessment (what did the instrument deliver?)</w:t>
      </w:r>
    </w:p>
    <w:p w:rsidR="001E5A64" w:rsidRPr="00AB4A34" w:rsidRDefault="001E5A64" w:rsidP="00C45F1A">
      <w:pPr>
        <w:rPr>
          <w:rFonts w:ascii="Verdana" w:hAnsi="Verdana"/>
          <w:b/>
          <w:sz w:val="18"/>
          <w:szCs w:val="18"/>
        </w:rPr>
      </w:pPr>
    </w:p>
    <w:p w:rsidR="00445696" w:rsidRPr="00A631E6" w:rsidRDefault="00624C00"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Impact at different levels (testing of policy theory in PIB results chain)</w:t>
      </w:r>
    </w:p>
    <w:p w:rsidR="00445696" w:rsidRDefault="00445696"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did the PIB agreements selected achieve their objectives (i.e. the objectives set out in the agreements)?</w:t>
      </w:r>
    </w:p>
    <w:p w:rsidR="0001195A" w:rsidRDefault="0001195A"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What is the added value of involving international partners from the outset in terms of the impact of PIB?</w:t>
      </w:r>
    </w:p>
    <w:p w:rsidR="00624C00" w:rsidRDefault="00F00FE9"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did the PIB agreements selected achieve the objectives of the PIB instrument overall at outcome level: more access/more extensive network, greater awareness within the target market and better market access?</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Ditto at impact level: sustainable economic growth of the participants involved (ideally, making a distinction between small and medium-sized businesses and large companies) in terms of the target market (generation of business: imports/exports/investments/orders/contracts)?</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Ditto at policy goal level: positioning of partnerships of Dutch companies on promising markets and the creation of long-term access to those markets?</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has there been a sector-wide dissemination of the impact of PIB agreements to non-participants?</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are the results which have been achieved sustainable?</w:t>
      </w:r>
    </w:p>
    <w:p w:rsidR="00A631E6" w:rsidRPr="00AB4A34" w:rsidRDefault="00A631E6" w:rsidP="00EB5C0B">
      <w:pPr>
        <w:pBdr>
          <w:top w:val="single" w:sz="4" w:space="1" w:color="auto"/>
          <w:left w:val="single" w:sz="4" w:space="4" w:color="auto"/>
          <w:bottom w:val="single" w:sz="4" w:space="1" w:color="auto"/>
          <w:right w:val="single" w:sz="4" w:space="4" w:color="auto"/>
        </w:pBdr>
        <w:rPr>
          <w:rFonts w:ascii="Verdana" w:hAnsi="Verdana"/>
          <w:sz w:val="18"/>
          <w:szCs w:val="18"/>
        </w:rPr>
      </w:pPr>
    </w:p>
    <w:p w:rsidR="00624C00" w:rsidRPr="00A631E6" w:rsidRDefault="00624C00"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Extent to which the PIB is responsible for the impact</w:t>
      </w:r>
    </w:p>
    <w:p w:rsidR="00EB5C0B"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To what extent is the impact achieved attributable to the PIB as a whole, and to its three flexible modules? In other words, what is the added value compared with a situation without the PIB? Please specify whether the parties involves also deployed other instruments, such as export finance.</w:t>
      </w:r>
    </w:p>
    <w:p w:rsidR="00EB5C0B" w:rsidRPr="00AB4A34" w:rsidRDefault="00EB5C0B" w:rsidP="00EB5C0B">
      <w:pPr>
        <w:pBdr>
          <w:top w:val="single" w:sz="4" w:space="1" w:color="auto"/>
          <w:left w:val="single" w:sz="4" w:space="4" w:color="auto"/>
          <w:bottom w:val="single" w:sz="4" w:space="1" w:color="auto"/>
          <w:right w:val="single" w:sz="4" w:space="4" w:color="auto"/>
        </w:pBdr>
        <w:rPr>
          <w:rFonts w:ascii="Verdana" w:hAnsi="Verdana"/>
          <w:sz w:val="18"/>
          <w:szCs w:val="18"/>
          <w:u w:val="single"/>
        </w:rPr>
      </w:pPr>
    </w:p>
    <w:p w:rsidR="00EB5C0B" w:rsidRPr="00A631E6" w:rsidRDefault="00EB5C0B"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rPr>
      </w:pPr>
      <w:r>
        <w:rPr>
          <w:rFonts w:ascii="Verdana" w:hAnsi="Verdana"/>
          <w:i/>
          <w:sz w:val="18"/>
          <w:szCs w:val="18"/>
          <w:u w:val="single"/>
        </w:rPr>
        <w:t>Efficiency</w:t>
      </w:r>
    </w:p>
    <w:p w:rsidR="00EB5C0B" w:rsidRPr="00EB5C0B"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 xml:space="preserve"> Were the outputs achieved with the planned imports and was this cost-effective?</w:t>
      </w:r>
    </w:p>
    <w:p w:rsidR="00B42A04" w:rsidRPr="00AB4A34" w:rsidRDefault="00B42A04" w:rsidP="00B42A04">
      <w:pPr>
        <w:rPr>
          <w:rFonts w:ascii="Verdana" w:hAnsi="Verdana"/>
          <w:sz w:val="18"/>
          <w:szCs w:val="18"/>
        </w:rPr>
      </w:pPr>
    </w:p>
    <w:p w:rsidR="00EB5C0B" w:rsidRDefault="006C2532" w:rsidP="00B42A04">
      <w:pPr>
        <w:rPr>
          <w:rFonts w:ascii="Verdana" w:hAnsi="Verdana"/>
          <w:b/>
          <w:sz w:val="18"/>
          <w:szCs w:val="18"/>
        </w:rPr>
      </w:pPr>
      <w:r>
        <w:rPr>
          <w:rFonts w:ascii="Verdana" w:hAnsi="Verdana"/>
          <w:b/>
          <w:sz w:val="18"/>
          <w:szCs w:val="18"/>
        </w:rPr>
        <w:t>3.3 Recommendations for the future</w:t>
      </w:r>
    </w:p>
    <w:p w:rsidR="001E5A64" w:rsidRPr="00AB4A34" w:rsidRDefault="001E5A64" w:rsidP="00B42A04">
      <w:pPr>
        <w:rPr>
          <w:rFonts w:ascii="Verdana" w:hAnsi="Verdana"/>
          <w:sz w:val="18"/>
          <w:szCs w:val="18"/>
        </w:rPr>
      </w:pPr>
    </w:p>
    <w:p w:rsidR="00B42A04" w:rsidRPr="00B42A04" w:rsidRDefault="00B42A04" w:rsidP="00EB5C0B">
      <w:p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In order to deploy the instrument in an even more strategic and demand-driven way from 2016 onwards, we request recommendations for the following:</w:t>
      </w:r>
    </w:p>
    <w:p w:rsidR="00B42A04" w:rsidRDefault="00B42A04" w:rsidP="00EB5C0B">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Further improvement of the process of selection, management, accountability and governance of existing and future PIB agreements.</w:t>
      </w:r>
    </w:p>
    <w:p w:rsidR="006C4521" w:rsidRDefault="006C4521" w:rsidP="00EB5C0B">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How to guarantee that, on completion of the PIB, the financial contribution of the Government is replaced by a private contribution, so that the PIB can continue in the long term independently of ongoing funding by the Government.</w:t>
      </w:r>
    </w:p>
    <w:p w:rsidR="00EA738E" w:rsidRPr="006C4521" w:rsidRDefault="00B42A04" w:rsidP="006C4521">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rPr>
      </w:pPr>
      <w:r>
        <w:rPr>
          <w:rFonts w:ascii="Verdana" w:hAnsi="Verdana"/>
          <w:sz w:val="18"/>
          <w:szCs w:val="18"/>
        </w:rPr>
        <w:t>Further improvement of the impact of existing and future PIB agreements.</w:t>
      </w:r>
    </w:p>
    <w:p w:rsidR="00EB5C0B" w:rsidRPr="00AB4A34" w:rsidRDefault="00EB5C0B" w:rsidP="00ED7632">
      <w:pPr>
        <w:rPr>
          <w:rFonts w:ascii="Verdana" w:hAnsi="Verdana"/>
          <w:b/>
          <w:sz w:val="18"/>
          <w:szCs w:val="18"/>
        </w:rPr>
      </w:pPr>
    </w:p>
    <w:p w:rsidR="00325F1A" w:rsidRDefault="004D2C1D" w:rsidP="00ED7632">
      <w:pPr>
        <w:rPr>
          <w:rFonts w:ascii="Verdana" w:hAnsi="Verdana"/>
          <w:sz w:val="18"/>
          <w:szCs w:val="18"/>
        </w:rPr>
      </w:pPr>
      <w:r>
        <w:rPr>
          <w:rFonts w:ascii="Verdana" w:hAnsi="Verdana"/>
          <w:b/>
          <w:sz w:val="18"/>
          <w:szCs w:val="18"/>
          <w:u w:val="single"/>
        </w:rPr>
        <w:t>4. Methodology and approach to the research</w:t>
      </w:r>
      <w:r>
        <w:rPr>
          <w:rFonts w:ascii="Verdana" w:hAnsi="Verdana"/>
          <w:i/>
          <w:sz w:val="18"/>
          <w:szCs w:val="18"/>
        </w:rPr>
        <w:br/>
      </w:r>
      <w:r>
        <w:rPr>
          <w:rFonts w:ascii="Verdana" w:hAnsi="Verdana"/>
          <w:i/>
          <w:sz w:val="18"/>
          <w:szCs w:val="18"/>
        </w:rPr>
        <w:br/>
      </w:r>
      <w:r>
        <w:rPr>
          <w:rFonts w:ascii="Verdana" w:hAnsi="Verdana"/>
          <w:b/>
          <w:i/>
          <w:sz w:val="18"/>
          <w:szCs w:val="18"/>
          <w:u w:val="single"/>
        </w:rPr>
        <w:t>4.1 Qualitative and quantitative methods</w:t>
      </w:r>
      <w:r>
        <w:rPr>
          <w:rFonts w:ascii="Verdana" w:hAnsi="Verdana"/>
          <w:sz w:val="18"/>
          <w:szCs w:val="18"/>
          <w:u w:val="single"/>
        </w:rPr>
        <w:br/>
      </w:r>
      <w:r>
        <w:rPr>
          <w:rFonts w:ascii="Verdana" w:hAnsi="Verdana"/>
          <w:sz w:val="18"/>
          <w:szCs w:val="18"/>
        </w:rPr>
        <w:t xml:space="preserve">A review can use both quantitative and qualitative research methods. These methods complement each other in that quantitative techniques can provide a statistical basis for a more qualitative approach, while qualitative analysis can provide an explanation for the relationships identified in quantitative research. </w:t>
      </w:r>
    </w:p>
    <w:p w:rsidR="000F0E1F" w:rsidRDefault="000F0E1F" w:rsidP="00ED7632">
      <w:pPr>
        <w:rPr>
          <w:rFonts w:ascii="Verdana" w:hAnsi="Verdana"/>
          <w:b/>
          <w:sz w:val="18"/>
          <w:szCs w:val="18"/>
        </w:rPr>
      </w:pPr>
    </w:p>
    <w:p w:rsidR="00627F77" w:rsidRPr="006C4521" w:rsidRDefault="006C4521" w:rsidP="00ED7632">
      <w:pPr>
        <w:rPr>
          <w:rFonts w:ascii="Verdana" w:hAnsi="Verdana"/>
          <w:i/>
          <w:sz w:val="18"/>
          <w:szCs w:val="18"/>
        </w:rPr>
      </w:pPr>
      <w:r>
        <w:rPr>
          <w:rFonts w:ascii="Verdana" w:hAnsi="Verdana"/>
          <w:b/>
          <w:sz w:val="18"/>
          <w:szCs w:val="18"/>
        </w:rPr>
        <w:t xml:space="preserve">When conducting a quantitative analysis, it is important to bear in mind that the PIB is a tailor-made instrument in which each agreement incorporates a mix of modules based on the requirements of its participants which will be deployed in order to achieve its </w:t>
      </w:r>
      <w:r>
        <w:rPr>
          <w:rFonts w:ascii="Verdana" w:hAnsi="Verdana"/>
          <w:b/>
          <w:sz w:val="18"/>
          <w:szCs w:val="18"/>
        </w:rPr>
        <w:lastRenderedPageBreak/>
        <w:t>objectives.</w:t>
      </w:r>
      <w:r>
        <w:rPr>
          <w:rFonts w:ascii="Verdana" w:hAnsi="Verdana"/>
          <w:sz w:val="18"/>
          <w:szCs w:val="18"/>
        </w:rPr>
        <w:t xml:space="preserve">  In terms of the learning impact of the review, it is also important to carefully consider the impact of the PIB in practice (process).  </w:t>
      </w:r>
    </w:p>
    <w:p w:rsidR="001E5A64" w:rsidRDefault="001E5A64">
      <w:pPr>
        <w:rPr>
          <w:rFonts w:ascii="Verdana" w:hAnsi="Verdana"/>
          <w:i/>
          <w:sz w:val="18"/>
          <w:szCs w:val="18"/>
          <w:u w:val="single"/>
        </w:rPr>
      </w:pPr>
    </w:p>
    <w:p w:rsidR="00D17F99" w:rsidRDefault="00D17F99" w:rsidP="00D17F99">
      <w:pPr>
        <w:rPr>
          <w:rFonts w:ascii="Verdana" w:hAnsi="Verdana"/>
          <w:sz w:val="18"/>
          <w:szCs w:val="18"/>
        </w:rPr>
      </w:pPr>
      <w:r>
        <w:rPr>
          <w:rFonts w:ascii="Verdana" w:hAnsi="Verdana"/>
          <w:i/>
          <w:sz w:val="18"/>
          <w:szCs w:val="18"/>
          <w:u w:val="single"/>
        </w:rPr>
        <w:t>Available quantitative data</w:t>
      </w:r>
      <w:r>
        <w:rPr>
          <w:rFonts w:ascii="Verdana" w:hAnsi="Verdana"/>
          <w:sz w:val="18"/>
          <w:szCs w:val="18"/>
        </w:rPr>
        <w:br/>
        <w:t xml:space="preserve">As far as the quantitative approach is concerned, quantitative data is available from the applications for the conclusion of PIB agreements, the annual reports by the coordinators concerning the approved PIB agreements and the final reports of the coordinator, the mission concerned and the relevant programme manager at RVO.nl (project administration). In addition, a number of PIB agreements completed a baseline form (since 2014) which examines the baseline position of the company concerned in a structured manner. The interim self-evaluation with the coordinators in 2014 and the overview of the results of the PIB programmes from 2012-2013/2014 are also available, with a brief update from September 2015. </w:t>
      </w:r>
      <w:r>
        <w:rPr>
          <w:rFonts w:ascii="Verdana" w:hAnsi="Verdana"/>
          <w:b/>
          <w:sz w:val="18"/>
          <w:szCs w:val="18"/>
        </w:rPr>
        <w:t xml:space="preserve"> </w:t>
      </w:r>
      <w:r>
        <w:rPr>
          <w:rFonts w:ascii="Verdana" w:hAnsi="Verdana"/>
          <w:sz w:val="18"/>
          <w:szCs w:val="18"/>
        </w:rPr>
        <w:br/>
      </w:r>
      <w:r>
        <w:rPr>
          <w:rFonts w:ascii="Verdana" w:hAnsi="Verdana"/>
          <w:sz w:val="18"/>
          <w:szCs w:val="18"/>
        </w:rPr>
        <w:br/>
      </w:r>
      <w:r>
        <w:rPr>
          <w:rFonts w:ascii="Verdana" w:hAnsi="Verdana"/>
          <w:i/>
          <w:sz w:val="18"/>
          <w:szCs w:val="18"/>
          <w:u w:val="single"/>
        </w:rPr>
        <w:t>Available qualitative data</w:t>
      </w:r>
      <w:r>
        <w:rPr>
          <w:rFonts w:ascii="Verdana" w:hAnsi="Verdana"/>
          <w:sz w:val="18"/>
          <w:szCs w:val="18"/>
          <w:u w:val="single"/>
        </w:rPr>
        <w:br/>
      </w:r>
      <w:r>
        <w:rPr>
          <w:rFonts w:ascii="Verdana" w:hAnsi="Verdana"/>
          <w:sz w:val="18"/>
          <w:szCs w:val="18"/>
        </w:rPr>
        <w:t xml:space="preserve">As far as the qualitative approach is concerned, the aforementioned data also includes qualitative data (e.g. on trade restrictions and whether the agreement was executed according to plan). </w:t>
      </w:r>
    </w:p>
    <w:p w:rsidR="00D17F99" w:rsidRPr="00AB4A34" w:rsidRDefault="00D17F99" w:rsidP="00D17F99">
      <w:pPr>
        <w:rPr>
          <w:rFonts w:ascii="Verdana" w:hAnsi="Verdana"/>
          <w:sz w:val="18"/>
          <w:szCs w:val="18"/>
        </w:rPr>
      </w:pPr>
    </w:p>
    <w:p w:rsidR="00D17F99" w:rsidRDefault="00D17F99" w:rsidP="00D17F99">
      <w:pPr>
        <w:rPr>
          <w:rFonts w:ascii="Verdana" w:hAnsi="Verdana"/>
          <w:sz w:val="18"/>
          <w:szCs w:val="18"/>
        </w:rPr>
      </w:pPr>
      <w:r>
        <w:rPr>
          <w:rFonts w:ascii="Verdana" w:hAnsi="Verdana"/>
          <w:i/>
          <w:sz w:val="18"/>
          <w:szCs w:val="18"/>
          <w:u w:val="single"/>
        </w:rPr>
        <w:t>Research approach</w:t>
      </w:r>
      <w:r>
        <w:rPr>
          <w:rFonts w:ascii="Verdana" w:hAnsi="Verdana"/>
          <w:i/>
          <w:sz w:val="18"/>
          <w:szCs w:val="18"/>
        </w:rPr>
        <w:br/>
      </w:r>
      <w:r>
        <w:rPr>
          <w:rFonts w:ascii="Verdana" w:hAnsi="Verdana"/>
          <w:sz w:val="18"/>
          <w:szCs w:val="18"/>
        </w:rPr>
        <w:t xml:space="preserve">It is proposed that the review will include a combination of desk research and interviews, which will give both an overview of the instrument as a whole, and, through case studies, a detailed account of a number of specific examples. It is advisable to conduct a survey in order to obtain a broader picture than that obtained from the case studies. The source data for this survey must be able to be reused for research by Statistics Netherlands (CBS). </w:t>
      </w:r>
    </w:p>
    <w:p w:rsidR="00D17F99" w:rsidRPr="00AB4A34" w:rsidRDefault="00D17F99" w:rsidP="00D17F99">
      <w:pPr>
        <w:rPr>
          <w:rFonts w:ascii="Verdana" w:hAnsi="Verdana"/>
          <w:sz w:val="18"/>
          <w:szCs w:val="18"/>
        </w:rPr>
      </w:pPr>
    </w:p>
    <w:p w:rsidR="00A631E6" w:rsidRDefault="006D6160" w:rsidP="00D17F99">
      <w:pPr>
        <w:rPr>
          <w:rFonts w:ascii="Verdana" w:hAnsi="Verdana"/>
          <w:sz w:val="18"/>
          <w:szCs w:val="18"/>
        </w:rPr>
      </w:pPr>
      <w:r>
        <w:rPr>
          <w:rFonts w:ascii="Verdana" w:hAnsi="Verdana"/>
          <w:sz w:val="18"/>
          <w:szCs w:val="18"/>
        </w:rPr>
        <w:t xml:space="preserve">For the desk research, the available data has been specified above. For the interviews on policy and implementation, RVO.nl, the missions and policy workers at the ministries involved will be approached to give their views on the partnership process. </w:t>
      </w:r>
      <w:r w:rsidR="009D1B36">
        <w:rPr>
          <w:rFonts w:ascii="Verdana" w:hAnsi="Verdana"/>
          <w:sz w:val="18"/>
          <w:szCs w:val="18"/>
        </w:rPr>
        <w:t xml:space="preserve">As far as the experiences of participants are concerned, both the coordinators of the PIB agreements and the other parties involved may be approached. </w:t>
      </w:r>
    </w:p>
    <w:p w:rsidR="006D6160" w:rsidRDefault="009D1B36" w:rsidP="00D17F99">
      <w:pPr>
        <w:rPr>
          <w:rFonts w:ascii="Verdana" w:hAnsi="Verdana"/>
          <w:sz w:val="18"/>
          <w:szCs w:val="18"/>
        </w:rPr>
      </w:pPr>
      <w:r>
        <w:rPr>
          <w:rFonts w:ascii="Verdana" w:hAnsi="Verdana"/>
          <w:sz w:val="18"/>
          <w:szCs w:val="18"/>
        </w:rPr>
        <w:t xml:space="preserve">As well as providing a general overview of the instrument, case studies should be used to gain a deeper insight into the impact of the PIB in practice and the associated success and failure factors. The case studies can be used to identify the perspectives of the various parties involved in a PIB. </w:t>
      </w:r>
    </w:p>
    <w:p w:rsidR="00580F67" w:rsidRDefault="006D6160" w:rsidP="00ED7632">
      <w:pPr>
        <w:rPr>
          <w:rFonts w:ascii="Verdana" w:hAnsi="Verdana"/>
          <w:sz w:val="18"/>
          <w:szCs w:val="18"/>
        </w:rPr>
      </w:pPr>
      <w:r>
        <w:rPr>
          <w:rFonts w:ascii="Verdana" w:hAnsi="Verdana"/>
          <w:sz w:val="18"/>
          <w:szCs w:val="18"/>
        </w:rPr>
        <w:br/>
      </w:r>
      <w:r>
        <w:rPr>
          <w:rFonts w:ascii="Verdana" w:hAnsi="Verdana"/>
          <w:i/>
          <w:sz w:val="18"/>
          <w:szCs w:val="18"/>
          <w:u w:val="single"/>
        </w:rPr>
        <w:t>Case studies</w:t>
      </w:r>
      <w:r>
        <w:rPr>
          <w:rFonts w:ascii="Verdana" w:hAnsi="Verdana"/>
          <w:sz w:val="18"/>
          <w:szCs w:val="18"/>
          <w:u w:val="single"/>
        </w:rPr>
        <w:br/>
      </w:r>
      <w:r>
        <w:rPr>
          <w:rFonts w:ascii="Verdana" w:hAnsi="Verdana"/>
          <w:sz w:val="18"/>
          <w:szCs w:val="18"/>
        </w:rPr>
        <w:t xml:space="preserve">In the tailor-made approach of the PIB, they cannot be fully representative. Ideally however, case studies should include a number of different sectors (possibly several agreements in one case study relating to one sector in several countries), countries, knowledge-intensive and less knowledge-intensive agreements (use of knowledge-sharing module or otherwise), agreements which started in different years and both successful and less successful agreements in order to enhance the learning impact. </w:t>
      </w:r>
    </w:p>
    <w:p w:rsidR="000F0E1F" w:rsidRDefault="000F0E1F" w:rsidP="00ED7632">
      <w:pPr>
        <w:rPr>
          <w:rFonts w:ascii="Verdana" w:hAnsi="Verdana"/>
          <w:sz w:val="18"/>
          <w:szCs w:val="18"/>
        </w:rPr>
      </w:pPr>
    </w:p>
    <w:p w:rsidR="00F000A4" w:rsidRDefault="00185369" w:rsidP="00ED7632">
      <w:pPr>
        <w:rPr>
          <w:rFonts w:ascii="Verdana" w:hAnsi="Verdana"/>
          <w:sz w:val="18"/>
          <w:szCs w:val="18"/>
        </w:rPr>
      </w:pPr>
      <w:r>
        <w:rPr>
          <w:rFonts w:ascii="Verdana" w:hAnsi="Verdana"/>
          <w:sz w:val="18"/>
          <w:szCs w:val="18"/>
        </w:rPr>
        <w:t>As a general guide, around five case studies which relate to a number of countries with a large number of PIBs (e.g. China and the US) should be incorporated, including PIBs which cover knowledge institutions and PIBs which involve various kinds of trade restrictions.</w:t>
      </w:r>
      <w:r w:rsidR="000F0E1F">
        <w:rPr>
          <w:rFonts w:ascii="Verdana" w:hAnsi="Verdana"/>
          <w:sz w:val="18"/>
          <w:szCs w:val="18"/>
        </w:rPr>
        <w:t xml:space="preserve"> </w:t>
      </w:r>
      <w:r w:rsidR="0065495E">
        <w:rPr>
          <w:rFonts w:ascii="Verdana" w:hAnsi="Verdana"/>
          <w:sz w:val="18"/>
          <w:szCs w:val="18"/>
        </w:rPr>
        <w:t xml:space="preserve">Ideally, the five PIBs will have made joint use of the majority of the components of the three PIB modules and will be directed at four or five of the key sectors. </w:t>
      </w:r>
      <w:r w:rsidR="00036E3C">
        <w:rPr>
          <w:rFonts w:ascii="Verdana" w:hAnsi="Verdana"/>
          <w:sz w:val="18"/>
          <w:szCs w:val="18"/>
        </w:rPr>
        <w:t xml:space="preserve">The case studies should ideally analyse the differences between modules and chosen interventions and the differences between implementers, since these also vary in the tailor-made approach adopted by the PIB. </w:t>
      </w:r>
    </w:p>
    <w:p w:rsidR="00F000A4" w:rsidRPr="00AB4A34" w:rsidRDefault="00F000A4" w:rsidP="00ED7632">
      <w:pPr>
        <w:rPr>
          <w:rFonts w:ascii="Verdana" w:hAnsi="Verdana"/>
          <w:sz w:val="18"/>
          <w:szCs w:val="18"/>
        </w:rPr>
      </w:pPr>
    </w:p>
    <w:p w:rsidR="001E5A64" w:rsidRPr="001E5A64" w:rsidRDefault="001E5A64" w:rsidP="00ED7632">
      <w:pPr>
        <w:rPr>
          <w:rFonts w:ascii="Verdana" w:hAnsi="Verdana"/>
          <w:i/>
          <w:sz w:val="18"/>
          <w:szCs w:val="18"/>
          <w:u w:val="single"/>
        </w:rPr>
      </w:pPr>
      <w:r>
        <w:rPr>
          <w:rFonts w:ascii="Verdana" w:hAnsi="Verdana"/>
          <w:i/>
          <w:sz w:val="18"/>
          <w:szCs w:val="18"/>
          <w:u w:val="single"/>
        </w:rPr>
        <w:t xml:space="preserve">Contribution analysis </w:t>
      </w:r>
    </w:p>
    <w:p w:rsidR="003C2C01" w:rsidRDefault="00F000A4" w:rsidP="00ED7632">
      <w:pPr>
        <w:rPr>
          <w:rFonts w:ascii="Verdana" w:hAnsi="Verdana"/>
          <w:sz w:val="18"/>
          <w:szCs w:val="18"/>
        </w:rPr>
      </w:pPr>
      <w:r>
        <w:rPr>
          <w:rFonts w:ascii="Verdana" w:hAnsi="Verdana"/>
          <w:sz w:val="18"/>
          <w:szCs w:val="18"/>
        </w:rPr>
        <w:t xml:space="preserve">In addition, a contribution analysis must be performed. A contribution analysis can be used to weigh up the importance of various, potentially explanatory, factors. This includes factors which have contributed to (including interventions within the framework of the PIB) or hampered the achievement of the intended objectives. In this context, an exhaustive list of pre-defined factors will be reviewed on the basis of interviews with beneficiaries, economic service providers and policy workers, together </w:t>
      </w:r>
      <w:r>
        <w:rPr>
          <w:rFonts w:ascii="Verdana" w:hAnsi="Verdana"/>
          <w:sz w:val="18"/>
          <w:szCs w:val="18"/>
        </w:rPr>
        <w:lastRenderedPageBreak/>
        <w:t xml:space="preserve">with a documentary review and a survey of beneficiaries and other stakeholders.  </w:t>
      </w:r>
      <w:r w:rsidR="00AB4A34">
        <w:rPr>
          <w:rFonts w:ascii="Verdana" w:hAnsi="Verdana"/>
          <w:sz w:val="18"/>
          <w:szCs w:val="18"/>
        </w:rPr>
        <w:br/>
      </w:r>
    </w:p>
    <w:p w:rsidR="00F404EC" w:rsidRPr="001E5A64" w:rsidRDefault="00656870" w:rsidP="00ED7632">
      <w:pPr>
        <w:rPr>
          <w:rFonts w:ascii="Verdana" w:hAnsi="Verdana"/>
          <w:b/>
          <w:sz w:val="18"/>
          <w:szCs w:val="18"/>
          <w:u w:val="single"/>
        </w:rPr>
      </w:pPr>
      <w:r>
        <w:rPr>
          <w:rFonts w:ascii="Verdana" w:hAnsi="Verdana"/>
          <w:b/>
          <w:sz w:val="18"/>
          <w:szCs w:val="18"/>
          <w:u w:val="single"/>
        </w:rPr>
        <w:t>5. Timetable (the target date for completion is 31 December 2016 but this timetable may be deviated from where there is justification for doing so)</w:t>
      </w:r>
    </w:p>
    <w:p w:rsidR="00F404EC" w:rsidRPr="00AB4A34" w:rsidRDefault="00F404EC" w:rsidP="00ED7632">
      <w:pPr>
        <w:rPr>
          <w:rFonts w:ascii="Verdana" w:hAnsi="Verdana"/>
          <w:sz w:val="18"/>
          <w:szCs w:val="18"/>
          <w:u w:val="single"/>
        </w:rPr>
      </w:pPr>
    </w:p>
    <w:tbl>
      <w:tblPr>
        <w:tblStyle w:val="Tabelraster"/>
        <w:tblW w:w="0" w:type="auto"/>
        <w:tblLook w:val="04A0" w:firstRow="1" w:lastRow="0" w:firstColumn="1" w:lastColumn="0" w:noHBand="0" w:noVBand="1"/>
      </w:tblPr>
      <w:tblGrid>
        <w:gridCol w:w="6629"/>
        <w:gridCol w:w="2797"/>
      </w:tblGrid>
      <w:tr w:rsidR="005235B1" w:rsidTr="00535B83">
        <w:tc>
          <w:tcPr>
            <w:tcW w:w="6629" w:type="dxa"/>
          </w:tcPr>
          <w:p w:rsidR="005235B1" w:rsidRPr="00AE48FC" w:rsidRDefault="005235B1" w:rsidP="00ED7632">
            <w:pPr>
              <w:rPr>
                <w:rFonts w:ascii="Verdana" w:hAnsi="Verdana"/>
                <w:sz w:val="18"/>
                <w:szCs w:val="18"/>
              </w:rPr>
            </w:pPr>
            <w:r>
              <w:rPr>
                <w:rFonts w:ascii="Verdana" w:hAnsi="Verdana"/>
                <w:sz w:val="18"/>
                <w:szCs w:val="18"/>
              </w:rPr>
              <w:t>0. European market consultation</w:t>
            </w:r>
          </w:p>
        </w:tc>
        <w:tc>
          <w:tcPr>
            <w:tcW w:w="2797" w:type="dxa"/>
          </w:tcPr>
          <w:p w:rsidR="005235B1" w:rsidRPr="00AE48FC" w:rsidRDefault="00AE48FC" w:rsidP="00ED7632">
            <w:pPr>
              <w:rPr>
                <w:rFonts w:ascii="Verdana" w:hAnsi="Verdana"/>
                <w:sz w:val="18"/>
                <w:szCs w:val="18"/>
              </w:rPr>
            </w:pPr>
            <w:r>
              <w:rPr>
                <w:rFonts w:ascii="Verdana" w:hAnsi="Verdana"/>
                <w:sz w:val="18"/>
                <w:szCs w:val="18"/>
              </w:rPr>
              <w:t>July 2016</w:t>
            </w:r>
          </w:p>
        </w:tc>
      </w:tr>
      <w:tr w:rsidR="007272DA" w:rsidTr="00535B83">
        <w:tc>
          <w:tcPr>
            <w:tcW w:w="6629" w:type="dxa"/>
          </w:tcPr>
          <w:p w:rsidR="007272DA" w:rsidRDefault="007272DA" w:rsidP="00ED7632">
            <w:pPr>
              <w:rPr>
                <w:rFonts w:ascii="Verdana" w:hAnsi="Verdana"/>
                <w:sz w:val="18"/>
                <w:szCs w:val="18"/>
              </w:rPr>
            </w:pPr>
            <w:r>
              <w:rPr>
                <w:rFonts w:ascii="Verdana" w:hAnsi="Verdana"/>
                <w:sz w:val="18"/>
                <w:szCs w:val="18"/>
              </w:rPr>
              <w:t xml:space="preserve">1. Adopt TOR and issue closed tenders </w:t>
            </w:r>
          </w:p>
        </w:tc>
        <w:tc>
          <w:tcPr>
            <w:tcW w:w="2797" w:type="dxa"/>
          </w:tcPr>
          <w:p w:rsidR="007272DA" w:rsidRDefault="00AE48FC" w:rsidP="00ED7632">
            <w:pPr>
              <w:rPr>
                <w:rFonts w:ascii="Verdana" w:hAnsi="Verdana"/>
                <w:sz w:val="18"/>
                <w:szCs w:val="18"/>
              </w:rPr>
            </w:pPr>
            <w:r>
              <w:rPr>
                <w:rFonts w:ascii="Verdana" w:hAnsi="Verdana"/>
                <w:sz w:val="18"/>
                <w:szCs w:val="18"/>
              </w:rPr>
              <w:t>End of July 2016</w:t>
            </w:r>
          </w:p>
        </w:tc>
      </w:tr>
      <w:tr w:rsidR="007272DA" w:rsidTr="00535B83">
        <w:tc>
          <w:tcPr>
            <w:tcW w:w="6629" w:type="dxa"/>
          </w:tcPr>
          <w:p w:rsidR="007272DA" w:rsidRDefault="007272DA" w:rsidP="00ED7632">
            <w:pPr>
              <w:rPr>
                <w:rFonts w:ascii="Verdana" w:hAnsi="Verdana"/>
                <w:sz w:val="18"/>
                <w:szCs w:val="18"/>
              </w:rPr>
            </w:pPr>
            <w:r>
              <w:rPr>
                <w:rFonts w:ascii="Verdana" w:hAnsi="Verdana"/>
                <w:sz w:val="18"/>
                <w:szCs w:val="18"/>
              </w:rPr>
              <w:t xml:space="preserve">2. Evaluation of bids and award of contract </w:t>
            </w:r>
          </w:p>
        </w:tc>
        <w:tc>
          <w:tcPr>
            <w:tcW w:w="2797" w:type="dxa"/>
          </w:tcPr>
          <w:p w:rsidR="007272DA" w:rsidRDefault="00AE48FC" w:rsidP="00535B83">
            <w:pPr>
              <w:rPr>
                <w:rFonts w:ascii="Verdana" w:hAnsi="Verdana"/>
                <w:sz w:val="18"/>
                <w:szCs w:val="18"/>
              </w:rPr>
            </w:pPr>
            <w:r>
              <w:rPr>
                <w:rFonts w:ascii="Verdana" w:hAnsi="Verdana"/>
                <w:sz w:val="18"/>
                <w:szCs w:val="18"/>
              </w:rPr>
              <w:t>September 2016</w:t>
            </w:r>
          </w:p>
        </w:tc>
      </w:tr>
      <w:tr w:rsidR="007272DA" w:rsidTr="00535B83">
        <w:tc>
          <w:tcPr>
            <w:tcW w:w="6629" w:type="dxa"/>
          </w:tcPr>
          <w:p w:rsidR="007272DA" w:rsidRDefault="007272DA" w:rsidP="00ED7632">
            <w:pPr>
              <w:rPr>
                <w:rFonts w:ascii="Verdana" w:hAnsi="Verdana"/>
                <w:sz w:val="18"/>
                <w:szCs w:val="18"/>
              </w:rPr>
            </w:pPr>
            <w:r>
              <w:rPr>
                <w:rFonts w:ascii="Verdana" w:hAnsi="Verdana"/>
                <w:sz w:val="18"/>
                <w:szCs w:val="18"/>
              </w:rPr>
              <w:t xml:space="preserve">3. Review kick-off with review agency and reference group </w:t>
            </w:r>
          </w:p>
        </w:tc>
        <w:tc>
          <w:tcPr>
            <w:tcW w:w="2797" w:type="dxa"/>
          </w:tcPr>
          <w:p w:rsidR="007272DA" w:rsidRDefault="00AE48FC" w:rsidP="00535B83">
            <w:pPr>
              <w:rPr>
                <w:rFonts w:ascii="Verdana" w:hAnsi="Verdana"/>
                <w:sz w:val="18"/>
                <w:szCs w:val="18"/>
              </w:rPr>
            </w:pPr>
            <w:r>
              <w:rPr>
                <w:rFonts w:ascii="Verdana" w:hAnsi="Verdana"/>
                <w:sz w:val="18"/>
                <w:szCs w:val="18"/>
              </w:rPr>
              <w:t>September 2016</w:t>
            </w:r>
          </w:p>
        </w:tc>
      </w:tr>
      <w:tr w:rsidR="007272DA" w:rsidRPr="00535B83" w:rsidTr="00535B83">
        <w:tc>
          <w:tcPr>
            <w:tcW w:w="6629" w:type="dxa"/>
          </w:tcPr>
          <w:p w:rsidR="007272DA" w:rsidRDefault="00535B83" w:rsidP="00535B83">
            <w:pPr>
              <w:rPr>
                <w:rFonts w:ascii="Verdana" w:hAnsi="Verdana"/>
                <w:sz w:val="18"/>
                <w:szCs w:val="18"/>
              </w:rPr>
            </w:pPr>
            <w:r>
              <w:rPr>
                <w:rFonts w:ascii="Verdana" w:hAnsi="Verdana"/>
                <w:sz w:val="18"/>
                <w:szCs w:val="18"/>
              </w:rPr>
              <w:t>Where appropriate, discussion of interim selection of case studies and structure for interviews</w:t>
            </w:r>
          </w:p>
        </w:tc>
        <w:tc>
          <w:tcPr>
            <w:tcW w:w="2797" w:type="dxa"/>
          </w:tcPr>
          <w:p w:rsidR="007272DA" w:rsidRDefault="00AE48FC" w:rsidP="00ED7632">
            <w:pPr>
              <w:rPr>
                <w:rFonts w:ascii="Verdana" w:hAnsi="Verdana"/>
                <w:sz w:val="18"/>
                <w:szCs w:val="18"/>
              </w:rPr>
            </w:pPr>
            <w:r>
              <w:rPr>
                <w:rFonts w:ascii="Verdana" w:hAnsi="Verdana"/>
                <w:sz w:val="18"/>
                <w:szCs w:val="18"/>
              </w:rPr>
              <w:t>October 2016</w:t>
            </w:r>
          </w:p>
        </w:tc>
      </w:tr>
      <w:tr w:rsidR="007272DA" w:rsidRPr="00535B83" w:rsidTr="00535B83">
        <w:tc>
          <w:tcPr>
            <w:tcW w:w="6629" w:type="dxa"/>
          </w:tcPr>
          <w:p w:rsidR="007272DA" w:rsidRDefault="00492AA3" w:rsidP="00ED7632">
            <w:pPr>
              <w:rPr>
                <w:rFonts w:ascii="Verdana" w:hAnsi="Verdana"/>
                <w:sz w:val="18"/>
                <w:szCs w:val="18"/>
              </w:rPr>
            </w:pPr>
            <w:r>
              <w:rPr>
                <w:rFonts w:ascii="Verdana" w:hAnsi="Verdana"/>
                <w:sz w:val="18"/>
                <w:szCs w:val="18"/>
              </w:rPr>
              <w:t>4. Submission of draft report</w:t>
            </w:r>
          </w:p>
        </w:tc>
        <w:tc>
          <w:tcPr>
            <w:tcW w:w="2797" w:type="dxa"/>
          </w:tcPr>
          <w:p w:rsidR="007272DA" w:rsidRDefault="00CF0A41" w:rsidP="00535B83">
            <w:pPr>
              <w:rPr>
                <w:rFonts w:ascii="Verdana" w:hAnsi="Verdana"/>
                <w:sz w:val="18"/>
                <w:szCs w:val="18"/>
              </w:rPr>
            </w:pPr>
            <w:r>
              <w:rPr>
                <w:rFonts w:ascii="Verdana" w:hAnsi="Verdana"/>
                <w:sz w:val="18"/>
                <w:szCs w:val="18"/>
              </w:rPr>
              <w:t>November 2016</w:t>
            </w:r>
          </w:p>
        </w:tc>
      </w:tr>
      <w:tr w:rsidR="007272DA" w:rsidRPr="00535B83" w:rsidTr="00535B83">
        <w:tc>
          <w:tcPr>
            <w:tcW w:w="6629" w:type="dxa"/>
          </w:tcPr>
          <w:p w:rsidR="007272DA" w:rsidRDefault="00492AA3" w:rsidP="00ED7632">
            <w:pPr>
              <w:rPr>
                <w:rFonts w:ascii="Verdana" w:hAnsi="Verdana"/>
                <w:sz w:val="18"/>
                <w:szCs w:val="18"/>
              </w:rPr>
            </w:pPr>
            <w:r>
              <w:rPr>
                <w:rFonts w:ascii="Verdana" w:hAnsi="Verdana"/>
                <w:sz w:val="18"/>
                <w:szCs w:val="18"/>
              </w:rPr>
              <w:t xml:space="preserve">5. Feedback on draft report by review committee </w:t>
            </w:r>
          </w:p>
        </w:tc>
        <w:tc>
          <w:tcPr>
            <w:tcW w:w="2797" w:type="dxa"/>
          </w:tcPr>
          <w:p w:rsidR="007272DA" w:rsidRDefault="00535B83" w:rsidP="00535B83">
            <w:pPr>
              <w:rPr>
                <w:rFonts w:ascii="Verdana" w:hAnsi="Verdana"/>
                <w:sz w:val="18"/>
                <w:szCs w:val="18"/>
              </w:rPr>
            </w:pPr>
            <w:r>
              <w:rPr>
                <w:rFonts w:ascii="Verdana" w:hAnsi="Verdana"/>
                <w:sz w:val="18"/>
                <w:szCs w:val="18"/>
              </w:rPr>
              <w:t>November 2016</w:t>
            </w:r>
          </w:p>
        </w:tc>
      </w:tr>
      <w:tr w:rsidR="007272DA" w:rsidTr="00535B83">
        <w:tc>
          <w:tcPr>
            <w:tcW w:w="6629" w:type="dxa"/>
          </w:tcPr>
          <w:p w:rsidR="007272DA" w:rsidRDefault="00492AA3" w:rsidP="00ED7632">
            <w:pPr>
              <w:rPr>
                <w:rFonts w:ascii="Verdana" w:hAnsi="Verdana"/>
                <w:sz w:val="18"/>
                <w:szCs w:val="18"/>
              </w:rPr>
            </w:pPr>
            <w:r>
              <w:rPr>
                <w:rFonts w:ascii="Verdana" w:hAnsi="Verdana"/>
                <w:sz w:val="18"/>
                <w:szCs w:val="18"/>
              </w:rPr>
              <w:t>6. Submission of final report</w:t>
            </w:r>
          </w:p>
        </w:tc>
        <w:tc>
          <w:tcPr>
            <w:tcW w:w="2797" w:type="dxa"/>
          </w:tcPr>
          <w:p w:rsidR="007272DA" w:rsidRDefault="00CF0A41" w:rsidP="00535B83">
            <w:pPr>
              <w:rPr>
                <w:rFonts w:ascii="Verdana" w:hAnsi="Verdana"/>
                <w:sz w:val="18"/>
                <w:szCs w:val="18"/>
              </w:rPr>
            </w:pPr>
            <w:r>
              <w:rPr>
                <w:rFonts w:ascii="Verdana" w:hAnsi="Verdana"/>
                <w:sz w:val="18"/>
                <w:szCs w:val="18"/>
              </w:rPr>
              <w:t>December 2016</w:t>
            </w:r>
          </w:p>
        </w:tc>
      </w:tr>
      <w:tr w:rsidR="007272DA" w:rsidTr="00535B83">
        <w:tc>
          <w:tcPr>
            <w:tcW w:w="6629" w:type="dxa"/>
          </w:tcPr>
          <w:p w:rsidR="007272DA" w:rsidRDefault="004121B7" w:rsidP="00ED7632">
            <w:pPr>
              <w:rPr>
                <w:rFonts w:ascii="Verdana" w:hAnsi="Verdana"/>
                <w:sz w:val="18"/>
                <w:szCs w:val="18"/>
              </w:rPr>
            </w:pPr>
            <w:r>
              <w:rPr>
                <w:rFonts w:ascii="Verdana" w:hAnsi="Verdana"/>
                <w:sz w:val="18"/>
                <w:szCs w:val="18"/>
              </w:rPr>
              <w:t>7. Where appropriate, comments on final report by reference group/review committee and processing of those comments by review agency</w:t>
            </w:r>
          </w:p>
        </w:tc>
        <w:tc>
          <w:tcPr>
            <w:tcW w:w="2797" w:type="dxa"/>
          </w:tcPr>
          <w:p w:rsidR="007272DA" w:rsidRDefault="00535B83" w:rsidP="00535B83">
            <w:pPr>
              <w:rPr>
                <w:rFonts w:ascii="Verdana" w:hAnsi="Verdana"/>
                <w:sz w:val="18"/>
                <w:szCs w:val="18"/>
              </w:rPr>
            </w:pPr>
            <w:r>
              <w:rPr>
                <w:rFonts w:ascii="Verdana" w:hAnsi="Verdana"/>
                <w:sz w:val="18"/>
                <w:szCs w:val="18"/>
              </w:rPr>
              <w:t>December 2016</w:t>
            </w:r>
          </w:p>
        </w:tc>
      </w:tr>
    </w:tbl>
    <w:p w:rsidR="00F404EC" w:rsidRDefault="00F404EC" w:rsidP="00ED7632">
      <w:pPr>
        <w:rPr>
          <w:rFonts w:ascii="Verdana" w:hAnsi="Verdana"/>
          <w:sz w:val="18"/>
          <w:szCs w:val="18"/>
          <w:lang w:val="nl-NL"/>
        </w:rPr>
      </w:pPr>
    </w:p>
    <w:p w:rsidR="006B3471" w:rsidRPr="001E5A64" w:rsidRDefault="00656870" w:rsidP="00ED7632">
      <w:pPr>
        <w:rPr>
          <w:rFonts w:ascii="Verdana" w:hAnsi="Verdana"/>
          <w:b/>
          <w:sz w:val="18"/>
          <w:szCs w:val="18"/>
          <w:u w:val="single"/>
        </w:rPr>
      </w:pPr>
      <w:r>
        <w:rPr>
          <w:rFonts w:ascii="Verdana" w:hAnsi="Verdana"/>
          <w:b/>
          <w:sz w:val="18"/>
          <w:szCs w:val="18"/>
          <w:u w:val="single"/>
        </w:rPr>
        <w:t xml:space="preserve">7. </w:t>
      </w:r>
      <w:r w:rsidR="002C5980">
        <w:rPr>
          <w:rFonts w:ascii="Verdana" w:hAnsi="Verdana"/>
          <w:b/>
          <w:sz w:val="18"/>
          <w:szCs w:val="18"/>
          <w:u w:val="single"/>
        </w:rPr>
        <w:t xml:space="preserve">Budget and </w:t>
      </w:r>
      <w:r w:rsidR="00AB4A34">
        <w:rPr>
          <w:rFonts w:ascii="Verdana" w:hAnsi="Verdana"/>
          <w:b/>
          <w:sz w:val="18"/>
          <w:szCs w:val="18"/>
          <w:u w:val="single"/>
        </w:rPr>
        <w:t xml:space="preserve">language </w:t>
      </w:r>
      <w:r w:rsidR="002C5980">
        <w:rPr>
          <w:rFonts w:ascii="Verdana" w:hAnsi="Verdana"/>
          <w:b/>
          <w:sz w:val="18"/>
          <w:szCs w:val="18"/>
          <w:u w:val="single"/>
        </w:rPr>
        <w:t>for review proposals</w:t>
      </w:r>
    </w:p>
    <w:p w:rsidR="006B3471" w:rsidRPr="00AB4A34" w:rsidRDefault="006B3471" w:rsidP="00ED7632">
      <w:pPr>
        <w:rPr>
          <w:rFonts w:ascii="Verdana" w:hAnsi="Verdana"/>
          <w:b/>
          <w:sz w:val="18"/>
          <w:szCs w:val="18"/>
        </w:rPr>
      </w:pPr>
    </w:p>
    <w:p w:rsidR="002C5980" w:rsidRDefault="00994105" w:rsidP="00ED7632">
      <w:pPr>
        <w:rPr>
          <w:rFonts w:ascii="Verdana" w:hAnsi="Verdana"/>
          <w:sz w:val="18"/>
          <w:szCs w:val="18"/>
        </w:rPr>
      </w:pPr>
      <w:r>
        <w:rPr>
          <w:rFonts w:ascii="Verdana" w:hAnsi="Verdana"/>
          <w:i/>
          <w:sz w:val="18"/>
          <w:szCs w:val="18"/>
        </w:rPr>
        <w:t>Budget</w:t>
      </w:r>
      <w:r>
        <w:rPr>
          <w:rFonts w:ascii="Verdana" w:hAnsi="Verdana"/>
          <w:sz w:val="18"/>
          <w:szCs w:val="18"/>
        </w:rPr>
        <w:t xml:space="preserve">: </w:t>
      </w:r>
    </w:p>
    <w:p w:rsidR="002C5980" w:rsidRDefault="00450720" w:rsidP="00ED7632">
      <w:pPr>
        <w:rPr>
          <w:rFonts w:ascii="Verdana" w:hAnsi="Verdana"/>
          <w:sz w:val="18"/>
          <w:szCs w:val="18"/>
        </w:rPr>
      </w:pPr>
      <w:r>
        <w:rPr>
          <w:rFonts w:ascii="Verdana" w:hAnsi="Verdana"/>
          <w:sz w:val="18"/>
          <w:szCs w:val="18"/>
        </w:rPr>
        <w:t xml:space="preserve">As a guide, a maximum of €125,000 including VAT is assumed. </w:t>
      </w:r>
    </w:p>
    <w:p w:rsidR="00450720" w:rsidRPr="00AB4A34" w:rsidRDefault="00450720" w:rsidP="00ED7632">
      <w:pPr>
        <w:rPr>
          <w:rFonts w:ascii="Verdana" w:hAnsi="Verdana"/>
          <w:sz w:val="18"/>
          <w:szCs w:val="18"/>
        </w:rPr>
      </w:pPr>
    </w:p>
    <w:p w:rsidR="002D5DE5" w:rsidRDefault="00D60EEE" w:rsidP="00ED7632">
      <w:pPr>
        <w:rPr>
          <w:rFonts w:ascii="Verdana" w:hAnsi="Verdana"/>
          <w:sz w:val="18"/>
          <w:szCs w:val="18"/>
        </w:rPr>
      </w:pPr>
      <w:r>
        <w:rPr>
          <w:rFonts w:ascii="Verdana" w:hAnsi="Verdana"/>
          <w:i/>
          <w:sz w:val="18"/>
          <w:szCs w:val="18"/>
        </w:rPr>
        <w:t>Language</w:t>
      </w:r>
      <w:r>
        <w:rPr>
          <w:rFonts w:ascii="Verdana" w:hAnsi="Verdana"/>
          <w:sz w:val="18"/>
          <w:szCs w:val="18"/>
        </w:rPr>
        <w:br/>
        <w:t xml:space="preserve">The final report must be submitted in Dutch and, when carrying out the review, the research team must bear in mind that almost all the source material is in Dutch (see also Section 1.5 of these Terms of Reference).  </w:t>
      </w:r>
    </w:p>
    <w:p w:rsidR="00292F71" w:rsidRDefault="00292F71" w:rsidP="00ED7632">
      <w:pPr>
        <w:rPr>
          <w:rFonts w:ascii="Verdana" w:hAnsi="Verdana"/>
          <w:sz w:val="18"/>
          <w:szCs w:val="18"/>
        </w:rPr>
      </w:pPr>
    </w:p>
    <w:p w:rsidR="00292F71" w:rsidRDefault="00292F71" w:rsidP="00ED7632">
      <w:pPr>
        <w:rPr>
          <w:rFonts w:ascii="Verdana" w:hAnsi="Verdana"/>
          <w:sz w:val="18"/>
          <w:szCs w:val="18"/>
        </w:rPr>
      </w:pPr>
    </w:p>
    <w:p w:rsidR="00292F71" w:rsidRDefault="00292F71" w:rsidP="00292F71">
      <w:pPr>
        <w:rPr>
          <w:rFonts w:ascii="Verdana" w:hAnsi="Verdana"/>
          <w:sz w:val="18"/>
          <w:szCs w:val="18"/>
        </w:rPr>
      </w:pPr>
      <w:r w:rsidRPr="00292F71">
        <w:rPr>
          <w:rFonts w:ascii="Verdana" w:hAnsi="Verdana"/>
          <w:b/>
          <w:sz w:val="18"/>
          <w:szCs w:val="18"/>
          <w:u w:val="single"/>
        </w:rPr>
        <w:t>8.</w:t>
      </w:r>
      <w:r>
        <w:rPr>
          <w:rFonts w:ascii="Verdana" w:hAnsi="Verdana"/>
          <w:b/>
          <w:sz w:val="18"/>
          <w:szCs w:val="18"/>
          <w:u w:val="single"/>
        </w:rPr>
        <w:t xml:space="preserve"> Question to all interested parties</w:t>
      </w:r>
      <w:r>
        <w:rPr>
          <w:rFonts w:ascii="Verdana" w:hAnsi="Verdana"/>
          <w:b/>
          <w:sz w:val="18"/>
          <w:szCs w:val="18"/>
          <w:u w:val="single"/>
        </w:rPr>
        <w:br/>
      </w:r>
    </w:p>
    <w:p w:rsidR="00292F71" w:rsidRDefault="00292F71" w:rsidP="00292F71">
      <w:pPr>
        <w:rPr>
          <w:rFonts w:ascii="Verdana" w:hAnsi="Verdana"/>
          <w:sz w:val="18"/>
          <w:szCs w:val="18"/>
        </w:rPr>
      </w:pPr>
      <w:r>
        <w:rPr>
          <w:rFonts w:ascii="Verdana" w:hAnsi="Verdana"/>
          <w:sz w:val="18"/>
          <w:szCs w:val="18"/>
        </w:rPr>
        <w:t>Are you interested in the performance of evaluations as described above?</w:t>
      </w:r>
    </w:p>
    <w:p w:rsidR="00292F71" w:rsidRDefault="00292F71" w:rsidP="00292F71">
      <w:pPr>
        <w:rPr>
          <w:rFonts w:ascii="Verdana" w:hAnsi="Verdana"/>
          <w:sz w:val="18"/>
          <w:szCs w:val="18"/>
        </w:rPr>
      </w:pPr>
      <w:r>
        <w:rPr>
          <w:rFonts w:ascii="Verdana" w:hAnsi="Verdana"/>
          <w:sz w:val="18"/>
          <w:szCs w:val="18"/>
        </w:rPr>
        <w:t>If so, let us know.</w:t>
      </w:r>
    </w:p>
    <w:p w:rsidR="00292F71" w:rsidRDefault="00292F71" w:rsidP="00292F71">
      <w:pPr>
        <w:rPr>
          <w:rFonts w:ascii="Verdana" w:hAnsi="Verdana"/>
          <w:sz w:val="18"/>
          <w:szCs w:val="18"/>
        </w:rPr>
      </w:pPr>
    </w:p>
    <w:p w:rsidR="00292F71" w:rsidRDefault="00292F71" w:rsidP="00292F71">
      <w:pPr>
        <w:rPr>
          <w:rFonts w:ascii="Verdana" w:hAnsi="Verdana"/>
          <w:sz w:val="18"/>
          <w:szCs w:val="18"/>
        </w:rPr>
      </w:pPr>
      <w:r w:rsidRPr="00292F71">
        <w:rPr>
          <w:rFonts w:ascii="Verdana" w:hAnsi="Verdana"/>
          <w:b/>
          <w:sz w:val="18"/>
          <w:szCs w:val="18"/>
        </w:rPr>
        <w:t>Procedure</w:t>
      </w:r>
      <w:r w:rsidRPr="00292F71">
        <w:rPr>
          <w:rFonts w:ascii="Verdana" w:hAnsi="Verdana"/>
          <w:b/>
          <w:sz w:val="18"/>
          <w:szCs w:val="18"/>
        </w:rPr>
        <w:br/>
      </w:r>
    </w:p>
    <w:p w:rsidR="00292F71" w:rsidRDefault="00292F71" w:rsidP="00292F71">
      <w:pPr>
        <w:rPr>
          <w:rFonts w:ascii="Verdana" w:hAnsi="Verdana"/>
          <w:sz w:val="18"/>
          <w:szCs w:val="18"/>
        </w:rPr>
      </w:pPr>
      <w:r>
        <w:rPr>
          <w:rFonts w:ascii="Verdana" w:hAnsi="Verdana"/>
          <w:sz w:val="18"/>
          <w:szCs w:val="18"/>
        </w:rPr>
        <w:t xml:space="preserve">Interested parties can </w:t>
      </w:r>
      <w:r w:rsidR="00652A19">
        <w:rPr>
          <w:rFonts w:ascii="Verdana" w:hAnsi="Verdana"/>
          <w:sz w:val="18"/>
          <w:szCs w:val="18"/>
        </w:rPr>
        <w:t xml:space="preserve">notify us by e-mail at the </w:t>
      </w:r>
      <w:r w:rsidR="00652A19" w:rsidRPr="00652A19">
        <w:rPr>
          <w:rFonts w:ascii="Verdana" w:hAnsi="Verdana"/>
          <w:sz w:val="18"/>
          <w:szCs w:val="18"/>
        </w:rPr>
        <w:t>Rijksdienst voor Ondernemend Nederland (RVO)</w:t>
      </w:r>
      <w:r w:rsidR="00652A19">
        <w:rPr>
          <w:rFonts w:ascii="Verdana" w:hAnsi="Verdana"/>
          <w:sz w:val="18"/>
          <w:szCs w:val="18"/>
        </w:rPr>
        <w:t xml:space="preserve"> to the attention of</w:t>
      </w:r>
      <w:r w:rsidR="00652A19" w:rsidRPr="00652A19">
        <w:rPr>
          <w:rFonts w:ascii="Verdana" w:hAnsi="Verdana"/>
          <w:sz w:val="18"/>
          <w:szCs w:val="18"/>
        </w:rPr>
        <w:t xml:space="preserve">: </w:t>
      </w:r>
      <w:hyperlink r:id="rId11" w:history="1">
        <w:r w:rsidR="00652A19" w:rsidRPr="003F3C02">
          <w:rPr>
            <w:rStyle w:val="Hyperlink"/>
            <w:rFonts w:ascii="Verdana" w:hAnsi="Verdana"/>
            <w:sz w:val="18"/>
            <w:szCs w:val="18"/>
          </w:rPr>
          <w:t>henk.ballering@rvo.nl</w:t>
        </w:r>
      </w:hyperlink>
      <w:r w:rsidR="00652A19">
        <w:rPr>
          <w:rFonts w:ascii="Verdana" w:hAnsi="Verdana"/>
          <w:sz w:val="18"/>
          <w:szCs w:val="18"/>
        </w:rPr>
        <w:t xml:space="preserve"> and</w:t>
      </w:r>
      <w:r w:rsidR="00652A19" w:rsidRPr="00652A19">
        <w:rPr>
          <w:rFonts w:ascii="Verdana" w:hAnsi="Verdana"/>
          <w:sz w:val="18"/>
          <w:szCs w:val="18"/>
        </w:rPr>
        <w:t xml:space="preserve"> </w:t>
      </w:r>
      <w:hyperlink r:id="rId12" w:history="1">
        <w:r w:rsidR="00652A19" w:rsidRPr="003F3C02">
          <w:rPr>
            <w:rStyle w:val="Hyperlink"/>
            <w:rFonts w:ascii="Verdana" w:hAnsi="Verdana"/>
            <w:sz w:val="18"/>
            <w:szCs w:val="18"/>
          </w:rPr>
          <w:t>hassan.elwali@rvo.nl</w:t>
        </w:r>
      </w:hyperlink>
      <w:r w:rsidR="00652A19" w:rsidRPr="00652A19">
        <w:rPr>
          <w:rFonts w:ascii="Verdana" w:hAnsi="Verdana"/>
          <w:sz w:val="18"/>
          <w:szCs w:val="18"/>
        </w:rPr>
        <w:t>.</w:t>
      </w:r>
    </w:p>
    <w:p w:rsidR="00652A19" w:rsidRPr="00292F71" w:rsidRDefault="00652A19" w:rsidP="00292F71">
      <w:pPr>
        <w:rPr>
          <w:rFonts w:ascii="Verdana" w:hAnsi="Verdana"/>
          <w:sz w:val="18"/>
          <w:szCs w:val="18"/>
        </w:rPr>
      </w:pPr>
    </w:p>
    <w:p w:rsidR="00241952" w:rsidRDefault="00652A19" w:rsidP="000B58D6">
      <w:pPr>
        <w:rPr>
          <w:rFonts w:ascii="Verdana" w:hAnsi="Verdana"/>
          <w:sz w:val="18"/>
          <w:szCs w:val="18"/>
        </w:rPr>
      </w:pPr>
      <w:r w:rsidRPr="00652A19">
        <w:rPr>
          <w:rFonts w:ascii="Verdana" w:hAnsi="Verdana"/>
          <w:sz w:val="18"/>
          <w:szCs w:val="18"/>
        </w:rPr>
        <w:t>Include in your e-mail your general company data</w:t>
      </w:r>
      <w:r>
        <w:rPr>
          <w:rFonts w:ascii="Verdana" w:hAnsi="Verdana"/>
          <w:sz w:val="18"/>
          <w:szCs w:val="18"/>
        </w:rPr>
        <w:t>.</w:t>
      </w:r>
    </w:p>
    <w:p w:rsidR="00652A19" w:rsidRDefault="00652A19" w:rsidP="000B58D6">
      <w:pPr>
        <w:rPr>
          <w:rFonts w:ascii="Verdana" w:hAnsi="Verdana"/>
          <w:sz w:val="18"/>
          <w:szCs w:val="18"/>
        </w:rPr>
      </w:pPr>
    </w:p>
    <w:p w:rsidR="00652A19" w:rsidRPr="00652A19" w:rsidRDefault="00652A19" w:rsidP="000B58D6">
      <w:pPr>
        <w:rPr>
          <w:rFonts w:ascii="Verdana" w:hAnsi="Verdana"/>
          <w:sz w:val="18"/>
          <w:szCs w:val="18"/>
        </w:rPr>
      </w:pPr>
      <w:r>
        <w:rPr>
          <w:rFonts w:ascii="Verdana" w:hAnsi="Verdana"/>
          <w:sz w:val="18"/>
          <w:szCs w:val="18"/>
        </w:rPr>
        <w:t xml:space="preserve">In a later stadium, suitable candidates will be invited for an offer.  </w:t>
      </w:r>
    </w:p>
    <w:p w:rsidR="00292F71" w:rsidRPr="00652A19" w:rsidRDefault="00292F71" w:rsidP="000B58D6">
      <w:pPr>
        <w:rPr>
          <w:rFonts w:ascii="Verdana" w:hAnsi="Verdana"/>
          <w:sz w:val="18"/>
          <w:szCs w:val="18"/>
        </w:rPr>
      </w:pPr>
      <w:r>
        <w:rPr>
          <w:rFonts w:ascii="Verdana" w:hAnsi="Verdana"/>
          <w:b/>
          <w:sz w:val="18"/>
          <w:szCs w:val="18"/>
          <w:u w:val="single"/>
        </w:rPr>
        <w:br/>
      </w:r>
      <w:r w:rsidR="00652A19" w:rsidRPr="00652A19">
        <w:rPr>
          <w:rFonts w:ascii="Verdana" w:hAnsi="Verdana"/>
          <w:sz w:val="18"/>
          <w:szCs w:val="18"/>
        </w:rPr>
        <w:t xml:space="preserve">You </w:t>
      </w:r>
      <w:r w:rsidR="00652A19">
        <w:rPr>
          <w:rFonts w:ascii="Verdana" w:hAnsi="Verdana"/>
          <w:sz w:val="18"/>
          <w:szCs w:val="18"/>
        </w:rPr>
        <w:t xml:space="preserve">are requested to send in your answer </w:t>
      </w:r>
      <w:r w:rsidR="00652A19" w:rsidRPr="00652A19">
        <w:rPr>
          <w:rFonts w:ascii="Verdana" w:hAnsi="Verdana"/>
          <w:b/>
          <w:sz w:val="18"/>
          <w:szCs w:val="18"/>
        </w:rPr>
        <w:t>27 July 2016</w:t>
      </w:r>
      <w:r w:rsidR="00652A19">
        <w:rPr>
          <w:rFonts w:ascii="Verdana" w:hAnsi="Verdana"/>
          <w:sz w:val="18"/>
          <w:szCs w:val="18"/>
        </w:rPr>
        <w:t xml:space="preserve"> at the latest.</w:t>
      </w:r>
    </w:p>
    <w:p w:rsidR="00292F71" w:rsidRDefault="00292F71">
      <w:pPr>
        <w:rPr>
          <w:rFonts w:ascii="Verdana" w:hAnsi="Verdana"/>
          <w:b/>
          <w:sz w:val="18"/>
          <w:szCs w:val="18"/>
          <w:u w:val="single"/>
        </w:rPr>
      </w:pPr>
      <w:r>
        <w:rPr>
          <w:rFonts w:ascii="Verdana" w:hAnsi="Verdana"/>
          <w:b/>
          <w:sz w:val="18"/>
          <w:szCs w:val="18"/>
          <w:u w:val="single"/>
        </w:rPr>
        <w:br w:type="page"/>
      </w:r>
    </w:p>
    <w:p w:rsidR="000B58D6" w:rsidRPr="001E5A64" w:rsidRDefault="000B58D6" w:rsidP="000B58D6">
      <w:pPr>
        <w:rPr>
          <w:rFonts w:ascii="Verdana" w:hAnsi="Verdana"/>
          <w:b/>
          <w:sz w:val="18"/>
          <w:szCs w:val="18"/>
          <w:u w:val="single"/>
        </w:rPr>
      </w:pPr>
      <w:r>
        <w:rPr>
          <w:rFonts w:ascii="Verdana" w:hAnsi="Verdana"/>
          <w:b/>
          <w:sz w:val="18"/>
          <w:szCs w:val="18"/>
          <w:u w:val="single"/>
        </w:rPr>
        <w:lastRenderedPageBreak/>
        <w:t xml:space="preserve">Appendices </w:t>
      </w:r>
    </w:p>
    <w:p w:rsidR="000B58D6" w:rsidRPr="00AB4A34" w:rsidRDefault="000B58D6" w:rsidP="000B58D6">
      <w:pPr>
        <w:rPr>
          <w:rFonts w:ascii="Verdana" w:hAnsi="Verdana"/>
          <w:sz w:val="18"/>
          <w:szCs w:val="18"/>
        </w:rPr>
      </w:pPr>
    </w:p>
    <w:p w:rsidR="000B58D6" w:rsidRDefault="000B58D6" w:rsidP="00ED7632">
      <w:pPr>
        <w:rPr>
          <w:rFonts w:ascii="Verdana" w:hAnsi="Verdana"/>
          <w:b/>
          <w:i/>
          <w:sz w:val="18"/>
          <w:szCs w:val="18"/>
        </w:rPr>
      </w:pPr>
      <w:r>
        <w:rPr>
          <w:rFonts w:ascii="Verdana" w:hAnsi="Verdana"/>
          <w:b/>
          <w:i/>
          <w:sz w:val="18"/>
          <w:szCs w:val="18"/>
        </w:rPr>
        <w:t>9.   PIB overview by key sector</w:t>
      </w:r>
    </w:p>
    <w:p w:rsidR="0040513A" w:rsidRPr="00AB4A34" w:rsidRDefault="0040513A" w:rsidP="00ED7632">
      <w:pPr>
        <w:rPr>
          <w:rFonts w:ascii="Verdana" w:hAnsi="Verdana"/>
          <w:b/>
          <w:i/>
          <w:sz w:val="18"/>
          <w:szCs w:val="18"/>
        </w:rPr>
      </w:pPr>
    </w:p>
    <w:tbl>
      <w:tblPr>
        <w:tblStyle w:val="Tabelraster"/>
        <w:tblW w:w="0" w:type="auto"/>
        <w:tblLook w:val="04A0" w:firstRow="1" w:lastRow="0" w:firstColumn="1" w:lastColumn="0" w:noHBand="0" w:noVBand="1"/>
      </w:tblPr>
      <w:tblGrid>
        <w:gridCol w:w="6550"/>
        <w:gridCol w:w="2420"/>
      </w:tblGrid>
      <w:tr w:rsidR="0040513A" w:rsidRPr="0040513A" w:rsidTr="0040513A">
        <w:trPr>
          <w:trHeight w:val="300"/>
        </w:trPr>
        <w:tc>
          <w:tcPr>
            <w:tcW w:w="6550" w:type="dxa"/>
            <w:noWrap/>
            <w:hideMark/>
          </w:tcPr>
          <w:p w:rsidR="0040513A" w:rsidRPr="00F006D5" w:rsidRDefault="0040513A" w:rsidP="0040513A">
            <w:pPr>
              <w:rPr>
                <w:rFonts w:ascii="Verdana" w:hAnsi="Verdana"/>
                <w:b/>
              </w:rPr>
            </w:pPr>
            <w:r>
              <w:rPr>
                <w:rFonts w:ascii="Verdana" w:hAnsi="Verdana"/>
                <w:b/>
              </w:rPr>
              <w:t>PIB programme title</w:t>
            </w:r>
          </w:p>
        </w:tc>
        <w:tc>
          <w:tcPr>
            <w:tcW w:w="2420" w:type="dxa"/>
            <w:noWrap/>
            <w:hideMark/>
          </w:tcPr>
          <w:p w:rsidR="0040513A" w:rsidRPr="00F006D5" w:rsidRDefault="0040513A">
            <w:pPr>
              <w:rPr>
                <w:rFonts w:ascii="Verdana" w:hAnsi="Verdana"/>
                <w:b/>
              </w:rPr>
            </w:pPr>
            <w:r>
              <w:rPr>
                <w:rFonts w:ascii="Verdana" w:hAnsi="Verdana"/>
                <w:b/>
              </w:rPr>
              <w:t>Key sector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Potato Centre India</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FoodTechHolland</w:t>
            </w:r>
            <w:proofErr w:type="spellEnd"/>
            <w:r>
              <w:rPr>
                <w:rFonts w:ascii="Verdana" w:hAnsi="Verdana"/>
                <w:sz w:val="18"/>
                <w:szCs w:val="18"/>
              </w:rPr>
              <w:t xml:space="preserve"> (FTH)</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Grupo</w:t>
            </w:r>
            <w:proofErr w:type="spellEnd"/>
            <w:r>
              <w:rPr>
                <w:rFonts w:ascii="Verdana" w:hAnsi="Verdana"/>
                <w:sz w:val="18"/>
                <w:szCs w:val="18"/>
              </w:rPr>
              <w:t xml:space="preserve"> </w:t>
            </w:r>
            <w:proofErr w:type="spellStart"/>
            <w:r>
              <w:rPr>
                <w:rFonts w:ascii="Verdana" w:hAnsi="Verdana"/>
                <w:sz w:val="18"/>
                <w:szCs w:val="18"/>
              </w:rPr>
              <w:t>AgriMex-Holanda</w:t>
            </w:r>
            <w:proofErr w:type="spellEnd"/>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Natural Minerals for Hungary</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Holland Center China</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FoodTechLink</w:t>
            </w:r>
            <w:proofErr w:type="spellEnd"/>
            <w:r>
              <w:rPr>
                <w:rFonts w:ascii="Verdana" w:hAnsi="Verdana"/>
                <w:sz w:val="18"/>
                <w:szCs w:val="18"/>
              </w:rPr>
              <w:t xml:space="preserve"> Ukraine</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Holland Dairy House</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Holland Fruit House</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AgroFreshPark</w:t>
            </w:r>
            <w:proofErr w:type="spellEnd"/>
            <w:r>
              <w:rPr>
                <w:rFonts w:ascii="Verdana" w:hAnsi="Verdana"/>
                <w:sz w:val="18"/>
                <w:szCs w:val="18"/>
              </w:rPr>
              <w:t xml:space="preserve"> Poland</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Holland House of Horticulture</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Dairy Cluster India</w:t>
            </w:r>
          </w:p>
        </w:tc>
        <w:tc>
          <w:tcPr>
            <w:tcW w:w="2420" w:type="dxa"/>
            <w:noWrap/>
            <w:hideMark/>
          </w:tcPr>
          <w:p w:rsidR="0040513A" w:rsidRPr="0040513A" w:rsidRDefault="0040513A">
            <w:pPr>
              <w:rPr>
                <w:rFonts w:ascii="Verdana" w:hAnsi="Verdana"/>
                <w:sz w:val="18"/>
                <w:szCs w:val="18"/>
              </w:rPr>
            </w:pPr>
            <w:proofErr w:type="spellStart"/>
            <w:r>
              <w:rPr>
                <w:rFonts w:ascii="Verdana" w:hAnsi="Verdana"/>
                <w:sz w:val="18"/>
                <w:szCs w:val="18"/>
              </w:rPr>
              <w:t>Agri</w:t>
            </w:r>
            <w:proofErr w:type="spellEnd"/>
            <w:r>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Energy Solutions</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Chemicals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New Communities with Go Dutch</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Creative Agencies India 2013-2015</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Learning Exchange Middle East</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DASUDA Nigeria &amp; Kenya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Eco Design</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Smart Cities and Communities in the Netherlands and Flanders</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Smart Cities and Communities Netherlands and Texas</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Muze</w:t>
            </w:r>
            <w:proofErr w:type="spellEnd"/>
            <w:r>
              <w:rPr>
                <w:rFonts w:ascii="Verdana" w:hAnsi="Verdana"/>
                <w:sz w:val="18"/>
                <w:szCs w:val="18"/>
              </w:rPr>
              <w:t xml:space="preserve"> Amsterdam</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Creative Industry</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Creative Industry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Orange goes Green</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Electrifying Holland - West Coast</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Waste (water) Business Colombia (ABC)</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East Coast Electric</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Wind Energy Japan and Korea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Waste Management Hong Kong</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Waste &amp; Sustainable Energy France</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Waste2Value India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Biobased</w:t>
            </w:r>
            <w:proofErr w:type="spellEnd"/>
            <w:r>
              <w:rPr>
                <w:rFonts w:ascii="Verdana" w:hAnsi="Verdana"/>
                <w:sz w:val="18"/>
                <w:szCs w:val="18"/>
              </w:rPr>
              <w:t xml:space="preserve"> Energy Ukraine</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E-Mobility Zuid </w:t>
            </w:r>
            <w:proofErr w:type="spellStart"/>
            <w:r>
              <w:rPr>
                <w:rFonts w:ascii="Verdana" w:hAnsi="Verdana"/>
                <w:sz w:val="18"/>
                <w:szCs w:val="18"/>
              </w:rPr>
              <w:t>en</w:t>
            </w:r>
            <w:proofErr w:type="spellEnd"/>
            <w:r>
              <w:rPr>
                <w:rFonts w:ascii="Verdana" w:hAnsi="Verdana"/>
                <w:sz w:val="18"/>
                <w:szCs w:val="18"/>
              </w:rPr>
              <w:t xml:space="preserve"> West </w:t>
            </w:r>
            <w:proofErr w:type="spellStart"/>
            <w:r>
              <w:rPr>
                <w:rFonts w:ascii="Verdana" w:hAnsi="Verdana"/>
                <w:sz w:val="18"/>
                <w:szCs w:val="18"/>
              </w:rPr>
              <w:t>Duitsland</w:t>
            </w:r>
            <w:proofErr w:type="spellEnd"/>
            <w:r>
              <w:rPr>
                <w:rFonts w:ascii="Verdana" w:hAnsi="Verdana"/>
                <w:sz w:val="18"/>
                <w:szCs w:val="18"/>
              </w:rPr>
              <w:t xml:space="preserve"> (E-Mobility South and West Germany)</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Dutch </w:t>
            </w:r>
            <w:proofErr w:type="spellStart"/>
            <w:r>
              <w:rPr>
                <w:rFonts w:ascii="Verdana" w:hAnsi="Verdana"/>
                <w:sz w:val="18"/>
                <w:szCs w:val="18"/>
              </w:rPr>
              <w:t>Ates</w:t>
            </w:r>
            <w:proofErr w:type="spellEnd"/>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Supercharging India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Orange goes Green </w:t>
            </w:r>
            <w:proofErr w:type="spellStart"/>
            <w:r>
              <w:rPr>
                <w:rFonts w:ascii="Verdana" w:hAnsi="Verdana"/>
                <w:sz w:val="18"/>
                <w:szCs w:val="18"/>
              </w:rPr>
              <w:t>Afbouw</w:t>
            </w:r>
            <w:proofErr w:type="spellEnd"/>
            <w:r>
              <w:rPr>
                <w:rFonts w:ascii="Verdana" w:hAnsi="Verdana"/>
                <w:sz w:val="18"/>
                <w:szCs w:val="18"/>
              </w:rPr>
              <w:t xml:space="preserve"> (Orange goes Green - completion)</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Clean Coal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Resource Recovery &amp; Bio Energy United States</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Energy</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Taskforce Qatar WK 2022</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 xml:space="preserve">HTSM (High Tech </w:t>
            </w:r>
            <w:r>
              <w:rPr>
                <w:rFonts w:ascii="Verdana" w:hAnsi="Verdana"/>
                <w:sz w:val="18"/>
                <w:szCs w:val="18"/>
              </w:rPr>
              <w:lastRenderedPageBreak/>
              <w:t>Systems and Materials)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lastRenderedPageBreak/>
              <w:t>Aerospace Strategy France</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Dutch Sports Infrastructure: Task Force WC 2018 Russia  </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Tap into Asia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D2ragon in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PIB SEACRES Singapore</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Sports Infrast</w:t>
            </w:r>
            <w:r w:rsidR="000F0E1F">
              <w:rPr>
                <w:rFonts w:ascii="Verdana" w:hAnsi="Verdana"/>
                <w:sz w:val="18"/>
                <w:szCs w:val="18"/>
              </w:rPr>
              <w:t>r</w:t>
            </w:r>
            <w:r>
              <w:rPr>
                <w:rFonts w:ascii="Verdana" w:hAnsi="Verdana"/>
                <w:sz w:val="18"/>
                <w:szCs w:val="18"/>
              </w:rPr>
              <w:t>ucture PIB Consortium India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Yacht design and engineering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Inset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E96725" w:rsidRDefault="0040513A">
            <w:pPr>
              <w:rPr>
                <w:rFonts w:ascii="Verdana" w:hAnsi="Verdana"/>
                <w:sz w:val="18"/>
                <w:szCs w:val="18"/>
              </w:rPr>
            </w:pPr>
            <w:r>
              <w:rPr>
                <w:rFonts w:ascii="Verdana" w:hAnsi="Verdana"/>
                <w:sz w:val="18"/>
                <w:szCs w:val="18"/>
              </w:rPr>
              <w:t xml:space="preserve">E-mobility von Amsterdam </w:t>
            </w:r>
            <w:proofErr w:type="spellStart"/>
            <w:r>
              <w:rPr>
                <w:rFonts w:ascii="Verdana" w:hAnsi="Verdana"/>
                <w:sz w:val="18"/>
                <w:szCs w:val="18"/>
              </w:rPr>
              <w:t>nach</w:t>
            </w:r>
            <w:proofErr w:type="spellEnd"/>
            <w:r>
              <w:rPr>
                <w:rFonts w:ascii="Verdana" w:hAnsi="Verdana"/>
                <w:sz w:val="18"/>
                <w:szCs w:val="18"/>
              </w:rPr>
              <w:t xml:space="preserve"> Berlin (E-mobility from Amsterdam to Berlin)</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IntoMedbizz</w:t>
            </w:r>
            <w:proofErr w:type="spellEnd"/>
            <w:r>
              <w:rPr>
                <w:rFonts w:ascii="Verdana" w:hAnsi="Verdana"/>
                <w:sz w:val="18"/>
                <w:szCs w:val="18"/>
              </w:rPr>
              <w:t xml:space="preserve"> Germany</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Media Innovators (DMI) US (California)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Desert Tulip</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Dutch Aviation Solutions Russia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Logistics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Multi-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Synchromodale</w:t>
            </w:r>
            <w:proofErr w:type="spellEnd"/>
            <w:r>
              <w:rPr>
                <w:rFonts w:ascii="Verdana" w:hAnsi="Verdana"/>
                <w:sz w:val="18"/>
                <w:szCs w:val="18"/>
              </w:rPr>
              <w:t xml:space="preserve"> Corridors in </w:t>
            </w:r>
            <w:proofErr w:type="spellStart"/>
            <w:r>
              <w:rPr>
                <w:rFonts w:ascii="Verdana" w:hAnsi="Verdana"/>
                <w:sz w:val="18"/>
                <w:szCs w:val="18"/>
              </w:rPr>
              <w:t>Brazilië</w:t>
            </w:r>
            <w:proofErr w:type="spellEnd"/>
            <w:r>
              <w:rPr>
                <w:rFonts w:ascii="Verdana" w:hAnsi="Verdana"/>
                <w:sz w:val="18"/>
                <w:szCs w:val="18"/>
              </w:rPr>
              <w:t xml:space="preserve"> (multimodal and </w:t>
            </w:r>
            <w:proofErr w:type="spellStart"/>
            <w:r>
              <w:rPr>
                <w:rFonts w:ascii="Verdana" w:hAnsi="Verdana"/>
                <w:sz w:val="18"/>
                <w:szCs w:val="18"/>
              </w:rPr>
              <w:t>synchromodal</w:t>
            </w:r>
            <w:proofErr w:type="spellEnd"/>
            <w:r>
              <w:rPr>
                <w:rFonts w:ascii="Verdana" w:hAnsi="Verdana"/>
                <w:sz w:val="18"/>
                <w:szCs w:val="18"/>
              </w:rPr>
              <w:t xml:space="preserve"> corridors in Brazil)</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Logistics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Nederland - </w:t>
            </w:r>
            <w:proofErr w:type="spellStart"/>
            <w:r>
              <w:rPr>
                <w:rFonts w:ascii="Verdana" w:hAnsi="Verdana"/>
                <w:sz w:val="18"/>
                <w:szCs w:val="18"/>
              </w:rPr>
              <w:t>Polen</w:t>
            </w:r>
            <w:proofErr w:type="spellEnd"/>
            <w:r>
              <w:rPr>
                <w:rFonts w:ascii="Verdana" w:hAnsi="Verdana"/>
                <w:sz w:val="18"/>
                <w:szCs w:val="18"/>
              </w:rPr>
              <w:t xml:space="preserve"> Spoor (Netherlands/Poland rail)</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Logistics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Linked by Rail</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Logistics</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Taskforce Healthcare Goes Russia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LSH (Life Sciences &amp; Health)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Healthcare Innovation Transfer</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Task Force Health Care goes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652A19">
            <w:pPr>
              <w:rPr>
                <w:rFonts w:ascii="Verdana" w:hAnsi="Verdana"/>
                <w:sz w:val="18"/>
                <w:szCs w:val="18"/>
              </w:rPr>
            </w:pPr>
            <w:hyperlink r:id="rId13" w:history="1">
              <w:r w:rsidR="00835966">
                <w:rPr>
                  <w:rStyle w:val="Hyperlink"/>
                  <w:rFonts w:ascii="Verdana" w:hAnsi="Verdana"/>
                  <w:color w:val="auto"/>
                  <w:sz w:val="18"/>
                  <w:szCs w:val="18"/>
                </w:rPr>
                <w:t>Middle East 2016 - 2019 TFHC goes Middle East</w:t>
              </w:r>
            </w:hyperlink>
          </w:p>
        </w:tc>
        <w:tc>
          <w:tcPr>
            <w:tcW w:w="2420" w:type="dxa"/>
            <w:noWrap/>
            <w:hideMark/>
          </w:tcPr>
          <w:p w:rsidR="0040513A" w:rsidRPr="0040513A" w:rsidRDefault="0040513A">
            <w:pPr>
              <w:rPr>
                <w:rFonts w:ascii="Verdana" w:hAnsi="Verdana"/>
                <w:sz w:val="18"/>
                <w:szCs w:val="18"/>
              </w:rPr>
            </w:pPr>
            <w:r>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4TuNe - A Prosperous Future for Turkish and Dutch Maritime Technology</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Maritime</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Kastec</w:t>
            </w:r>
            <w:proofErr w:type="spellEnd"/>
            <w:r>
              <w:rPr>
                <w:rFonts w:ascii="Verdana" w:hAnsi="Verdana"/>
                <w:sz w:val="18"/>
                <w:szCs w:val="18"/>
              </w:rPr>
              <w:t xml:space="preserve"> Brazil</w:t>
            </w:r>
          </w:p>
        </w:tc>
        <w:tc>
          <w:tcPr>
            <w:tcW w:w="2420" w:type="dxa"/>
            <w:noWrap/>
            <w:hideMark/>
          </w:tcPr>
          <w:p w:rsidR="0040513A" w:rsidRPr="0040513A" w:rsidRDefault="0040513A" w:rsidP="0040513A">
            <w:pPr>
              <w:rPr>
                <w:rFonts w:ascii="Verdana" w:hAnsi="Verdana"/>
                <w:sz w:val="18"/>
                <w:szCs w:val="18"/>
              </w:rPr>
            </w:pPr>
            <w:r>
              <w:rPr>
                <w:rFonts w:ascii="Verdana" w:hAnsi="Verdana"/>
                <w:sz w:val="18"/>
                <w:szCs w:val="18"/>
              </w:rPr>
              <w:t>Horticulture</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Horti</w:t>
            </w:r>
            <w:proofErr w:type="spellEnd"/>
            <w:r>
              <w:rPr>
                <w:rFonts w:ascii="Verdana" w:hAnsi="Verdana"/>
                <w:sz w:val="18"/>
                <w:szCs w:val="18"/>
              </w:rPr>
              <w:t xml:space="preserve">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Horticulture</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Uitgangsmaterialen</w:t>
            </w:r>
            <w:proofErr w:type="spellEnd"/>
            <w:r>
              <w:rPr>
                <w:rFonts w:ascii="Verdana" w:hAnsi="Verdana"/>
                <w:sz w:val="18"/>
                <w:szCs w:val="18"/>
              </w:rPr>
              <w:t xml:space="preserve"> China (parent materials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Horticulture</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 xml:space="preserve">Water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Bodem</w:t>
            </w:r>
            <w:proofErr w:type="spellEnd"/>
            <w:r>
              <w:rPr>
                <w:rFonts w:ascii="Verdana" w:hAnsi="Verdana"/>
                <w:sz w:val="18"/>
                <w:szCs w:val="18"/>
              </w:rPr>
              <w:t xml:space="preserve"> Canada (water and soil Canada)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Water and Waste Treatment Canada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Maritime by Holland Brazil</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Bodem</w:t>
            </w:r>
            <w:proofErr w:type="spellEnd"/>
            <w:r>
              <w:rPr>
                <w:rFonts w:ascii="Verdana" w:hAnsi="Verdana"/>
                <w:sz w:val="18"/>
                <w:szCs w:val="18"/>
              </w:rPr>
              <w:t xml:space="preserve"> China (soil China)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AB4A34" w:rsidRDefault="0040513A">
            <w:pPr>
              <w:rPr>
                <w:rFonts w:ascii="Verdana" w:hAnsi="Verdana"/>
                <w:sz w:val="18"/>
                <w:szCs w:val="18"/>
                <w:lang w:val="nl-NL"/>
              </w:rPr>
            </w:pPr>
            <w:r w:rsidRPr="00AB4A34">
              <w:rPr>
                <w:rFonts w:ascii="Verdana" w:hAnsi="Verdana"/>
                <w:sz w:val="18"/>
                <w:szCs w:val="18"/>
                <w:lang w:val="nl-NL"/>
              </w:rPr>
              <w:t xml:space="preserve">Afvalverwerking en waterzuivering in </w:t>
            </w:r>
            <w:proofErr w:type="spellStart"/>
            <w:r w:rsidRPr="00AB4A34">
              <w:rPr>
                <w:rFonts w:ascii="Verdana" w:hAnsi="Verdana"/>
                <w:sz w:val="18"/>
                <w:szCs w:val="18"/>
                <w:lang w:val="nl-NL"/>
              </w:rPr>
              <w:t>Brazilie</w:t>
            </w:r>
            <w:proofErr w:type="spellEnd"/>
            <w:r w:rsidRPr="00AB4A34">
              <w:rPr>
                <w:rFonts w:ascii="Verdana" w:hAnsi="Verdana"/>
                <w:sz w:val="18"/>
                <w:szCs w:val="18"/>
                <w:lang w:val="nl-NL"/>
              </w:rPr>
              <w:t xml:space="preserve"> (waste processing </w:t>
            </w:r>
            <w:proofErr w:type="spellStart"/>
            <w:r w:rsidRPr="00AB4A34">
              <w:rPr>
                <w:rFonts w:ascii="Verdana" w:hAnsi="Verdana"/>
                <w:sz w:val="18"/>
                <w:szCs w:val="18"/>
                <w:lang w:val="nl-NL"/>
              </w:rPr>
              <w:t>and</w:t>
            </w:r>
            <w:proofErr w:type="spellEnd"/>
            <w:r w:rsidRPr="00AB4A34">
              <w:rPr>
                <w:rFonts w:ascii="Verdana" w:hAnsi="Verdana"/>
                <w:sz w:val="18"/>
                <w:szCs w:val="18"/>
                <w:lang w:val="nl-NL"/>
              </w:rPr>
              <w:t xml:space="preserve"> water </w:t>
            </w:r>
            <w:proofErr w:type="spellStart"/>
            <w:r w:rsidRPr="00AB4A34">
              <w:rPr>
                <w:rFonts w:ascii="Verdana" w:hAnsi="Verdana"/>
                <w:sz w:val="18"/>
                <w:szCs w:val="18"/>
                <w:lang w:val="nl-NL"/>
              </w:rPr>
              <w:t>purification</w:t>
            </w:r>
            <w:proofErr w:type="spellEnd"/>
            <w:r w:rsidRPr="00AB4A34">
              <w:rPr>
                <w:rFonts w:ascii="Verdana" w:hAnsi="Verdana"/>
                <w:sz w:val="18"/>
                <w:szCs w:val="18"/>
                <w:lang w:val="nl-NL"/>
              </w:rPr>
              <w:t xml:space="preserve"> in Brazil)</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Watermanagement</w:t>
            </w:r>
            <w:proofErr w:type="spellEnd"/>
            <w:r>
              <w:rPr>
                <w:rFonts w:ascii="Verdana" w:hAnsi="Verdana"/>
                <w:sz w:val="18"/>
                <w:szCs w:val="18"/>
              </w:rPr>
              <w:t xml:space="preserve"> </w:t>
            </w:r>
            <w:proofErr w:type="spellStart"/>
            <w:r>
              <w:rPr>
                <w:rFonts w:ascii="Verdana" w:hAnsi="Verdana"/>
                <w:sz w:val="18"/>
                <w:szCs w:val="18"/>
              </w:rPr>
              <w:t>Slowakije</w:t>
            </w:r>
            <w:proofErr w:type="spellEnd"/>
            <w:r>
              <w:rPr>
                <w:rFonts w:ascii="Verdana" w:hAnsi="Verdana"/>
                <w:sz w:val="18"/>
                <w:szCs w:val="18"/>
              </w:rPr>
              <w:t xml:space="preserve"> (water management Slovakia)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Queensland-Netherlands cooperation on Delta Management</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Pr>
                <w:rFonts w:ascii="Verdana" w:hAnsi="Verdana"/>
                <w:sz w:val="18"/>
                <w:szCs w:val="18"/>
              </w:rPr>
              <w:t>Revitalization of the water track MDWE-40</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Pr>
                <w:rFonts w:ascii="Verdana" w:hAnsi="Verdana"/>
                <w:sz w:val="18"/>
                <w:szCs w:val="18"/>
              </w:rPr>
              <w:t>Afvalwaterbehandeling</w:t>
            </w:r>
            <w:proofErr w:type="spellEnd"/>
            <w:r>
              <w:rPr>
                <w:rFonts w:ascii="Verdana" w:hAnsi="Verdana"/>
                <w:sz w:val="18"/>
                <w:szCs w:val="18"/>
              </w:rPr>
              <w:t xml:space="preserve">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bodemsanering</w:t>
            </w:r>
            <w:proofErr w:type="spellEnd"/>
            <w:r>
              <w:rPr>
                <w:rFonts w:ascii="Verdana" w:hAnsi="Verdana"/>
                <w:sz w:val="18"/>
                <w:szCs w:val="18"/>
              </w:rPr>
              <w:t xml:space="preserve"> </w:t>
            </w:r>
            <w:proofErr w:type="spellStart"/>
            <w:r>
              <w:rPr>
                <w:rFonts w:ascii="Verdana" w:hAnsi="Verdana"/>
                <w:sz w:val="18"/>
                <w:szCs w:val="18"/>
              </w:rPr>
              <w:t>Servie</w:t>
            </w:r>
            <w:proofErr w:type="spellEnd"/>
            <w:r>
              <w:rPr>
                <w:rFonts w:ascii="Verdana" w:hAnsi="Verdana"/>
                <w:sz w:val="18"/>
                <w:szCs w:val="18"/>
              </w:rPr>
              <w:t xml:space="preserve"> (waste water processing and soil rehabilitation Serbia)</w:t>
            </w:r>
          </w:p>
        </w:tc>
        <w:tc>
          <w:tcPr>
            <w:tcW w:w="2420" w:type="dxa"/>
            <w:noWrap/>
            <w:hideMark/>
          </w:tcPr>
          <w:p w:rsidR="0040513A" w:rsidRPr="0040513A" w:rsidRDefault="0040513A">
            <w:pPr>
              <w:rPr>
                <w:rFonts w:ascii="Verdana" w:hAnsi="Verdana"/>
                <w:sz w:val="18"/>
                <w:szCs w:val="18"/>
              </w:rPr>
            </w:pPr>
            <w:r>
              <w:rPr>
                <w:rFonts w:ascii="Verdana" w:hAnsi="Verdana"/>
                <w:sz w:val="18"/>
                <w:szCs w:val="18"/>
              </w:rPr>
              <w:t>Water</w:t>
            </w:r>
          </w:p>
        </w:tc>
      </w:tr>
    </w:tbl>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40513A" w:rsidRDefault="0040513A" w:rsidP="00ED7632">
      <w:pPr>
        <w:rPr>
          <w:rFonts w:ascii="Verdana" w:hAnsi="Verdana"/>
          <w:b/>
          <w:i/>
          <w:sz w:val="18"/>
          <w:szCs w:val="18"/>
          <w:lang w:val="nl-NL"/>
        </w:rPr>
      </w:pPr>
    </w:p>
    <w:p w:rsidR="00E322E1" w:rsidRDefault="00E322E1" w:rsidP="00ED7632">
      <w:pPr>
        <w:rPr>
          <w:rFonts w:ascii="Verdana" w:hAnsi="Verdana"/>
          <w:b/>
          <w:i/>
          <w:sz w:val="18"/>
          <w:szCs w:val="18"/>
          <w:lang w:val="nl-NL"/>
        </w:rPr>
      </w:pPr>
    </w:p>
    <w:p w:rsidR="00DE0CB8" w:rsidRDefault="00DE0CB8" w:rsidP="00DE0CB8">
      <w:pPr>
        <w:rPr>
          <w:rFonts w:ascii="Verdana" w:hAnsi="Verdana"/>
          <w:b/>
          <w:i/>
          <w:sz w:val="18"/>
          <w:szCs w:val="18"/>
        </w:rPr>
      </w:pPr>
      <w:r>
        <w:rPr>
          <w:rFonts w:ascii="Verdana" w:hAnsi="Verdana"/>
          <w:b/>
          <w:i/>
          <w:sz w:val="18"/>
          <w:szCs w:val="18"/>
        </w:rPr>
        <w:t>10. PIB overview by country</w:t>
      </w:r>
    </w:p>
    <w:p w:rsidR="00DE0CB8" w:rsidRDefault="00DE0CB8" w:rsidP="00ED7632">
      <w:pPr>
        <w:rPr>
          <w:rFonts w:ascii="Verdana" w:hAnsi="Verdana"/>
          <w:b/>
          <w:i/>
          <w:sz w:val="18"/>
          <w:szCs w:val="18"/>
          <w:lang w:val="nl-NL"/>
        </w:rPr>
      </w:pPr>
    </w:p>
    <w:tbl>
      <w:tblPr>
        <w:tblStyle w:val="Tabelraster"/>
        <w:tblW w:w="0" w:type="auto"/>
        <w:tblLook w:val="04A0" w:firstRow="1" w:lastRow="0" w:firstColumn="1" w:lastColumn="0" w:noHBand="0" w:noVBand="1"/>
      </w:tblPr>
      <w:tblGrid>
        <w:gridCol w:w="6550"/>
        <w:gridCol w:w="1960"/>
      </w:tblGrid>
      <w:tr w:rsidR="002D5DE5" w:rsidRPr="00DE0CB8" w:rsidTr="002D5DE5">
        <w:trPr>
          <w:trHeight w:val="300"/>
        </w:trPr>
        <w:tc>
          <w:tcPr>
            <w:tcW w:w="6550" w:type="dxa"/>
            <w:noWrap/>
            <w:hideMark/>
          </w:tcPr>
          <w:p w:rsidR="002D5DE5" w:rsidRPr="00F006D5" w:rsidRDefault="002D5DE5" w:rsidP="002D5DE5">
            <w:pPr>
              <w:rPr>
                <w:rFonts w:ascii="Verdana" w:hAnsi="Verdana"/>
                <w:b/>
              </w:rPr>
            </w:pPr>
            <w:r>
              <w:rPr>
                <w:rFonts w:ascii="Verdana" w:hAnsi="Verdana"/>
                <w:b/>
              </w:rPr>
              <w:t>PIB programme title</w:t>
            </w:r>
          </w:p>
        </w:tc>
        <w:tc>
          <w:tcPr>
            <w:tcW w:w="1960" w:type="dxa"/>
            <w:noWrap/>
            <w:hideMark/>
          </w:tcPr>
          <w:p w:rsidR="002D5DE5" w:rsidRPr="00F006D5" w:rsidRDefault="002D5DE5" w:rsidP="002D5DE5">
            <w:pPr>
              <w:rPr>
                <w:rFonts w:ascii="Verdana" w:hAnsi="Verdana"/>
                <w:b/>
              </w:rPr>
            </w:pPr>
            <w:r>
              <w:rPr>
                <w:rFonts w:ascii="Verdana" w:hAnsi="Verdana"/>
                <w:b/>
              </w:rPr>
              <w:t>Country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Queensland-Netherlands cooperation on Delta Management</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Australia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Smart Cities and Communities in the Netherlands and Flanders</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Belgium</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Maritime by Holland Brazil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Brazil</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Multi-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Synchromodale</w:t>
            </w:r>
            <w:proofErr w:type="spellEnd"/>
            <w:r>
              <w:rPr>
                <w:rFonts w:ascii="Verdana" w:hAnsi="Verdana"/>
                <w:sz w:val="18"/>
                <w:szCs w:val="18"/>
              </w:rPr>
              <w:t xml:space="preserve"> Corridors in </w:t>
            </w:r>
            <w:proofErr w:type="spellStart"/>
            <w:r>
              <w:rPr>
                <w:rFonts w:ascii="Verdana" w:hAnsi="Verdana"/>
                <w:sz w:val="18"/>
                <w:szCs w:val="18"/>
              </w:rPr>
              <w:t>Brazilië</w:t>
            </w:r>
            <w:proofErr w:type="spellEnd"/>
            <w:r>
              <w:rPr>
                <w:rFonts w:ascii="Verdana" w:hAnsi="Verdana"/>
                <w:sz w:val="18"/>
                <w:szCs w:val="18"/>
              </w:rPr>
              <w:t xml:space="preserve"> (multimodal and </w:t>
            </w:r>
            <w:proofErr w:type="spellStart"/>
            <w:r>
              <w:rPr>
                <w:rFonts w:ascii="Verdana" w:hAnsi="Verdana"/>
                <w:sz w:val="18"/>
                <w:szCs w:val="18"/>
              </w:rPr>
              <w:t>synchromodal</w:t>
            </w:r>
            <w:proofErr w:type="spellEnd"/>
            <w:r>
              <w:rPr>
                <w:rFonts w:ascii="Verdana" w:hAnsi="Verdana"/>
                <w:sz w:val="18"/>
                <w:szCs w:val="18"/>
              </w:rPr>
              <w:t xml:space="preserve"> corridors in Brazil)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Brazil</w:t>
            </w:r>
          </w:p>
        </w:tc>
      </w:tr>
      <w:tr w:rsidR="002D5DE5" w:rsidRPr="00DE0CB8" w:rsidTr="002D5DE5">
        <w:trPr>
          <w:trHeight w:val="300"/>
        </w:trPr>
        <w:tc>
          <w:tcPr>
            <w:tcW w:w="6550" w:type="dxa"/>
            <w:noWrap/>
            <w:hideMark/>
          </w:tcPr>
          <w:p w:rsidR="002D5DE5" w:rsidRPr="00AB4A34" w:rsidRDefault="002D5DE5" w:rsidP="002D5DE5">
            <w:pPr>
              <w:rPr>
                <w:rFonts w:ascii="Verdana" w:hAnsi="Verdana"/>
                <w:sz w:val="18"/>
                <w:szCs w:val="18"/>
                <w:lang w:val="nl-NL"/>
              </w:rPr>
            </w:pPr>
            <w:r w:rsidRPr="00AB4A34">
              <w:rPr>
                <w:rFonts w:ascii="Verdana" w:hAnsi="Verdana"/>
                <w:sz w:val="18"/>
                <w:szCs w:val="18"/>
                <w:lang w:val="nl-NL"/>
              </w:rPr>
              <w:t xml:space="preserve">Afvalverwerking en waterzuivering in </w:t>
            </w:r>
            <w:proofErr w:type="spellStart"/>
            <w:r w:rsidRPr="00AB4A34">
              <w:rPr>
                <w:rFonts w:ascii="Verdana" w:hAnsi="Verdana"/>
                <w:sz w:val="18"/>
                <w:szCs w:val="18"/>
                <w:lang w:val="nl-NL"/>
              </w:rPr>
              <w:t>Brazilie</w:t>
            </w:r>
            <w:proofErr w:type="spellEnd"/>
            <w:r w:rsidRPr="00AB4A34">
              <w:rPr>
                <w:rFonts w:ascii="Verdana" w:hAnsi="Verdana"/>
                <w:sz w:val="18"/>
                <w:szCs w:val="18"/>
                <w:lang w:val="nl-NL"/>
              </w:rPr>
              <w:t xml:space="preserve"> (waste processing </w:t>
            </w:r>
            <w:proofErr w:type="spellStart"/>
            <w:r w:rsidRPr="00AB4A34">
              <w:rPr>
                <w:rFonts w:ascii="Verdana" w:hAnsi="Verdana"/>
                <w:sz w:val="18"/>
                <w:szCs w:val="18"/>
                <w:lang w:val="nl-NL"/>
              </w:rPr>
              <w:t>and</w:t>
            </w:r>
            <w:proofErr w:type="spellEnd"/>
            <w:r w:rsidRPr="00AB4A34">
              <w:rPr>
                <w:rFonts w:ascii="Verdana" w:hAnsi="Verdana"/>
                <w:sz w:val="18"/>
                <w:szCs w:val="18"/>
                <w:lang w:val="nl-NL"/>
              </w:rPr>
              <w:t xml:space="preserve"> water </w:t>
            </w:r>
            <w:proofErr w:type="spellStart"/>
            <w:r w:rsidRPr="00AB4A34">
              <w:rPr>
                <w:rFonts w:ascii="Verdana" w:hAnsi="Verdana"/>
                <w:sz w:val="18"/>
                <w:szCs w:val="18"/>
                <w:lang w:val="nl-NL"/>
              </w:rPr>
              <w:t>purification</w:t>
            </w:r>
            <w:proofErr w:type="spellEnd"/>
            <w:r w:rsidRPr="00AB4A34">
              <w:rPr>
                <w:rFonts w:ascii="Verdana" w:hAnsi="Verdana"/>
                <w:sz w:val="18"/>
                <w:szCs w:val="18"/>
                <w:lang w:val="nl-NL"/>
              </w:rPr>
              <w:t xml:space="preserve"> in Brazil)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Brazil</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Kastec</w:t>
            </w:r>
            <w:proofErr w:type="spellEnd"/>
            <w:r>
              <w:rPr>
                <w:rFonts w:ascii="Verdana" w:hAnsi="Verdana"/>
                <w:sz w:val="18"/>
                <w:szCs w:val="18"/>
              </w:rPr>
              <w:t xml:space="preserve"> Brazil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Brazil</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Water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Bodem</w:t>
            </w:r>
            <w:proofErr w:type="spellEnd"/>
            <w:r>
              <w:rPr>
                <w:rFonts w:ascii="Verdana" w:hAnsi="Verdana"/>
                <w:sz w:val="18"/>
                <w:szCs w:val="18"/>
              </w:rPr>
              <w:t xml:space="preserve"> Canada (water and soil Canada)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Canada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Water and Waste Treatment Canada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Canada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Horti</w:t>
            </w:r>
            <w:proofErr w:type="spellEnd"/>
            <w:r>
              <w:rPr>
                <w:rFonts w:ascii="Verdana" w:hAnsi="Verdana"/>
                <w:sz w:val="18"/>
                <w:szCs w:val="18"/>
              </w:rPr>
              <w:t xml:space="preserve">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Bodem</w:t>
            </w:r>
            <w:proofErr w:type="spellEnd"/>
            <w:r>
              <w:rPr>
                <w:rFonts w:ascii="Verdana" w:hAnsi="Verdana"/>
                <w:sz w:val="18"/>
                <w:szCs w:val="18"/>
              </w:rPr>
              <w:t xml:space="preserve"> China (soil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Uitgangsmaterialen</w:t>
            </w:r>
            <w:proofErr w:type="spellEnd"/>
            <w:r>
              <w:rPr>
                <w:rFonts w:ascii="Verdana" w:hAnsi="Verdana"/>
                <w:sz w:val="18"/>
                <w:szCs w:val="18"/>
              </w:rPr>
              <w:t xml:space="preserve"> China (parent materials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Waste Management Hong Kong</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Task Force Health Care goes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D2ragon in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Holland Center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Yacht design and engineering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Inset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Clean Coal China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Waste (water) Business Colombia (ABC)</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Colombia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Eco Design</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Germany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 E-Mobility Zuid </w:t>
            </w:r>
            <w:proofErr w:type="spellStart"/>
            <w:r>
              <w:rPr>
                <w:rFonts w:ascii="Verdana" w:hAnsi="Verdana"/>
                <w:sz w:val="18"/>
                <w:szCs w:val="18"/>
              </w:rPr>
              <w:t>en</w:t>
            </w:r>
            <w:proofErr w:type="spellEnd"/>
            <w:r>
              <w:rPr>
                <w:rFonts w:ascii="Verdana" w:hAnsi="Verdana"/>
                <w:sz w:val="18"/>
                <w:szCs w:val="18"/>
              </w:rPr>
              <w:t xml:space="preserve"> West </w:t>
            </w:r>
            <w:proofErr w:type="spellStart"/>
            <w:r>
              <w:rPr>
                <w:rFonts w:ascii="Verdana" w:hAnsi="Verdana"/>
                <w:sz w:val="18"/>
                <w:szCs w:val="18"/>
              </w:rPr>
              <w:t>Duitsland</w:t>
            </w:r>
            <w:proofErr w:type="spellEnd"/>
            <w:r>
              <w:rPr>
                <w:rFonts w:ascii="Verdana" w:hAnsi="Verdana"/>
                <w:sz w:val="18"/>
                <w:szCs w:val="18"/>
              </w:rPr>
              <w:t xml:space="preserve"> (E-Mobility South and West Germany)</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Germany</w:t>
            </w:r>
          </w:p>
        </w:tc>
      </w:tr>
      <w:tr w:rsidR="002D5DE5" w:rsidRPr="00DE0CB8" w:rsidTr="002D5DE5">
        <w:trPr>
          <w:trHeight w:val="300"/>
        </w:trPr>
        <w:tc>
          <w:tcPr>
            <w:tcW w:w="6550" w:type="dxa"/>
            <w:noWrap/>
            <w:hideMark/>
          </w:tcPr>
          <w:p w:rsidR="002D5DE5" w:rsidRPr="00E96725" w:rsidRDefault="002D5DE5" w:rsidP="002D5DE5">
            <w:pPr>
              <w:rPr>
                <w:rFonts w:ascii="Verdana" w:hAnsi="Verdana"/>
                <w:sz w:val="18"/>
                <w:szCs w:val="18"/>
              </w:rPr>
            </w:pPr>
            <w:r>
              <w:rPr>
                <w:rFonts w:ascii="Verdana" w:hAnsi="Verdana"/>
                <w:sz w:val="18"/>
                <w:szCs w:val="18"/>
              </w:rPr>
              <w:t xml:space="preserve">E-mobility von Amsterdam </w:t>
            </w:r>
            <w:proofErr w:type="spellStart"/>
            <w:r>
              <w:rPr>
                <w:rFonts w:ascii="Verdana" w:hAnsi="Verdana"/>
                <w:sz w:val="18"/>
                <w:szCs w:val="18"/>
              </w:rPr>
              <w:t>nach</w:t>
            </w:r>
            <w:proofErr w:type="spellEnd"/>
            <w:r>
              <w:rPr>
                <w:rFonts w:ascii="Verdana" w:hAnsi="Verdana"/>
                <w:sz w:val="18"/>
                <w:szCs w:val="18"/>
              </w:rPr>
              <w:t xml:space="preserve"> Berlin (E-mobility from Amsterdam to Berlin)</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Germany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IntoMedbizz</w:t>
            </w:r>
            <w:proofErr w:type="spellEnd"/>
            <w:r>
              <w:rPr>
                <w:rFonts w:ascii="Verdana" w:hAnsi="Verdana"/>
                <w:sz w:val="18"/>
                <w:szCs w:val="18"/>
              </w:rPr>
              <w:t xml:space="preserve"> Germany</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Germany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Aerospace Strategy France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France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Waste &amp; Sustainable Energy France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France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Muze</w:t>
            </w:r>
            <w:proofErr w:type="spellEnd"/>
            <w:r>
              <w:rPr>
                <w:rFonts w:ascii="Verdana" w:hAnsi="Verdana"/>
                <w:sz w:val="18"/>
                <w:szCs w:val="18"/>
              </w:rPr>
              <w:t xml:space="preserve"> Amsterdam</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France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Desert Tulip</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Gulf States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Learning Exchange Middle East</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Gulf States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Natural Minerals for Hungary</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Hungary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Creative Agencies India 2013-2015</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Potato Centre India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FoodTechHolland</w:t>
            </w:r>
            <w:proofErr w:type="spellEnd"/>
            <w:r>
              <w:rPr>
                <w:rFonts w:ascii="Verdana" w:hAnsi="Verdana"/>
                <w:sz w:val="18"/>
                <w:szCs w:val="18"/>
              </w:rPr>
              <w:t xml:space="preserve"> (FTH)</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Waste2Value India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Dutch Sports </w:t>
            </w:r>
            <w:proofErr w:type="spellStart"/>
            <w:r>
              <w:rPr>
                <w:rFonts w:ascii="Verdana" w:hAnsi="Verdana"/>
                <w:sz w:val="18"/>
                <w:szCs w:val="18"/>
              </w:rPr>
              <w:t>Infrastucture</w:t>
            </w:r>
            <w:proofErr w:type="spellEnd"/>
            <w:r>
              <w:rPr>
                <w:rFonts w:ascii="Verdana" w:hAnsi="Verdana"/>
                <w:sz w:val="18"/>
                <w:szCs w:val="18"/>
              </w:rPr>
              <w:t xml:space="preserve"> PIB Consortium India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lastRenderedPageBreak/>
              <w:t>Supercharging India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Dairy Cluster India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DASUDA Nigeria &amp; Kenya</w:t>
            </w:r>
          </w:p>
        </w:tc>
        <w:tc>
          <w:tcPr>
            <w:tcW w:w="1960" w:type="dxa"/>
            <w:noWrap/>
            <w:hideMark/>
          </w:tcPr>
          <w:p w:rsidR="002D5DE5" w:rsidRPr="0040513A" w:rsidRDefault="002D5DE5" w:rsidP="00F006D5">
            <w:pPr>
              <w:rPr>
                <w:rFonts w:ascii="Verdana" w:hAnsi="Verdana"/>
                <w:sz w:val="18"/>
                <w:szCs w:val="18"/>
              </w:rPr>
            </w:pPr>
            <w:r>
              <w:rPr>
                <w:rFonts w:ascii="Verdana" w:hAnsi="Verdana"/>
                <w:sz w:val="18"/>
                <w:szCs w:val="18"/>
              </w:rPr>
              <w:t xml:space="preserve">Kenya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Grupo</w:t>
            </w:r>
            <w:proofErr w:type="spellEnd"/>
            <w:r>
              <w:rPr>
                <w:rFonts w:ascii="Verdana" w:hAnsi="Verdana"/>
                <w:sz w:val="18"/>
                <w:szCs w:val="18"/>
              </w:rPr>
              <w:t xml:space="preserve"> </w:t>
            </w:r>
            <w:proofErr w:type="spellStart"/>
            <w:r>
              <w:rPr>
                <w:rFonts w:ascii="Verdana" w:hAnsi="Verdana"/>
                <w:sz w:val="18"/>
                <w:szCs w:val="18"/>
              </w:rPr>
              <w:t>AgriMex-Holanda</w:t>
            </w:r>
            <w:proofErr w:type="spellEnd"/>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Mexico</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FoodTechLink</w:t>
            </w:r>
            <w:proofErr w:type="spellEnd"/>
            <w:r>
              <w:rPr>
                <w:rFonts w:ascii="Verdana" w:hAnsi="Verdana"/>
                <w:sz w:val="18"/>
                <w:szCs w:val="18"/>
              </w:rPr>
              <w:t xml:space="preserve"> Ukraine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Ukraine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Biobased</w:t>
            </w:r>
            <w:proofErr w:type="spellEnd"/>
            <w:r>
              <w:rPr>
                <w:rFonts w:ascii="Verdana" w:hAnsi="Verdana"/>
                <w:sz w:val="18"/>
                <w:szCs w:val="18"/>
              </w:rPr>
              <w:t xml:space="preserve"> Energy Ukraine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Ukraine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Nederland - </w:t>
            </w:r>
            <w:proofErr w:type="spellStart"/>
            <w:r>
              <w:rPr>
                <w:rFonts w:ascii="Verdana" w:hAnsi="Verdana"/>
                <w:sz w:val="18"/>
                <w:szCs w:val="18"/>
              </w:rPr>
              <w:t>Polen</w:t>
            </w:r>
            <w:proofErr w:type="spellEnd"/>
            <w:r>
              <w:rPr>
                <w:rFonts w:ascii="Verdana" w:hAnsi="Verdana"/>
                <w:sz w:val="18"/>
                <w:szCs w:val="18"/>
              </w:rPr>
              <w:t xml:space="preserve"> Spoor (Netherlands/Poland rail)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Poland</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Revitalization of the water track MDWE-40</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Poland</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AgroFreshPark</w:t>
            </w:r>
            <w:proofErr w:type="spellEnd"/>
            <w:r>
              <w:rPr>
                <w:rFonts w:ascii="Verdana" w:hAnsi="Verdana"/>
                <w:sz w:val="18"/>
                <w:szCs w:val="18"/>
              </w:rPr>
              <w:t xml:space="preserve"> Poland</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Poland</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Linked by Rail</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Poland</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Taskforce Qatar WK 2022</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Qatar</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Holland Dairy House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Romania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Holland Fruit House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Romania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Holland House of Horticulture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Romania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Aviation Solutions Russia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Russia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Taskforce Healthcare Goes Russia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Russia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Dutch Sports Infrastructure: Task Force WC 2018 Russia  </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Russia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Afvalwaterbehandeling</w:t>
            </w:r>
            <w:proofErr w:type="spellEnd"/>
            <w:r>
              <w:rPr>
                <w:rFonts w:ascii="Verdana" w:hAnsi="Verdana"/>
                <w:sz w:val="18"/>
                <w:szCs w:val="18"/>
              </w:rPr>
              <w:t xml:space="preserve"> </w:t>
            </w:r>
            <w:proofErr w:type="spellStart"/>
            <w:r>
              <w:rPr>
                <w:rFonts w:ascii="Verdana" w:hAnsi="Verdana"/>
                <w:sz w:val="18"/>
                <w:szCs w:val="18"/>
              </w:rPr>
              <w:t>en</w:t>
            </w:r>
            <w:proofErr w:type="spellEnd"/>
            <w:r>
              <w:rPr>
                <w:rFonts w:ascii="Verdana" w:hAnsi="Verdana"/>
                <w:sz w:val="18"/>
                <w:szCs w:val="18"/>
              </w:rPr>
              <w:t xml:space="preserve"> </w:t>
            </w:r>
            <w:proofErr w:type="spellStart"/>
            <w:r>
              <w:rPr>
                <w:rFonts w:ascii="Verdana" w:hAnsi="Verdana"/>
                <w:sz w:val="18"/>
                <w:szCs w:val="18"/>
              </w:rPr>
              <w:t>bodemsanering</w:t>
            </w:r>
            <w:proofErr w:type="spellEnd"/>
            <w:r>
              <w:rPr>
                <w:rFonts w:ascii="Verdana" w:hAnsi="Verdana"/>
                <w:sz w:val="18"/>
                <w:szCs w:val="18"/>
              </w:rPr>
              <w:t xml:space="preserve"> </w:t>
            </w:r>
            <w:proofErr w:type="spellStart"/>
            <w:r>
              <w:rPr>
                <w:rFonts w:ascii="Verdana" w:hAnsi="Verdana"/>
                <w:sz w:val="18"/>
                <w:szCs w:val="18"/>
              </w:rPr>
              <w:t>Servie</w:t>
            </w:r>
            <w:proofErr w:type="spellEnd"/>
            <w:r>
              <w:rPr>
                <w:rFonts w:ascii="Verdana" w:hAnsi="Verdana"/>
                <w:sz w:val="18"/>
                <w:szCs w:val="18"/>
              </w:rPr>
              <w:t xml:space="preserve"> (waste water processing and soil rehabilitation Serbia)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 xml:space="preserve">Serbia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PIB SEACRES Singapore</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Singapore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Watermanagement</w:t>
            </w:r>
            <w:proofErr w:type="spellEnd"/>
            <w:r>
              <w:rPr>
                <w:rFonts w:ascii="Verdana" w:hAnsi="Verdana"/>
                <w:sz w:val="18"/>
                <w:szCs w:val="18"/>
              </w:rPr>
              <w:t xml:space="preserve"> </w:t>
            </w:r>
            <w:proofErr w:type="spellStart"/>
            <w:r>
              <w:rPr>
                <w:rFonts w:ascii="Verdana" w:hAnsi="Verdana"/>
                <w:sz w:val="18"/>
                <w:szCs w:val="18"/>
              </w:rPr>
              <w:t>Slowakije</w:t>
            </w:r>
            <w:proofErr w:type="spellEnd"/>
            <w:r>
              <w:rPr>
                <w:rFonts w:ascii="Verdana" w:hAnsi="Verdana"/>
                <w:sz w:val="18"/>
                <w:szCs w:val="18"/>
              </w:rPr>
              <w:t xml:space="preserve"> (water management Slovakia)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Slovakia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4TuNe - A Prosperous Future for Turkish and Dutch Maritime Technology</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Turkey</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Energy Solutions</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UAE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Creative Industry</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UAE</w:t>
            </w:r>
          </w:p>
        </w:tc>
      </w:tr>
      <w:tr w:rsidR="002D5DE5" w:rsidRPr="00DE0CB8" w:rsidTr="002D5DE5">
        <w:trPr>
          <w:trHeight w:val="300"/>
        </w:trPr>
        <w:tc>
          <w:tcPr>
            <w:tcW w:w="6550" w:type="dxa"/>
            <w:noWrap/>
            <w:hideMark/>
          </w:tcPr>
          <w:p w:rsidR="002D5DE5" w:rsidRPr="0040513A" w:rsidRDefault="00652A19" w:rsidP="002D5DE5">
            <w:pPr>
              <w:rPr>
                <w:rFonts w:ascii="Verdana" w:hAnsi="Verdana"/>
                <w:sz w:val="18"/>
                <w:szCs w:val="18"/>
              </w:rPr>
            </w:pPr>
            <w:hyperlink r:id="rId14" w:history="1">
              <w:r w:rsidR="00835966">
                <w:rPr>
                  <w:rStyle w:val="Hyperlink"/>
                  <w:rFonts w:ascii="Verdana" w:hAnsi="Verdana"/>
                  <w:color w:val="auto"/>
                  <w:sz w:val="18"/>
                  <w:szCs w:val="18"/>
                </w:rPr>
                <w:t>Middle East 2016 - 2019 TFHC goes Middle East</w:t>
              </w:r>
            </w:hyperlink>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UAE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New Communities with Go Dutch</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Electrifying Holland - West Coast</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Healthcare Innovation Transfer</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East Coast Electric</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Smart Cities and Communities Netherlands and Texas</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Dutch </w:t>
            </w:r>
            <w:proofErr w:type="spellStart"/>
            <w:r>
              <w:rPr>
                <w:rFonts w:ascii="Verdana" w:hAnsi="Verdana"/>
                <w:sz w:val="18"/>
                <w:szCs w:val="18"/>
              </w:rPr>
              <w:t>Ates</w:t>
            </w:r>
            <w:proofErr w:type="spellEnd"/>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Dutch Media Innovators (DMI) US (California)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Pr>
                <w:rFonts w:ascii="Verdana" w:hAnsi="Verdana"/>
                <w:sz w:val="18"/>
                <w:szCs w:val="18"/>
              </w:rPr>
              <w:t>OrangeGoesGreen</w:t>
            </w:r>
            <w:proofErr w:type="spellEnd"/>
            <w:r>
              <w:rPr>
                <w:rFonts w:ascii="Verdana" w:hAnsi="Verdana"/>
                <w:sz w:val="18"/>
                <w:szCs w:val="18"/>
              </w:rPr>
              <w:t xml:space="preserve"> </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 xml:space="preserve">Orange goes Green </w:t>
            </w:r>
            <w:proofErr w:type="spellStart"/>
            <w:r>
              <w:rPr>
                <w:rFonts w:ascii="Verdana" w:hAnsi="Verdana"/>
                <w:sz w:val="18"/>
                <w:szCs w:val="18"/>
              </w:rPr>
              <w:t>Afbouw</w:t>
            </w:r>
            <w:proofErr w:type="spellEnd"/>
            <w:r>
              <w:rPr>
                <w:rFonts w:ascii="Verdana" w:hAnsi="Verdana"/>
                <w:sz w:val="18"/>
                <w:szCs w:val="18"/>
              </w:rPr>
              <w:t xml:space="preserve"> (Orange goes Green - completion)</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Resource Recovery &amp; Bio Energy United States</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US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Tap into Asia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South Korea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Pr>
                <w:rFonts w:ascii="Verdana" w:hAnsi="Verdana"/>
                <w:sz w:val="18"/>
                <w:szCs w:val="18"/>
              </w:rPr>
              <w:t>Wind Energy Japan and Korea</w:t>
            </w:r>
          </w:p>
        </w:tc>
        <w:tc>
          <w:tcPr>
            <w:tcW w:w="1960" w:type="dxa"/>
            <w:noWrap/>
            <w:hideMark/>
          </w:tcPr>
          <w:p w:rsidR="002D5DE5" w:rsidRPr="0040513A" w:rsidRDefault="002D5DE5" w:rsidP="002D5DE5">
            <w:pPr>
              <w:rPr>
                <w:rFonts w:ascii="Verdana" w:hAnsi="Verdana"/>
                <w:sz w:val="18"/>
                <w:szCs w:val="18"/>
              </w:rPr>
            </w:pPr>
            <w:r>
              <w:rPr>
                <w:rFonts w:ascii="Verdana" w:hAnsi="Verdana"/>
                <w:sz w:val="18"/>
                <w:szCs w:val="18"/>
              </w:rPr>
              <w:t>South Korea</w:t>
            </w:r>
          </w:p>
        </w:tc>
      </w:tr>
    </w:tbl>
    <w:p w:rsidR="002D5DE5" w:rsidRPr="0042436A" w:rsidRDefault="002D5DE5" w:rsidP="00ED7632">
      <w:pPr>
        <w:rPr>
          <w:rFonts w:ascii="Verdana" w:hAnsi="Verdana"/>
          <w:b/>
          <w:i/>
          <w:sz w:val="18"/>
          <w:szCs w:val="18"/>
          <w:lang w:val="nl-NL"/>
        </w:rPr>
      </w:pPr>
    </w:p>
    <w:sectPr w:rsidR="002D5DE5" w:rsidRPr="0042436A">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66" w:rsidRDefault="00835966" w:rsidP="00162029">
      <w:pPr>
        <w:spacing w:line="240" w:lineRule="auto"/>
      </w:pPr>
      <w:r>
        <w:separator/>
      </w:r>
    </w:p>
  </w:endnote>
  <w:endnote w:type="continuationSeparator" w:id="0">
    <w:p w:rsidR="00835966" w:rsidRDefault="00835966" w:rsidP="00162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595653"/>
      <w:docPartObj>
        <w:docPartGallery w:val="Page Numbers (Bottom of Page)"/>
        <w:docPartUnique/>
      </w:docPartObj>
    </w:sdtPr>
    <w:sdtEndPr/>
    <w:sdtContent>
      <w:p w:rsidR="00D031DF" w:rsidRDefault="000F0E1F">
        <w:pPr>
          <w:pStyle w:val="Voettekst"/>
          <w:jc w:val="right"/>
        </w:pPr>
        <w:r>
          <w:fldChar w:fldCharType="begin"/>
        </w:r>
        <w:r>
          <w:instrText>PAGE   \* MERGEFORMAT</w:instrText>
        </w:r>
        <w:r>
          <w:fldChar w:fldCharType="separate"/>
        </w:r>
        <w:r w:rsidR="00652A19">
          <w:rPr>
            <w:noProof/>
          </w:rPr>
          <w:t>1</w:t>
        </w:r>
        <w:r>
          <w:fldChar w:fldCharType="end"/>
        </w:r>
      </w:p>
    </w:sdtContent>
  </w:sdt>
  <w:p w:rsidR="00835966" w:rsidRDefault="008359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66" w:rsidRDefault="00835966" w:rsidP="00162029">
      <w:pPr>
        <w:spacing w:line="240" w:lineRule="auto"/>
      </w:pPr>
      <w:r>
        <w:separator/>
      </w:r>
    </w:p>
  </w:footnote>
  <w:footnote w:type="continuationSeparator" w:id="0">
    <w:p w:rsidR="00835966" w:rsidRDefault="00835966" w:rsidP="00162029">
      <w:pPr>
        <w:spacing w:line="240" w:lineRule="auto"/>
      </w:pPr>
      <w:r>
        <w:continuationSeparator/>
      </w:r>
    </w:p>
  </w:footnote>
  <w:footnote w:id="1">
    <w:p w:rsidR="00835966" w:rsidRPr="00162029" w:rsidRDefault="00835966" w:rsidP="00E23E08">
      <w:pPr>
        <w:pStyle w:val="Voetnoottekst"/>
      </w:pPr>
      <w:r>
        <w:rPr>
          <w:rStyle w:val="Voetnootmarkering"/>
        </w:rPr>
        <w:footnoteRef/>
      </w:r>
      <w:r>
        <w:t xml:space="preserve"> The PIB programme was set up in 2012 under the auspices of the Minister for Agriculture. See Government Gazette 2012, No. 3067,  </w:t>
      </w:r>
      <w:r>
        <w:rPr>
          <w:i/>
        </w:rPr>
        <w:t>Policy Guidelines of the Minister for Agriculture of 14 February 2012, ref. WJZ/12016652, on the conclusion of agreements in the context of implementation of the Partners for International Business programme (Partners for International Business Policy Guidelines).</w:t>
      </w:r>
      <w:r>
        <w:t xml:space="preserve"> </w:t>
      </w:r>
    </w:p>
  </w:footnote>
  <w:footnote w:id="2">
    <w:p w:rsidR="00835966" w:rsidRPr="003573F5" w:rsidRDefault="00835966">
      <w:pPr>
        <w:pStyle w:val="Voetnoottekst"/>
      </w:pPr>
      <w:r>
        <w:rPr>
          <w:rStyle w:val="Voetnootmarkering"/>
        </w:rPr>
        <w:footnoteRef/>
      </w:r>
      <w:r>
        <w:t xml:space="preserve"> </w:t>
      </w:r>
      <w:r>
        <w:rPr>
          <w:i/>
        </w:rPr>
        <w:t>2g@there audit report and the policy response</w:t>
      </w:r>
      <w:r>
        <w:t xml:space="preserve">, dated 13 March 2012, p. 6 (Government ID number 00000001003214369000). The review itself: </w:t>
      </w:r>
      <w:proofErr w:type="spellStart"/>
      <w:r>
        <w:rPr>
          <w:i/>
        </w:rPr>
        <w:t>Evaluatie</w:t>
      </w:r>
      <w:proofErr w:type="spellEnd"/>
      <w:r>
        <w:rPr>
          <w:i/>
        </w:rPr>
        <w:t xml:space="preserve"> 2g@there 2007-2011 </w:t>
      </w:r>
      <w:proofErr w:type="spellStart"/>
      <w:r>
        <w:rPr>
          <w:i/>
        </w:rPr>
        <w:t>eindrapport</w:t>
      </w:r>
      <w:proofErr w:type="spellEnd"/>
      <w:r>
        <w:rPr>
          <w:i/>
        </w:rPr>
        <w:t xml:space="preserve"> (Audit of 2g@there 2007-2011 final report)</w:t>
      </w:r>
      <w:r>
        <w:t>, PwC 2012.</w:t>
      </w:r>
    </w:p>
  </w:footnote>
  <w:footnote w:id="3">
    <w:p w:rsidR="00835966" w:rsidRPr="00ED7632" w:rsidRDefault="00835966" w:rsidP="00371537">
      <w:pPr>
        <w:pStyle w:val="Voetnoottekst"/>
      </w:pPr>
      <w:r>
        <w:rPr>
          <w:rStyle w:val="Voetnootmarkering"/>
        </w:rPr>
        <w:footnoteRef/>
      </w:r>
      <w:r>
        <w:t xml:space="preserve"> Lower House, 2012-2013 session, 33 625, No. 3.</w:t>
      </w:r>
    </w:p>
  </w:footnote>
  <w:footnote w:id="4">
    <w:p w:rsidR="00835966" w:rsidRPr="007A1AE2" w:rsidRDefault="00835966">
      <w:pPr>
        <w:pStyle w:val="Voetnoottekst"/>
      </w:pPr>
      <w:r>
        <w:rPr>
          <w:rStyle w:val="Voetnootmarkering"/>
        </w:rPr>
        <w:footnoteRef/>
      </w:r>
      <w:r>
        <w:t xml:space="preserve"> In the 2014 Bid, this results area was defined as follows:</w:t>
      </w:r>
      <w:r>
        <w:rPr>
          <w:rFonts w:ascii="Verdana" w:hAnsi="Verdana"/>
          <w:sz w:val="18"/>
          <w:szCs w:val="18"/>
        </w:rPr>
        <w:t xml:space="preserve"> </w:t>
      </w:r>
      <w:r>
        <w:t>'Long-term improvement of the market position on and/or access to promising markets by clusters'.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9B5"/>
    <w:multiLevelType w:val="hybridMultilevel"/>
    <w:tmpl w:val="F15036FC"/>
    <w:lvl w:ilvl="0" w:tplc="1EB0C52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31C50FD"/>
    <w:multiLevelType w:val="hybridMultilevel"/>
    <w:tmpl w:val="8CA655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95C1703"/>
    <w:multiLevelType w:val="hybridMultilevel"/>
    <w:tmpl w:val="F3B4F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9E53EA"/>
    <w:multiLevelType w:val="hybridMultilevel"/>
    <w:tmpl w:val="9A7C2C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FF708A0"/>
    <w:multiLevelType w:val="hybridMultilevel"/>
    <w:tmpl w:val="119CE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54C1610"/>
    <w:multiLevelType w:val="hybridMultilevel"/>
    <w:tmpl w:val="FC7EF6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C663E1"/>
    <w:multiLevelType w:val="hybridMultilevel"/>
    <w:tmpl w:val="D4BCCC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DC7FE7"/>
    <w:multiLevelType w:val="hybridMultilevel"/>
    <w:tmpl w:val="43BAA3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DDC664A"/>
    <w:multiLevelType w:val="hybridMultilevel"/>
    <w:tmpl w:val="C900AE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DDD16CF"/>
    <w:multiLevelType w:val="hybridMultilevel"/>
    <w:tmpl w:val="64684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251E03"/>
    <w:multiLevelType w:val="hybridMultilevel"/>
    <w:tmpl w:val="35E2A5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2C00F5A"/>
    <w:multiLevelType w:val="hybridMultilevel"/>
    <w:tmpl w:val="52700FE4"/>
    <w:lvl w:ilvl="0" w:tplc="BE5C5894">
      <w:start w:val="9"/>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6143F76"/>
    <w:multiLevelType w:val="hybridMultilevel"/>
    <w:tmpl w:val="F95603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B004810"/>
    <w:multiLevelType w:val="hybridMultilevel"/>
    <w:tmpl w:val="A6B2ADC2"/>
    <w:lvl w:ilvl="0" w:tplc="8564E48E">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0556983"/>
    <w:multiLevelType w:val="hybridMultilevel"/>
    <w:tmpl w:val="1C6C9E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0D216A8"/>
    <w:multiLevelType w:val="hybridMultilevel"/>
    <w:tmpl w:val="87AEA9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62B22499"/>
    <w:multiLevelType w:val="hybridMultilevel"/>
    <w:tmpl w:val="09F20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27676BC"/>
    <w:multiLevelType w:val="hybridMultilevel"/>
    <w:tmpl w:val="D42AE4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34F66E5"/>
    <w:multiLevelType w:val="hybridMultilevel"/>
    <w:tmpl w:val="F95603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7"/>
  </w:num>
  <w:num w:numId="3">
    <w:abstractNumId w:val="18"/>
  </w:num>
  <w:num w:numId="4">
    <w:abstractNumId w:val="15"/>
  </w:num>
  <w:num w:numId="5">
    <w:abstractNumId w:val="2"/>
  </w:num>
  <w:num w:numId="6">
    <w:abstractNumId w:val="4"/>
  </w:num>
  <w:num w:numId="7">
    <w:abstractNumId w:val="17"/>
  </w:num>
  <w:num w:numId="8">
    <w:abstractNumId w:val="6"/>
  </w:num>
  <w:num w:numId="9">
    <w:abstractNumId w:val="14"/>
  </w:num>
  <w:num w:numId="10">
    <w:abstractNumId w:val="3"/>
  </w:num>
  <w:num w:numId="11">
    <w:abstractNumId w:val="9"/>
  </w:num>
  <w:num w:numId="12">
    <w:abstractNumId w:val="10"/>
  </w:num>
  <w:num w:numId="13">
    <w:abstractNumId w:val="11"/>
  </w:num>
  <w:num w:numId="14">
    <w:abstractNumId w:val="13"/>
  </w:num>
  <w:num w:numId="15">
    <w:abstractNumId w:val="5"/>
  </w:num>
  <w:num w:numId="16">
    <w:abstractNumId w:val="16"/>
  </w:num>
  <w:num w:numId="17">
    <w:abstractNumId w:val="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52"/>
    <w:rsid w:val="00003F6E"/>
    <w:rsid w:val="0001195A"/>
    <w:rsid w:val="00036E3C"/>
    <w:rsid w:val="00065A75"/>
    <w:rsid w:val="0006637A"/>
    <w:rsid w:val="000723F4"/>
    <w:rsid w:val="00086515"/>
    <w:rsid w:val="000A2620"/>
    <w:rsid w:val="000A61C7"/>
    <w:rsid w:val="000B4824"/>
    <w:rsid w:val="000B58D6"/>
    <w:rsid w:val="000C52E1"/>
    <w:rsid w:val="000D0CD7"/>
    <w:rsid w:val="000F0E1F"/>
    <w:rsid w:val="00105C16"/>
    <w:rsid w:val="00131BE1"/>
    <w:rsid w:val="0013236F"/>
    <w:rsid w:val="00146BF0"/>
    <w:rsid w:val="00162029"/>
    <w:rsid w:val="00162C86"/>
    <w:rsid w:val="00166723"/>
    <w:rsid w:val="00180905"/>
    <w:rsid w:val="00185369"/>
    <w:rsid w:val="00186CC7"/>
    <w:rsid w:val="00191BD6"/>
    <w:rsid w:val="001C466C"/>
    <w:rsid w:val="001E318B"/>
    <w:rsid w:val="001E5A64"/>
    <w:rsid w:val="00217747"/>
    <w:rsid w:val="00241952"/>
    <w:rsid w:val="00257ADA"/>
    <w:rsid w:val="00276DEE"/>
    <w:rsid w:val="00276F4B"/>
    <w:rsid w:val="00277601"/>
    <w:rsid w:val="00292F71"/>
    <w:rsid w:val="002C5980"/>
    <w:rsid w:val="002D3E18"/>
    <w:rsid w:val="002D5DE5"/>
    <w:rsid w:val="0030294C"/>
    <w:rsid w:val="00325F1A"/>
    <w:rsid w:val="00340D9B"/>
    <w:rsid w:val="003573F5"/>
    <w:rsid w:val="0036491A"/>
    <w:rsid w:val="00371537"/>
    <w:rsid w:val="00385501"/>
    <w:rsid w:val="00386D13"/>
    <w:rsid w:val="00395502"/>
    <w:rsid w:val="003B7C2C"/>
    <w:rsid w:val="003C2C01"/>
    <w:rsid w:val="003E5752"/>
    <w:rsid w:val="0040513A"/>
    <w:rsid w:val="004121B7"/>
    <w:rsid w:val="0042436A"/>
    <w:rsid w:val="00424833"/>
    <w:rsid w:val="00445696"/>
    <w:rsid w:val="00450720"/>
    <w:rsid w:val="00452A2B"/>
    <w:rsid w:val="00492AA3"/>
    <w:rsid w:val="004C6E22"/>
    <w:rsid w:val="004C7B0E"/>
    <w:rsid w:val="004D2C1D"/>
    <w:rsid w:val="004E6F0A"/>
    <w:rsid w:val="005125AC"/>
    <w:rsid w:val="0052276C"/>
    <w:rsid w:val="005235B1"/>
    <w:rsid w:val="00535B83"/>
    <w:rsid w:val="00556C50"/>
    <w:rsid w:val="00580F67"/>
    <w:rsid w:val="005835F6"/>
    <w:rsid w:val="00592652"/>
    <w:rsid w:val="005A1B19"/>
    <w:rsid w:val="005A7B5E"/>
    <w:rsid w:val="005C3120"/>
    <w:rsid w:val="005C5B46"/>
    <w:rsid w:val="005D09FB"/>
    <w:rsid w:val="005D2AF6"/>
    <w:rsid w:val="005D494A"/>
    <w:rsid w:val="00613A2F"/>
    <w:rsid w:val="00624C00"/>
    <w:rsid w:val="006253B0"/>
    <w:rsid w:val="00627F77"/>
    <w:rsid w:val="006503CB"/>
    <w:rsid w:val="00652A19"/>
    <w:rsid w:val="0065495E"/>
    <w:rsid w:val="00656870"/>
    <w:rsid w:val="00662137"/>
    <w:rsid w:val="00662C6B"/>
    <w:rsid w:val="00682E0F"/>
    <w:rsid w:val="00692586"/>
    <w:rsid w:val="006B3471"/>
    <w:rsid w:val="006C2532"/>
    <w:rsid w:val="006C4521"/>
    <w:rsid w:val="006D5041"/>
    <w:rsid w:val="006D6160"/>
    <w:rsid w:val="006F696A"/>
    <w:rsid w:val="007017FB"/>
    <w:rsid w:val="00701EA8"/>
    <w:rsid w:val="007226C8"/>
    <w:rsid w:val="00724649"/>
    <w:rsid w:val="007272DA"/>
    <w:rsid w:val="00744249"/>
    <w:rsid w:val="00754FD3"/>
    <w:rsid w:val="00782297"/>
    <w:rsid w:val="007A1AE2"/>
    <w:rsid w:val="007A4FB0"/>
    <w:rsid w:val="007E0703"/>
    <w:rsid w:val="007F4110"/>
    <w:rsid w:val="007F72B2"/>
    <w:rsid w:val="00800D90"/>
    <w:rsid w:val="00801ACF"/>
    <w:rsid w:val="00825C44"/>
    <w:rsid w:val="00835966"/>
    <w:rsid w:val="008425A2"/>
    <w:rsid w:val="00845CFF"/>
    <w:rsid w:val="00845DB1"/>
    <w:rsid w:val="00847AD9"/>
    <w:rsid w:val="00863A34"/>
    <w:rsid w:val="008B10D4"/>
    <w:rsid w:val="008B67DB"/>
    <w:rsid w:val="008B6C7C"/>
    <w:rsid w:val="008D32FF"/>
    <w:rsid w:val="008D3CD2"/>
    <w:rsid w:val="008E22E9"/>
    <w:rsid w:val="009138F6"/>
    <w:rsid w:val="0093535E"/>
    <w:rsid w:val="00952F9F"/>
    <w:rsid w:val="00994105"/>
    <w:rsid w:val="009D1B36"/>
    <w:rsid w:val="009E55FF"/>
    <w:rsid w:val="009E6F85"/>
    <w:rsid w:val="00A05C79"/>
    <w:rsid w:val="00A40063"/>
    <w:rsid w:val="00A631E6"/>
    <w:rsid w:val="00A82C19"/>
    <w:rsid w:val="00A948B4"/>
    <w:rsid w:val="00AB4A34"/>
    <w:rsid w:val="00AB4D81"/>
    <w:rsid w:val="00AD3E39"/>
    <w:rsid w:val="00AE0BF8"/>
    <w:rsid w:val="00AE1D10"/>
    <w:rsid w:val="00AE48FC"/>
    <w:rsid w:val="00AF3AEC"/>
    <w:rsid w:val="00AF4891"/>
    <w:rsid w:val="00B05404"/>
    <w:rsid w:val="00B32802"/>
    <w:rsid w:val="00B42323"/>
    <w:rsid w:val="00B42A04"/>
    <w:rsid w:val="00B5308E"/>
    <w:rsid w:val="00B55CA9"/>
    <w:rsid w:val="00B87DF5"/>
    <w:rsid w:val="00B91A1A"/>
    <w:rsid w:val="00C2036E"/>
    <w:rsid w:val="00C36661"/>
    <w:rsid w:val="00C45F1A"/>
    <w:rsid w:val="00CA77E5"/>
    <w:rsid w:val="00CC50AA"/>
    <w:rsid w:val="00CE0B0F"/>
    <w:rsid w:val="00CE1115"/>
    <w:rsid w:val="00CF0A41"/>
    <w:rsid w:val="00D031DF"/>
    <w:rsid w:val="00D17F99"/>
    <w:rsid w:val="00D30B10"/>
    <w:rsid w:val="00D32B11"/>
    <w:rsid w:val="00D32EFB"/>
    <w:rsid w:val="00D43010"/>
    <w:rsid w:val="00D4604A"/>
    <w:rsid w:val="00D47F03"/>
    <w:rsid w:val="00D60EEE"/>
    <w:rsid w:val="00D75EF5"/>
    <w:rsid w:val="00DA770A"/>
    <w:rsid w:val="00DC1F10"/>
    <w:rsid w:val="00DE0CB8"/>
    <w:rsid w:val="00E23E08"/>
    <w:rsid w:val="00E304EE"/>
    <w:rsid w:val="00E322E1"/>
    <w:rsid w:val="00E377A2"/>
    <w:rsid w:val="00E40066"/>
    <w:rsid w:val="00E45256"/>
    <w:rsid w:val="00E83570"/>
    <w:rsid w:val="00E94178"/>
    <w:rsid w:val="00E96725"/>
    <w:rsid w:val="00EA6A2D"/>
    <w:rsid w:val="00EA738E"/>
    <w:rsid w:val="00EB5A98"/>
    <w:rsid w:val="00EB5C0B"/>
    <w:rsid w:val="00EC5F2C"/>
    <w:rsid w:val="00ED0E71"/>
    <w:rsid w:val="00ED7632"/>
    <w:rsid w:val="00EF3CC7"/>
    <w:rsid w:val="00EF6615"/>
    <w:rsid w:val="00F000A4"/>
    <w:rsid w:val="00F006D5"/>
    <w:rsid w:val="00F00FE9"/>
    <w:rsid w:val="00F218DA"/>
    <w:rsid w:val="00F2194A"/>
    <w:rsid w:val="00F3143A"/>
    <w:rsid w:val="00F404EC"/>
    <w:rsid w:val="00F45A9E"/>
    <w:rsid w:val="00F51462"/>
    <w:rsid w:val="00F70EF4"/>
    <w:rsid w:val="00FC0E60"/>
    <w:rsid w:val="00FD06BD"/>
    <w:rsid w:val="00FD63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DA77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A770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770A"/>
    <w:pPr>
      <w:ind w:left="720"/>
      <w:contextualSpacing/>
    </w:pPr>
  </w:style>
  <w:style w:type="character" w:customStyle="1" w:styleId="Kop2Char">
    <w:name w:val="Kop 2 Char"/>
    <w:basedOn w:val="Standaardalinea-lettertype"/>
    <w:link w:val="Kop2"/>
    <w:uiPriority w:val="9"/>
    <w:rsid w:val="00DA77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A770A"/>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257ADA"/>
    <w:rPr>
      <w:color w:val="0000FF" w:themeColor="hyperlink"/>
      <w:u w:val="single"/>
    </w:rPr>
  </w:style>
  <w:style w:type="paragraph" w:styleId="Voetnoottekst">
    <w:name w:val="footnote text"/>
    <w:basedOn w:val="Standaard"/>
    <w:link w:val="VoetnoottekstChar"/>
    <w:uiPriority w:val="99"/>
    <w:semiHidden/>
    <w:unhideWhenUsed/>
    <w:rsid w:val="001620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2029"/>
    <w:rPr>
      <w:sz w:val="20"/>
      <w:szCs w:val="20"/>
    </w:rPr>
  </w:style>
  <w:style w:type="character" w:styleId="Voetnootmarkering">
    <w:name w:val="footnote reference"/>
    <w:basedOn w:val="Standaardalinea-lettertype"/>
    <w:uiPriority w:val="99"/>
    <w:semiHidden/>
    <w:unhideWhenUsed/>
    <w:rsid w:val="00162029"/>
    <w:rPr>
      <w:vertAlign w:val="superscript"/>
    </w:rPr>
  </w:style>
  <w:style w:type="character" w:styleId="Verwijzingopmerking">
    <w:name w:val="annotation reference"/>
    <w:basedOn w:val="Standaardalinea-lettertype"/>
    <w:uiPriority w:val="99"/>
    <w:semiHidden/>
    <w:unhideWhenUsed/>
    <w:rsid w:val="00424833"/>
    <w:rPr>
      <w:sz w:val="16"/>
      <w:szCs w:val="16"/>
    </w:rPr>
  </w:style>
  <w:style w:type="paragraph" w:styleId="Tekstopmerking">
    <w:name w:val="annotation text"/>
    <w:basedOn w:val="Standaard"/>
    <w:link w:val="TekstopmerkingChar"/>
    <w:uiPriority w:val="99"/>
    <w:semiHidden/>
    <w:unhideWhenUsed/>
    <w:rsid w:val="004248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833"/>
    <w:rPr>
      <w:sz w:val="20"/>
      <w:szCs w:val="20"/>
    </w:rPr>
  </w:style>
  <w:style w:type="paragraph" w:styleId="Onderwerpvanopmerking">
    <w:name w:val="annotation subject"/>
    <w:basedOn w:val="Tekstopmerking"/>
    <w:next w:val="Tekstopmerking"/>
    <w:link w:val="OnderwerpvanopmerkingChar"/>
    <w:uiPriority w:val="99"/>
    <w:semiHidden/>
    <w:unhideWhenUsed/>
    <w:rsid w:val="00424833"/>
    <w:rPr>
      <w:b/>
      <w:bCs/>
    </w:rPr>
  </w:style>
  <w:style w:type="character" w:customStyle="1" w:styleId="OnderwerpvanopmerkingChar">
    <w:name w:val="Onderwerp van opmerking Char"/>
    <w:basedOn w:val="TekstopmerkingChar"/>
    <w:link w:val="Onderwerpvanopmerking"/>
    <w:uiPriority w:val="99"/>
    <w:semiHidden/>
    <w:rsid w:val="00424833"/>
    <w:rPr>
      <w:b/>
      <w:bCs/>
      <w:sz w:val="20"/>
      <w:szCs w:val="20"/>
    </w:rPr>
  </w:style>
  <w:style w:type="paragraph" w:styleId="Ballontekst">
    <w:name w:val="Balloon Text"/>
    <w:basedOn w:val="Standaard"/>
    <w:link w:val="BallontekstChar"/>
    <w:uiPriority w:val="99"/>
    <w:semiHidden/>
    <w:unhideWhenUsed/>
    <w:rsid w:val="004248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4833"/>
    <w:rPr>
      <w:rFonts w:ascii="Tahoma" w:hAnsi="Tahoma" w:cs="Tahoma"/>
      <w:sz w:val="16"/>
      <w:szCs w:val="16"/>
    </w:rPr>
  </w:style>
  <w:style w:type="paragraph" w:styleId="Koptekst">
    <w:name w:val="header"/>
    <w:basedOn w:val="Standaard"/>
    <w:link w:val="KoptekstChar"/>
    <w:uiPriority w:val="99"/>
    <w:unhideWhenUsed/>
    <w:rsid w:val="006D50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041"/>
  </w:style>
  <w:style w:type="paragraph" w:styleId="Voettekst">
    <w:name w:val="footer"/>
    <w:basedOn w:val="Standaard"/>
    <w:link w:val="VoettekstChar"/>
    <w:uiPriority w:val="99"/>
    <w:unhideWhenUsed/>
    <w:rsid w:val="006D50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041"/>
  </w:style>
  <w:style w:type="paragraph" w:customStyle="1" w:styleId="Default">
    <w:name w:val="Default"/>
    <w:rsid w:val="00371537"/>
    <w:pPr>
      <w:autoSpaceDE w:val="0"/>
      <w:autoSpaceDN w:val="0"/>
      <w:adjustRightInd w:val="0"/>
      <w:spacing w:line="240" w:lineRule="auto"/>
    </w:pPr>
    <w:rPr>
      <w:rFonts w:ascii="Verdana" w:hAnsi="Verdana" w:cs="Verdana"/>
      <w:color w:val="000000"/>
      <w:sz w:val="24"/>
      <w:szCs w:val="24"/>
    </w:rPr>
  </w:style>
  <w:style w:type="table" w:styleId="Tabelraster">
    <w:name w:val="Table Grid"/>
    <w:basedOn w:val="Standaardtabel"/>
    <w:uiPriority w:val="59"/>
    <w:rsid w:val="007272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86C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DA77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A770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770A"/>
    <w:pPr>
      <w:ind w:left="720"/>
      <w:contextualSpacing/>
    </w:pPr>
  </w:style>
  <w:style w:type="character" w:customStyle="1" w:styleId="Kop2Char">
    <w:name w:val="Kop 2 Char"/>
    <w:basedOn w:val="Standaardalinea-lettertype"/>
    <w:link w:val="Kop2"/>
    <w:uiPriority w:val="9"/>
    <w:rsid w:val="00DA77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A770A"/>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257ADA"/>
    <w:rPr>
      <w:color w:val="0000FF" w:themeColor="hyperlink"/>
      <w:u w:val="single"/>
    </w:rPr>
  </w:style>
  <w:style w:type="paragraph" w:styleId="Voetnoottekst">
    <w:name w:val="footnote text"/>
    <w:basedOn w:val="Standaard"/>
    <w:link w:val="VoetnoottekstChar"/>
    <w:uiPriority w:val="99"/>
    <w:semiHidden/>
    <w:unhideWhenUsed/>
    <w:rsid w:val="001620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2029"/>
    <w:rPr>
      <w:sz w:val="20"/>
      <w:szCs w:val="20"/>
    </w:rPr>
  </w:style>
  <w:style w:type="character" w:styleId="Voetnootmarkering">
    <w:name w:val="footnote reference"/>
    <w:basedOn w:val="Standaardalinea-lettertype"/>
    <w:uiPriority w:val="99"/>
    <w:semiHidden/>
    <w:unhideWhenUsed/>
    <w:rsid w:val="00162029"/>
    <w:rPr>
      <w:vertAlign w:val="superscript"/>
    </w:rPr>
  </w:style>
  <w:style w:type="character" w:styleId="Verwijzingopmerking">
    <w:name w:val="annotation reference"/>
    <w:basedOn w:val="Standaardalinea-lettertype"/>
    <w:uiPriority w:val="99"/>
    <w:semiHidden/>
    <w:unhideWhenUsed/>
    <w:rsid w:val="00424833"/>
    <w:rPr>
      <w:sz w:val="16"/>
      <w:szCs w:val="16"/>
    </w:rPr>
  </w:style>
  <w:style w:type="paragraph" w:styleId="Tekstopmerking">
    <w:name w:val="annotation text"/>
    <w:basedOn w:val="Standaard"/>
    <w:link w:val="TekstopmerkingChar"/>
    <w:uiPriority w:val="99"/>
    <w:semiHidden/>
    <w:unhideWhenUsed/>
    <w:rsid w:val="004248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833"/>
    <w:rPr>
      <w:sz w:val="20"/>
      <w:szCs w:val="20"/>
    </w:rPr>
  </w:style>
  <w:style w:type="paragraph" w:styleId="Onderwerpvanopmerking">
    <w:name w:val="annotation subject"/>
    <w:basedOn w:val="Tekstopmerking"/>
    <w:next w:val="Tekstopmerking"/>
    <w:link w:val="OnderwerpvanopmerkingChar"/>
    <w:uiPriority w:val="99"/>
    <w:semiHidden/>
    <w:unhideWhenUsed/>
    <w:rsid w:val="00424833"/>
    <w:rPr>
      <w:b/>
      <w:bCs/>
    </w:rPr>
  </w:style>
  <w:style w:type="character" w:customStyle="1" w:styleId="OnderwerpvanopmerkingChar">
    <w:name w:val="Onderwerp van opmerking Char"/>
    <w:basedOn w:val="TekstopmerkingChar"/>
    <w:link w:val="Onderwerpvanopmerking"/>
    <w:uiPriority w:val="99"/>
    <w:semiHidden/>
    <w:rsid w:val="00424833"/>
    <w:rPr>
      <w:b/>
      <w:bCs/>
      <w:sz w:val="20"/>
      <w:szCs w:val="20"/>
    </w:rPr>
  </w:style>
  <w:style w:type="paragraph" w:styleId="Ballontekst">
    <w:name w:val="Balloon Text"/>
    <w:basedOn w:val="Standaard"/>
    <w:link w:val="BallontekstChar"/>
    <w:uiPriority w:val="99"/>
    <w:semiHidden/>
    <w:unhideWhenUsed/>
    <w:rsid w:val="004248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4833"/>
    <w:rPr>
      <w:rFonts w:ascii="Tahoma" w:hAnsi="Tahoma" w:cs="Tahoma"/>
      <w:sz w:val="16"/>
      <w:szCs w:val="16"/>
    </w:rPr>
  </w:style>
  <w:style w:type="paragraph" w:styleId="Koptekst">
    <w:name w:val="header"/>
    <w:basedOn w:val="Standaard"/>
    <w:link w:val="KoptekstChar"/>
    <w:uiPriority w:val="99"/>
    <w:unhideWhenUsed/>
    <w:rsid w:val="006D50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041"/>
  </w:style>
  <w:style w:type="paragraph" w:styleId="Voettekst">
    <w:name w:val="footer"/>
    <w:basedOn w:val="Standaard"/>
    <w:link w:val="VoettekstChar"/>
    <w:uiPriority w:val="99"/>
    <w:unhideWhenUsed/>
    <w:rsid w:val="006D50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041"/>
  </w:style>
  <w:style w:type="paragraph" w:customStyle="1" w:styleId="Default">
    <w:name w:val="Default"/>
    <w:rsid w:val="00371537"/>
    <w:pPr>
      <w:autoSpaceDE w:val="0"/>
      <w:autoSpaceDN w:val="0"/>
      <w:adjustRightInd w:val="0"/>
      <w:spacing w:line="240" w:lineRule="auto"/>
    </w:pPr>
    <w:rPr>
      <w:rFonts w:ascii="Verdana" w:hAnsi="Verdana" w:cs="Verdana"/>
      <w:color w:val="000000"/>
      <w:sz w:val="24"/>
      <w:szCs w:val="24"/>
    </w:rPr>
  </w:style>
  <w:style w:type="table" w:styleId="Tabelraster">
    <w:name w:val="Table Grid"/>
    <w:basedOn w:val="Standaardtabel"/>
    <w:uiPriority w:val="59"/>
    <w:rsid w:val="007272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86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8902">
      <w:bodyDiv w:val="1"/>
      <w:marLeft w:val="0"/>
      <w:marRight w:val="0"/>
      <w:marTop w:val="0"/>
      <w:marBottom w:val="0"/>
      <w:divBdr>
        <w:top w:val="none" w:sz="0" w:space="0" w:color="auto"/>
        <w:left w:val="none" w:sz="0" w:space="0" w:color="auto"/>
        <w:bottom w:val="none" w:sz="0" w:space="0" w:color="auto"/>
        <w:right w:val="none" w:sz="0" w:space="0" w:color="auto"/>
      </w:divBdr>
    </w:div>
    <w:div w:id="105076150">
      <w:bodyDiv w:val="1"/>
      <w:marLeft w:val="0"/>
      <w:marRight w:val="0"/>
      <w:marTop w:val="0"/>
      <w:marBottom w:val="0"/>
      <w:divBdr>
        <w:top w:val="none" w:sz="0" w:space="0" w:color="auto"/>
        <w:left w:val="none" w:sz="0" w:space="0" w:color="auto"/>
        <w:bottom w:val="none" w:sz="0" w:space="0" w:color="auto"/>
        <w:right w:val="none" w:sz="0" w:space="0" w:color="auto"/>
      </w:divBdr>
    </w:div>
    <w:div w:id="728380920">
      <w:bodyDiv w:val="1"/>
      <w:marLeft w:val="0"/>
      <w:marRight w:val="0"/>
      <w:marTop w:val="0"/>
      <w:marBottom w:val="0"/>
      <w:divBdr>
        <w:top w:val="none" w:sz="0" w:space="0" w:color="auto"/>
        <w:left w:val="none" w:sz="0" w:space="0" w:color="auto"/>
        <w:bottom w:val="none" w:sz="0" w:space="0" w:color="auto"/>
        <w:right w:val="none" w:sz="0" w:space="0" w:color="auto"/>
      </w:divBdr>
    </w:div>
    <w:div w:id="789544511">
      <w:bodyDiv w:val="1"/>
      <w:marLeft w:val="0"/>
      <w:marRight w:val="0"/>
      <w:marTop w:val="0"/>
      <w:marBottom w:val="0"/>
      <w:divBdr>
        <w:top w:val="none" w:sz="0" w:space="0" w:color="auto"/>
        <w:left w:val="none" w:sz="0" w:space="0" w:color="auto"/>
        <w:bottom w:val="none" w:sz="0" w:space="0" w:color="auto"/>
        <w:right w:val="none" w:sz="0" w:space="0" w:color="auto"/>
      </w:divBdr>
    </w:div>
    <w:div w:id="852842831">
      <w:bodyDiv w:val="1"/>
      <w:marLeft w:val="0"/>
      <w:marRight w:val="0"/>
      <w:marTop w:val="0"/>
      <w:marBottom w:val="0"/>
      <w:divBdr>
        <w:top w:val="none" w:sz="0" w:space="0" w:color="auto"/>
        <w:left w:val="none" w:sz="0" w:space="0" w:color="auto"/>
        <w:bottom w:val="none" w:sz="0" w:space="0" w:color="auto"/>
        <w:right w:val="none" w:sz="0" w:space="0" w:color="auto"/>
      </w:divBdr>
    </w:div>
    <w:div w:id="954629073">
      <w:bodyDiv w:val="1"/>
      <w:marLeft w:val="0"/>
      <w:marRight w:val="0"/>
      <w:marTop w:val="0"/>
      <w:marBottom w:val="0"/>
      <w:divBdr>
        <w:top w:val="none" w:sz="0" w:space="0" w:color="auto"/>
        <w:left w:val="none" w:sz="0" w:space="0" w:color="auto"/>
        <w:bottom w:val="none" w:sz="0" w:space="0" w:color="auto"/>
        <w:right w:val="none" w:sz="0" w:space="0" w:color="auto"/>
      </w:divBdr>
    </w:div>
    <w:div w:id="1017342638">
      <w:bodyDiv w:val="1"/>
      <w:marLeft w:val="0"/>
      <w:marRight w:val="0"/>
      <w:marTop w:val="0"/>
      <w:marBottom w:val="0"/>
      <w:divBdr>
        <w:top w:val="none" w:sz="0" w:space="0" w:color="auto"/>
        <w:left w:val="none" w:sz="0" w:space="0" w:color="auto"/>
        <w:bottom w:val="none" w:sz="0" w:space="0" w:color="auto"/>
        <w:right w:val="none" w:sz="0" w:space="0" w:color="auto"/>
      </w:divBdr>
    </w:div>
    <w:div w:id="1346520041">
      <w:bodyDiv w:val="1"/>
      <w:marLeft w:val="0"/>
      <w:marRight w:val="0"/>
      <w:marTop w:val="0"/>
      <w:marBottom w:val="0"/>
      <w:divBdr>
        <w:top w:val="none" w:sz="0" w:space="0" w:color="auto"/>
        <w:left w:val="none" w:sz="0" w:space="0" w:color="auto"/>
        <w:bottom w:val="none" w:sz="0" w:space="0" w:color="auto"/>
        <w:right w:val="none" w:sz="0" w:space="0" w:color="auto"/>
      </w:divBdr>
    </w:div>
    <w:div w:id="1481769476">
      <w:bodyDiv w:val="1"/>
      <w:marLeft w:val="0"/>
      <w:marRight w:val="0"/>
      <w:marTop w:val="0"/>
      <w:marBottom w:val="0"/>
      <w:divBdr>
        <w:top w:val="none" w:sz="0" w:space="0" w:color="auto"/>
        <w:left w:val="none" w:sz="0" w:space="0" w:color="auto"/>
        <w:bottom w:val="none" w:sz="0" w:space="0" w:color="auto"/>
        <w:right w:val="none" w:sz="0" w:space="0" w:color="auto"/>
      </w:divBdr>
    </w:div>
    <w:div w:id="1580362533">
      <w:bodyDiv w:val="1"/>
      <w:marLeft w:val="0"/>
      <w:marRight w:val="0"/>
      <w:marTop w:val="0"/>
      <w:marBottom w:val="0"/>
      <w:divBdr>
        <w:top w:val="none" w:sz="0" w:space="0" w:color="auto"/>
        <w:left w:val="none" w:sz="0" w:space="0" w:color="auto"/>
        <w:bottom w:val="none" w:sz="0" w:space="0" w:color="auto"/>
        <w:right w:val="none" w:sz="0" w:space="0" w:color="auto"/>
      </w:divBdr>
    </w:div>
    <w:div w:id="1819608640">
      <w:bodyDiv w:val="1"/>
      <w:marLeft w:val="0"/>
      <w:marRight w:val="0"/>
      <w:marTop w:val="0"/>
      <w:marBottom w:val="0"/>
      <w:divBdr>
        <w:top w:val="none" w:sz="0" w:space="0" w:color="auto"/>
        <w:left w:val="none" w:sz="0" w:space="0" w:color="auto"/>
        <w:bottom w:val="none" w:sz="0" w:space="0" w:color="auto"/>
        <w:right w:val="none" w:sz="0" w:space="0" w:color="auto"/>
      </w:divBdr>
    </w:div>
    <w:div w:id="1884706499">
      <w:bodyDiv w:val="1"/>
      <w:marLeft w:val="0"/>
      <w:marRight w:val="0"/>
      <w:marTop w:val="0"/>
      <w:marBottom w:val="0"/>
      <w:divBdr>
        <w:top w:val="none" w:sz="0" w:space="0" w:color="auto"/>
        <w:left w:val="none" w:sz="0" w:space="0" w:color="auto"/>
        <w:bottom w:val="none" w:sz="0" w:space="0" w:color="auto"/>
        <w:right w:val="none" w:sz="0" w:space="0" w:color="auto"/>
      </w:divBdr>
    </w:div>
    <w:div w:id="1887260243">
      <w:bodyDiv w:val="1"/>
      <w:marLeft w:val="0"/>
      <w:marRight w:val="0"/>
      <w:marTop w:val="0"/>
      <w:marBottom w:val="0"/>
      <w:divBdr>
        <w:top w:val="none" w:sz="0" w:space="0" w:color="auto"/>
        <w:left w:val="none" w:sz="0" w:space="0" w:color="auto"/>
        <w:bottom w:val="none" w:sz="0" w:space="0" w:color="auto"/>
        <w:right w:val="none" w:sz="0" w:space="0" w:color="auto"/>
      </w:divBdr>
    </w:div>
    <w:div w:id="1933272192">
      <w:bodyDiv w:val="1"/>
      <w:marLeft w:val="0"/>
      <w:marRight w:val="0"/>
      <w:marTop w:val="0"/>
      <w:marBottom w:val="0"/>
      <w:divBdr>
        <w:top w:val="none" w:sz="0" w:space="0" w:color="auto"/>
        <w:left w:val="none" w:sz="0" w:space="0" w:color="auto"/>
        <w:bottom w:val="none" w:sz="0" w:space="0" w:color="auto"/>
        <w:right w:val="none" w:sz="0" w:space="0" w:color="auto"/>
      </w:divBdr>
    </w:div>
    <w:div w:id="21288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hilles.nfia.nl/projects/intelligence.php?todo=show&amp;intelligence_id=9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ssan.elwali@rvo.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k.ballering@rvo.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vo.nl/pib" TargetMode="External"/><Relationship Id="rId14" Type="http://schemas.openxmlformats.org/officeDocument/2006/relationships/hyperlink" Target="https://achilles.nfia.nl/projects/intelligence.php?todo=show&amp;intelligence_i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6D94-BBD6-46AA-88F7-97CEA010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4447</Words>
  <Characters>24464</Characters>
  <Application>Microsoft Office Word</Application>
  <DocSecurity>0</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EZ</Company>
  <LinksUpToDate>false</LinksUpToDate>
  <CharactersWithSpaces>28854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Kemper, drs. R.A.P. (Richard)</dc:creator>
  <cp:lastModifiedBy>Ballering, mr. H.H.A. (Henk)</cp:lastModifiedBy>
  <cp:revision>6</cp:revision>
  <cp:lastPrinted>2016-07-08T07:46:00Z</cp:lastPrinted>
  <dcterms:created xsi:type="dcterms:W3CDTF">2016-07-12T08:00:00Z</dcterms:created>
  <dcterms:modified xsi:type="dcterms:W3CDTF">2016-07-12T08:49:00Z</dcterms:modified>
</cp:coreProperties>
</file>