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9CD" w:rsidRDefault="003709CD" w:rsidP="00E56DEE">
      <w:pPr>
        <w:spacing w:line="288" w:lineRule="auto"/>
        <w:outlineLvl w:val="0"/>
        <w:rPr>
          <w:b/>
          <w:i/>
        </w:rPr>
      </w:pPr>
      <w:bookmarkStart w:id="0" w:name="_Toc230503491"/>
      <w:bookmarkStart w:id="1" w:name="_Toc267578853"/>
    </w:p>
    <w:p w:rsidR="00E56DEE" w:rsidRPr="0036630B" w:rsidRDefault="00E56DEE" w:rsidP="00E56DEE">
      <w:pPr>
        <w:outlineLvl w:val="0"/>
        <w:rPr>
          <w:b/>
        </w:rPr>
      </w:pPr>
      <w:bookmarkStart w:id="2" w:name="_Toc230503497"/>
      <w:bookmarkStart w:id="3" w:name="_Toc267578858"/>
      <w:bookmarkEnd w:id="0"/>
      <w:bookmarkEnd w:id="1"/>
      <w:r w:rsidRPr="009802DB">
        <w:rPr>
          <w:b/>
          <w:i/>
        </w:rPr>
        <w:t>Bijlage</w:t>
      </w:r>
      <w:r w:rsidRPr="0036630B">
        <w:rPr>
          <w:b/>
        </w:rPr>
        <w:t xml:space="preserve"> </w:t>
      </w:r>
      <w:r>
        <w:rPr>
          <w:b/>
        </w:rPr>
        <w:t>7a</w:t>
      </w:r>
      <w:r w:rsidRPr="0036630B">
        <w:rPr>
          <w:b/>
        </w:rPr>
        <w:t xml:space="preserve">: Formulier </w:t>
      </w:r>
      <w:r>
        <w:rPr>
          <w:b/>
        </w:rPr>
        <w:t>van Eisen</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56DEE" w:rsidTr="00E56DEE">
        <w:tc>
          <w:tcPr>
            <w:tcW w:w="9288" w:type="dxa"/>
            <w:tcBorders>
              <w:top w:val="nil"/>
              <w:left w:val="nil"/>
              <w:bottom w:val="nil"/>
              <w:right w:val="nil"/>
            </w:tcBorders>
          </w:tcPr>
          <w:p w:rsidR="00E56DEE" w:rsidRPr="0087589D" w:rsidRDefault="00E56DEE" w:rsidP="00E56DEE">
            <w:pPr>
              <w:rPr>
                <w:b/>
                <w:sz w:val="22"/>
                <w:szCs w:val="22"/>
              </w:rPr>
            </w:pPr>
          </w:p>
          <w:p w:rsidR="00E56DEE" w:rsidRPr="0087589D" w:rsidRDefault="00E56DEE" w:rsidP="00E56DEE">
            <w:pPr>
              <w:rPr>
                <w:b/>
                <w:sz w:val="36"/>
                <w:szCs w:val="36"/>
              </w:rPr>
            </w:pPr>
            <w:r w:rsidRPr="0087589D">
              <w:rPr>
                <w:b/>
                <w:sz w:val="36"/>
                <w:szCs w:val="36"/>
              </w:rPr>
              <w:t>FORMULIER VAN EISEN deel a</w:t>
            </w:r>
          </w:p>
          <w:p w:rsidR="00E56DEE" w:rsidRPr="0087589D" w:rsidRDefault="00E56DEE" w:rsidP="00E56DEE">
            <w:pPr>
              <w:rPr>
                <w:b/>
                <w:sz w:val="22"/>
                <w:szCs w:val="22"/>
              </w:rPr>
            </w:pPr>
          </w:p>
        </w:tc>
      </w:tr>
    </w:tbl>
    <w:p w:rsidR="00E56DEE" w:rsidRDefault="00E56DEE" w:rsidP="00E56DEE">
      <w:pPr>
        <w:spacing w:line="288" w:lineRule="auto"/>
      </w:pPr>
      <w:r>
        <w:t xml:space="preserve">In deze </w:t>
      </w:r>
      <w:r w:rsidRPr="009802DB">
        <w:rPr>
          <w:i/>
        </w:rPr>
        <w:t>bijlage</w:t>
      </w:r>
      <w:r>
        <w:t xml:space="preserve"> treft u eisen aan. U wordt verzocht ten aanzien van alle eisen te verklaren dat u eraan voldoet of in voorkomend geval kennis hebt genomen van de beschreven situatie. U dient daarvoor op het </w:t>
      </w:r>
      <w:r w:rsidRPr="00525E0A">
        <w:rPr>
          <w:b/>
        </w:rPr>
        <w:t>Formulier van Eisen deel b</w:t>
      </w:r>
      <w:r>
        <w:t xml:space="preserve"> achter elke eis in </w:t>
      </w:r>
      <w:r w:rsidRPr="009B52F9">
        <w:t xml:space="preserve">de kolom “akkoord” JA in te vullen. Waar </w:t>
      </w:r>
      <w:r w:rsidRPr="006E7075">
        <w:t>nadere</w:t>
      </w:r>
      <w:r w:rsidRPr="009B52F9">
        <w:t xml:space="preserve"> informatie gevraagd wordt, bijvoorbeeld indien de eis luidt: “uw </w:t>
      </w:r>
      <w:r w:rsidRPr="009B52F9">
        <w:rPr>
          <w:i/>
        </w:rPr>
        <w:t>offerte</w:t>
      </w:r>
      <w:r w:rsidRPr="009B52F9">
        <w:t xml:space="preserve"> bevat…”, geeft u deze informatie en/of vermeldt u waar in uw </w:t>
      </w:r>
      <w:r w:rsidRPr="009B52F9">
        <w:rPr>
          <w:i/>
        </w:rPr>
        <w:t>offerte</w:t>
      </w:r>
      <w:r w:rsidRPr="009B52F9">
        <w:t xml:space="preserve"> </w:t>
      </w:r>
      <w:r w:rsidRPr="00C7586E">
        <w:rPr>
          <w:i/>
        </w:rPr>
        <w:t>nadere</w:t>
      </w:r>
      <w:r w:rsidRPr="009B52F9">
        <w:t xml:space="preserve"> toelichting gevonden kan worden. Geef hierbij een duidelijke nummering van en verwijzing naar uw </w:t>
      </w:r>
      <w:r w:rsidRPr="009802DB">
        <w:rPr>
          <w:i/>
        </w:rPr>
        <w:t>bijlage</w:t>
      </w:r>
      <w:r w:rsidRPr="009B52F9">
        <w:t>n.</w:t>
      </w:r>
    </w:p>
    <w:p w:rsidR="00E56DEE" w:rsidRDefault="00E56DEE" w:rsidP="00E56D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496"/>
      </w:tblGrid>
      <w:tr w:rsidR="00E56DEE" w:rsidTr="00E56DEE">
        <w:tc>
          <w:tcPr>
            <w:tcW w:w="9224" w:type="dxa"/>
            <w:gridSpan w:val="2"/>
            <w:shd w:val="clear" w:color="auto" w:fill="E0E0E0"/>
          </w:tcPr>
          <w:p w:rsidR="00E56DEE" w:rsidRPr="0087589D" w:rsidRDefault="00E56DEE" w:rsidP="00E56DEE">
            <w:pPr>
              <w:tabs>
                <w:tab w:val="left" w:pos="2775"/>
              </w:tabs>
              <w:rPr>
                <w:b/>
                <w:highlight w:val="lightGray"/>
              </w:rPr>
            </w:pPr>
            <w:r w:rsidRPr="0087589D">
              <w:rPr>
                <w:b/>
              </w:rPr>
              <w:t>Duurzaamheid</w:t>
            </w:r>
            <w:r>
              <w:rPr>
                <w:b/>
              </w:rPr>
              <w:t>/milieu</w:t>
            </w:r>
            <w:r w:rsidRPr="0087589D">
              <w:rPr>
                <w:b/>
              </w:rPr>
              <w:tab/>
            </w:r>
          </w:p>
        </w:tc>
      </w:tr>
      <w:tr w:rsidR="00E56DEE" w:rsidTr="00E56DEE">
        <w:tc>
          <w:tcPr>
            <w:tcW w:w="1728" w:type="dxa"/>
            <w:shd w:val="clear" w:color="auto" w:fill="auto"/>
          </w:tcPr>
          <w:p w:rsidR="00E56DEE" w:rsidRPr="002F38EC" w:rsidRDefault="00E56DEE" w:rsidP="00E56DEE"/>
        </w:tc>
        <w:tc>
          <w:tcPr>
            <w:tcW w:w="7496" w:type="dxa"/>
            <w:shd w:val="clear" w:color="auto" w:fill="auto"/>
          </w:tcPr>
          <w:p w:rsidR="00E56DEE" w:rsidRPr="002F38EC" w:rsidRDefault="00E56DEE" w:rsidP="00E56DEE"/>
        </w:tc>
      </w:tr>
      <w:tr w:rsidR="00E56DEE" w:rsidTr="00E56DEE">
        <w:tc>
          <w:tcPr>
            <w:tcW w:w="1728" w:type="dxa"/>
            <w:shd w:val="clear" w:color="auto" w:fill="auto"/>
          </w:tcPr>
          <w:p w:rsidR="00E56DEE" w:rsidRPr="002F38EC" w:rsidRDefault="00E56DEE" w:rsidP="00E56DEE">
            <w:r>
              <w:t xml:space="preserve">DZ-eis-1 </w:t>
            </w:r>
          </w:p>
        </w:tc>
        <w:tc>
          <w:tcPr>
            <w:tcW w:w="7496" w:type="dxa"/>
            <w:shd w:val="clear" w:color="auto" w:fill="auto"/>
          </w:tcPr>
          <w:p w:rsidR="00E56DEE" w:rsidRPr="002F38EC" w:rsidRDefault="00E56DEE" w:rsidP="00E56DEE">
            <w:r>
              <w:t xml:space="preserve">De door </w:t>
            </w:r>
            <w:r w:rsidRPr="0087589D">
              <w:rPr>
                <w:i/>
              </w:rPr>
              <w:t>inschrijver</w:t>
            </w:r>
            <w:r>
              <w:t xml:space="preserve"> aangeboden apparatuur dient minimaal te voldoen aan de in Nederland geldende wettelijke voorschriften op het gebied van arbeidsomstandigheden, milieu, ergonomie, en veiligheid. Hierbij dient niet alleen rekening gehouden te worden met de huidige wetgeving maar ook met de al bekende toekomstige veranderingen naar de nieuwste inzichten met betrekking tot de NEN-normeringen van het Nederlandse Normalisatie Instituut (NNI).</w:t>
            </w:r>
          </w:p>
        </w:tc>
      </w:tr>
      <w:tr w:rsidR="00E56DEE" w:rsidTr="00E56DEE">
        <w:tc>
          <w:tcPr>
            <w:tcW w:w="1728" w:type="dxa"/>
            <w:shd w:val="clear" w:color="auto" w:fill="auto"/>
          </w:tcPr>
          <w:p w:rsidR="00E56DEE" w:rsidRDefault="00E56DEE" w:rsidP="00E56DEE"/>
        </w:tc>
        <w:tc>
          <w:tcPr>
            <w:tcW w:w="7496" w:type="dxa"/>
            <w:shd w:val="clear" w:color="auto" w:fill="auto"/>
          </w:tcPr>
          <w:p w:rsidR="00E56DEE" w:rsidRDefault="00E56DEE" w:rsidP="00E56DEE"/>
        </w:tc>
      </w:tr>
      <w:tr w:rsidR="00E56DEE" w:rsidTr="00E56DEE">
        <w:tc>
          <w:tcPr>
            <w:tcW w:w="1728" w:type="dxa"/>
            <w:shd w:val="clear" w:color="auto" w:fill="auto"/>
          </w:tcPr>
          <w:p w:rsidR="00E56DEE" w:rsidRPr="002F38EC" w:rsidRDefault="00E56DEE" w:rsidP="00E56DEE">
            <w:r>
              <w:t>DZ-eis-2</w:t>
            </w:r>
          </w:p>
        </w:tc>
        <w:tc>
          <w:tcPr>
            <w:tcW w:w="7496" w:type="dxa"/>
            <w:shd w:val="clear" w:color="auto" w:fill="auto"/>
          </w:tcPr>
          <w:p w:rsidR="00E56DEE" w:rsidRPr="002F38EC" w:rsidRDefault="00E56DEE" w:rsidP="00E56DEE">
            <w:r>
              <w:t>Alle geleverde apparatuur en bijbehorende supplies (waaronder, maar niet uitsluitend toners) dienen vrij te zijn van belastende (schadelijke) stoffen voor mens en milieu en moeten voldoen aan de relevante NEN cq DIN, ARBO-eisen (MAC waarden) en vigerende milieuspecificaties.</w:t>
            </w:r>
          </w:p>
        </w:tc>
      </w:tr>
      <w:tr w:rsidR="00E56DEE" w:rsidTr="00E56DEE">
        <w:tc>
          <w:tcPr>
            <w:tcW w:w="1728" w:type="dxa"/>
            <w:shd w:val="clear" w:color="auto" w:fill="auto"/>
          </w:tcPr>
          <w:p w:rsidR="00E56DEE" w:rsidRPr="002F38EC" w:rsidRDefault="00E56DEE" w:rsidP="00E56DEE"/>
        </w:tc>
        <w:tc>
          <w:tcPr>
            <w:tcW w:w="7496" w:type="dxa"/>
            <w:shd w:val="clear" w:color="auto" w:fill="auto"/>
          </w:tcPr>
          <w:p w:rsidR="00E56DEE" w:rsidRPr="002F38EC" w:rsidRDefault="00E56DEE" w:rsidP="00E56DEE"/>
        </w:tc>
      </w:tr>
      <w:tr w:rsidR="00E56DEE" w:rsidTr="00E56DEE">
        <w:tc>
          <w:tcPr>
            <w:tcW w:w="1728" w:type="dxa"/>
            <w:shd w:val="clear" w:color="auto" w:fill="auto"/>
          </w:tcPr>
          <w:p w:rsidR="00E56DEE" w:rsidRPr="002F38EC" w:rsidRDefault="00E56DEE" w:rsidP="00E56DEE">
            <w:r>
              <w:t>DZ-eis-3</w:t>
            </w:r>
          </w:p>
        </w:tc>
        <w:tc>
          <w:tcPr>
            <w:tcW w:w="7496" w:type="dxa"/>
            <w:shd w:val="clear" w:color="auto" w:fill="auto"/>
          </w:tcPr>
          <w:p w:rsidR="00E56DEE" w:rsidRPr="002F38EC" w:rsidRDefault="00E56DEE" w:rsidP="00E56DEE">
            <w:r>
              <w:t xml:space="preserve">De door </w:t>
            </w:r>
            <w:r>
              <w:rPr>
                <w:i/>
              </w:rPr>
              <w:t>inschrijver</w:t>
            </w:r>
            <w:r>
              <w:t xml:space="preserve"> aangeboden apparatuur beschikt over powermanagement en/of een energiezuinige stand-by.</w:t>
            </w:r>
          </w:p>
        </w:tc>
      </w:tr>
      <w:tr w:rsidR="00E56DEE" w:rsidTr="00E56DEE">
        <w:tc>
          <w:tcPr>
            <w:tcW w:w="1728" w:type="dxa"/>
            <w:shd w:val="clear" w:color="auto" w:fill="auto"/>
          </w:tcPr>
          <w:p w:rsidR="00E56DEE" w:rsidRPr="002F38EC" w:rsidRDefault="00E56DEE" w:rsidP="00E56DEE"/>
        </w:tc>
        <w:tc>
          <w:tcPr>
            <w:tcW w:w="7496" w:type="dxa"/>
            <w:shd w:val="clear" w:color="auto" w:fill="auto"/>
          </w:tcPr>
          <w:p w:rsidR="00E56DEE" w:rsidRPr="002F38EC" w:rsidRDefault="00E56DEE" w:rsidP="00E56DEE"/>
        </w:tc>
      </w:tr>
      <w:tr w:rsidR="00E56DEE" w:rsidTr="00E56DEE">
        <w:tc>
          <w:tcPr>
            <w:tcW w:w="1728" w:type="dxa"/>
            <w:shd w:val="clear" w:color="auto" w:fill="auto"/>
          </w:tcPr>
          <w:p w:rsidR="00E56DEE" w:rsidRPr="00EA1888" w:rsidRDefault="00E56DEE" w:rsidP="00E56DEE">
            <w:r w:rsidRPr="00EA1888">
              <w:t>DZ-eis-4</w:t>
            </w:r>
          </w:p>
        </w:tc>
        <w:tc>
          <w:tcPr>
            <w:tcW w:w="7496" w:type="dxa"/>
            <w:shd w:val="clear" w:color="auto" w:fill="auto"/>
          </w:tcPr>
          <w:p w:rsidR="00E56DEE" w:rsidRPr="002F38EC" w:rsidRDefault="00E56DEE" w:rsidP="00E56DEE">
            <w:r w:rsidRPr="00EA1888">
              <w:t>De aangeboden apparatuur dient bij levering te voldoen aan de laatste versie van de eisen die opgenomen zijn in de Energy Star voor kantoorapparatuur.</w:t>
            </w:r>
          </w:p>
        </w:tc>
      </w:tr>
      <w:tr w:rsidR="00E56DEE" w:rsidTr="00E56DEE">
        <w:tc>
          <w:tcPr>
            <w:tcW w:w="1728" w:type="dxa"/>
            <w:shd w:val="clear" w:color="auto" w:fill="auto"/>
          </w:tcPr>
          <w:p w:rsidR="00E56DEE" w:rsidRPr="002F38EC" w:rsidRDefault="00E56DEE" w:rsidP="00E56DEE"/>
        </w:tc>
        <w:tc>
          <w:tcPr>
            <w:tcW w:w="7496" w:type="dxa"/>
            <w:shd w:val="clear" w:color="auto" w:fill="auto"/>
          </w:tcPr>
          <w:p w:rsidR="00E56DEE" w:rsidRPr="002F38EC" w:rsidRDefault="00E56DEE" w:rsidP="00E56DEE"/>
        </w:tc>
      </w:tr>
      <w:tr w:rsidR="00E56DEE" w:rsidTr="00E56DEE">
        <w:tc>
          <w:tcPr>
            <w:tcW w:w="1728" w:type="dxa"/>
            <w:shd w:val="clear" w:color="auto" w:fill="auto"/>
          </w:tcPr>
          <w:p w:rsidR="00E56DEE" w:rsidRPr="002F38EC" w:rsidRDefault="00E56DEE" w:rsidP="00E56DEE">
            <w:r>
              <w:t>DZ-eis-5</w:t>
            </w:r>
          </w:p>
        </w:tc>
        <w:tc>
          <w:tcPr>
            <w:tcW w:w="7496" w:type="dxa"/>
            <w:shd w:val="clear" w:color="auto" w:fill="auto"/>
          </w:tcPr>
          <w:p w:rsidR="00E56DEE" w:rsidRPr="002F38EC" w:rsidRDefault="00E56DEE" w:rsidP="00E56DEE">
            <w:r w:rsidRPr="00330F5E">
              <w:rPr>
                <w:i/>
              </w:rPr>
              <w:t>Inschrijver</w:t>
            </w:r>
            <w:r>
              <w:t xml:space="preserve"> verplicht zich om alle verbruiksmaterialen en bijbehorende verpakkingsmaterialen per direct of bij de eerstvolgende servicebeurt van een machine retour te nemen. </w:t>
            </w:r>
          </w:p>
        </w:tc>
      </w:tr>
      <w:tr w:rsidR="00E56DEE" w:rsidTr="00E56DEE">
        <w:tc>
          <w:tcPr>
            <w:tcW w:w="1728" w:type="dxa"/>
            <w:shd w:val="clear" w:color="auto" w:fill="auto"/>
          </w:tcPr>
          <w:p w:rsidR="00E56DEE" w:rsidRPr="002F38EC" w:rsidRDefault="00E56DEE" w:rsidP="00E56DEE"/>
        </w:tc>
        <w:tc>
          <w:tcPr>
            <w:tcW w:w="7496" w:type="dxa"/>
            <w:shd w:val="clear" w:color="auto" w:fill="auto"/>
          </w:tcPr>
          <w:p w:rsidR="00E56DEE" w:rsidRPr="002F38EC" w:rsidRDefault="00E56DEE" w:rsidP="00E56DEE"/>
        </w:tc>
      </w:tr>
      <w:tr w:rsidR="00E56DEE" w:rsidTr="00E56DEE">
        <w:tc>
          <w:tcPr>
            <w:tcW w:w="9224" w:type="dxa"/>
            <w:gridSpan w:val="2"/>
            <w:shd w:val="clear" w:color="auto" w:fill="E0E0E0"/>
          </w:tcPr>
          <w:p w:rsidR="00E56DEE" w:rsidRPr="0087589D" w:rsidRDefault="00E56DEE" w:rsidP="00E56DEE">
            <w:pPr>
              <w:rPr>
                <w:b/>
              </w:rPr>
            </w:pPr>
            <w:r w:rsidRPr="0087589D">
              <w:rPr>
                <w:b/>
              </w:rPr>
              <w:t>Logistiek</w:t>
            </w:r>
          </w:p>
        </w:tc>
      </w:tr>
      <w:tr w:rsidR="00E56DEE" w:rsidTr="00E56DEE">
        <w:tc>
          <w:tcPr>
            <w:tcW w:w="1728" w:type="dxa"/>
            <w:shd w:val="clear" w:color="auto" w:fill="auto"/>
          </w:tcPr>
          <w:p w:rsidR="00E56DEE" w:rsidRPr="002F38EC" w:rsidRDefault="00E56DEE" w:rsidP="00E56DEE"/>
        </w:tc>
        <w:tc>
          <w:tcPr>
            <w:tcW w:w="7496" w:type="dxa"/>
            <w:shd w:val="clear" w:color="auto" w:fill="auto"/>
          </w:tcPr>
          <w:p w:rsidR="00E56DEE" w:rsidRPr="002F38EC" w:rsidRDefault="00E56DEE" w:rsidP="00E56DEE"/>
        </w:tc>
      </w:tr>
      <w:tr w:rsidR="00E56DEE" w:rsidTr="00E56DEE">
        <w:tc>
          <w:tcPr>
            <w:tcW w:w="1728" w:type="dxa"/>
            <w:shd w:val="clear" w:color="auto" w:fill="auto"/>
          </w:tcPr>
          <w:p w:rsidR="00E56DEE" w:rsidRPr="002F38EC" w:rsidRDefault="00E56DEE" w:rsidP="00E56DEE">
            <w:r>
              <w:t>Log-eis-1</w:t>
            </w:r>
          </w:p>
        </w:tc>
        <w:tc>
          <w:tcPr>
            <w:tcW w:w="7496" w:type="dxa"/>
            <w:shd w:val="clear" w:color="auto" w:fill="auto"/>
          </w:tcPr>
          <w:p w:rsidR="00E56DEE" w:rsidRPr="002F38EC" w:rsidRDefault="00E56DEE" w:rsidP="00E56DEE">
            <w:r>
              <w:t xml:space="preserve">De levertijd van supplies is maximaal 24 uur na plaatsing van de order door </w:t>
            </w:r>
            <w:r>
              <w:rPr>
                <w:i/>
              </w:rPr>
              <w:t>deelnemer</w:t>
            </w:r>
            <w:r>
              <w:t xml:space="preserve">, met uitzondering van de weekenden en feestdagen.  </w:t>
            </w:r>
          </w:p>
        </w:tc>
      </w:tr>
      <w:tr w:rsidR="00E56DEE" w:rsidTr="00E56DEE">
        <w:tc>
          <w:tcPr>
            <w:tcW w:w="1728" w:type="dxa"/>
            <w:shd w:val="clear" w:color="auto" w:fill="auto"/>
          </w:tcPr>
          <w:p w:rsidR="00E56DEE" w:rsidRPr="002F38EC" w:rsidRDefault="00E56DEE" w:rsidP="00E56DEE"/>
        </w:tc>
        <w:tc>
          <w:tcPr>
            <w:tcW w:w="7496" w:type="dxa"/>
            <w:shd w:val="clear" w:color="auto" w:fill="auto"/>
          </w:tcPr>
          <w:p w:rsidR="00E56DEE" w:rsidRPr="002F38EC" w:rsidRDefault="00E56DEE" w:rsidP="00E56DEE"/>
        </w:tc>
      </w:tr>
      <w:tr w:rsidR="00E56DEE" w:rsidTr="00E56DEE">
        <w:tc>
          <w:tcPr>
            <w:tcW w:w="1728" w:type="dxa"/>
            <w:shd w:val="clear" w:color="auto" w:fill="auto"/>
          </w:tcPr>
          <w:p w:rsidR="00E56DEE" w:rsidRPr="002F38EC" w:rsidRDefault="00E56DEE" w:rsidP="00E56DEE">
            <w:r>
              <w:t>Log-eis-2</w:t>
            </w:r>
          </w:p>
        </w:tc>
        <w:tc>
          <w:tcPr>
            <w:tcW w:w="7496" w:type="dxa"/>
            <w:shd w:val="clear" w:color="auto" w:fill="auto"/>
          </w:tcPr>
          <w:p w:rsidR="00E56DEE" w:rsidRPr="002F38EC" w:rsidRDefault="00E56DEE" w:rsidP="00E56DEE">
            <w:r w:rsidRPr="0087589D">
              <w:rPr>
                <w:rFonts w:cs="Arial"/>
              </w:rPr>
              <w:t>Afleveren machine</w:t>
            </w:r>
            <w:r>
              <w:rPr>
                <w:rFonts w:cs="Arial"/>
              </w:rPr>
              <w:t>s is</w:t>
            </w:r>
            <w:r w:rsidRPr="0087589D">
              <w:rPr>
                <w:rFonts w:cs="Arial"/>
              </w:rPr>
              <w:t xml:space="preserve"> inclusief inhuizen op </w:t>
            </w:r>
            <w:r>
              <w:rPr>
                <w:rFonts w:cs="Arial"/>
              </w:rPr>
              <w:t xml:space="preserve">de </w:t>
            </w:r>
            <w:r w:rsidRPr="0087589D">
              <w:rPr>
                <w:rFonts w:cs="Arial"/>
              </w:rPr>
              <w:t>werkplek (dus inclusief vertikaal transport)</w:t>
            </w:r>
            <w:r>
              <w:rPr>
                <w:rFonts w:cs="Arial"/>
              </w:rPr>
              <w:t>. Machines dienen op 1 werkplek werkend opgeleverd te worden inclusief opleveringstesten.</w:t>
            </w:r>
          </w:p>
        </w:tc>
      </w:tr>
      <w:tr w:rsidR="00E56DEE" w:rsidTr="00E56DEE">
        <w:tc>
          <w:tcPr>
            <w:tcW w:w="1728" w:type="dxa"/>
            <w:shd w:val="clear" w:color="auto" w:fill="auto"/>
          </w:tcPr>
          <w:p w:rsidR="00E56DEE" w:rsidRPr="002F38EC" w:rsidRDefault="00E56DEE" w:rsidP="00E56DEE"/>
        </w:tc>
        <w:tc>
          <w:tcPr>
            <w:tcW w:w="7496" w:type="dxa"/>
            <w:shd w:val="clear" w:color="auto" w:fill="auto"/>
          </w:tcPr>
          <w:p w:rsidR="00E56DEE" w:rsidRPr="002F38EC" w:rsidRDefault="00E56DEE" w:rsidP="00E56DEE"/>
        </w:tc>
      </w:tr>
      <w:tr w:rsidR="00E56DEE" w:rsidTr="00E56DEE">
        <w:tc>
          <w:tcPr>
            <w:tcW w:w="9224" w:type="dxa"/>
            <w:gridSpan w:val="2"/>
            <w:shd w:val="clear" w:color="auto" w:fill="E0E0E0"/>
          </w:tcPr>
          <w:p w:rsidR="00E56DEE" w:rsidRPr="0087589D" w:rsidRDefault="00E56DEE" w:rsidP="00E56DEE">
            <w:pPr>
              <w:rPr>
                <w:b/>
              </w:rPr>
            </w:pPr>
            <w:r w:rsidRPr="0087589D">
              <w:rPr>
                <w:b/>
              </w:rPr>
              <w:t>Onderhoud, service en flexibiliteit</w:t>
            </w:r>
          </w:p>
        </w:tc>
      </w:tr>
      <w:tr w:rsidR="00E56DEE" w:rsidTr="00E56DEE">
        <w:tc>
          <w:tcPr>
            <w:tcW w:w="1728" w:type="dxa"/>
            <w:shd w:val="clear" w:color="auto" w:fill="auto"/>
          </w:tcPr>
          <w:p w:rsidR="00E56DEE" w:rsidRPr="002F38EC" w:rsidRDefault="00E56DEE" w:rsidP="00E56DEE"/>
        </w:tc>
        <w:tc>
          <w:tcPr>
            <w:tcW w:w="7496" w:type="dxa"/>
            <w:shd w:val="clear" w:color="auto" w:fill="auto"/>
          </w:tcPr>
          <w:p w:rsidR="00E56DEE" w:rsidRPr="002F38EC" w:rsidRDefault="00E56DEE" w:rsidP="00E56DEE"/>
        </w:tc>
      </w:tr>
      <w:tr w:rsidR="00E56DEE" w:rsidTr="00E56DEE">
        <w:tc>
          <w:tcPr>
            <w:tcW w:w="1728" w:type="dxa"/>
            <w:shd w:val="clear" w:color="auto" w:fill="auto"/>
          </w:tcPr>
          <w:p w:rsidR="00E56DEE" w:rsidRPr="009B52F9" w:rsidRDefault="00E56DEE" w:rsidP="00E56DEE">
            <w:r w:rsidRPr="009B52F9">
              <w:t>OSF-eis-1</w:t>
            </w:r>
          </w:p>
        </w:tc>
        <w:tc>
          <w:tcPr>
            <w:tcW w:w="7496" w:type="dxa"/>
            <w:shd w:val="clear" w:color="auto" w:fill="auto"/>
          </w:tcPr>
          <w:p w:rsidR="00E56DEE" w:rsidRPr="002F38EC" w:rsidRDefault="00E56DEE" w:rsidP="00E56DEE">
            <w:r w:rsidRPr="009B52F9">
              <w:t xml:space="preserve">Personeel dat wordt ingezet onder de verantwoordelijkheid van </w:t>
            </w:r>
            <w:r w:rsidRPr="009B52F9">
              <w:rPr>
                <w:i/>
              </w:rPr>
              <w:t>inschrijver</w:t>
            </w:r>
            <w:r w:rsidRPr="009B52F9">
              <w:t xml:space="preserve"> dient zich te houden aan de op de locatie geldende huisregels. Indien het personeel zich niet aan deze regels houdt, zal het personeel op eerste verzoek van </w:t>
            </w:r>
            <w:r w:rsidRPr="009B52F9">
              <w:rPr>
                <w:i/>
              </w:rPr>
              <w:t>opdrachtgever</w:t>
            </w:r>
            <w:r w:rsidRPr="009B52F9">
              <w:t xml:space="preserve"> vervangen worden door </w:t>
            </w:r>
            <w:r w:rsidRPr="009B52F9">
              <w:rPr>
                <w:i/>
              </w:rPr>
              <w:t>inschrijver</w:t>
            </w:r>
            <w:r w:rsidRPr="009B52F9">
              <w:t>.</w:t>
            </w:r>
          </w:p>
        </w:tc>
      </w:tr>
      <w:tr w:rsidR="00E56DEE" w:rsidTr="00E56DEE">
        <w:tc>
          <w:tcPr>
            <w:tcW w:w="1728" w:type="dxa"/>
            <w:shd w:val="clear" w:color="auto" w:fill="auto"/>
          </w:tcPr>
          <w:p w:rsidR="00E56DEE" w:rsidRDefault="00E56DEE" w:rsidP="00E56DEE">
            <w:pPr>
              <w:rPr>
                <w:rFonts w:cs="Arial"/>
              </w:rPr>
            </w:pPr>
            <w:r>
              <w:rPr>
                <w:rFonts w:cs="Arial"/>
              </w:rPr>
              <w:t>OSF-eis-2</w:t>
            </w:r>
          </w:p>
        </w:tc>
        <w:tc>
          <w:tcPr>
            <w:tcW w:w="7496" w:type="dxa"/>
            <w:shd w:val="clear" w:color="auto" w:fill="auto"/>
          </w:tcPr>
          <w:p w:rsidR="00E56DEE" w:rsidRDefault="00E56DEE" w:rsidP="00E56DEE">
            <w:r>
              <w:t xml:space="preserve">De service desk van </w:t>
            </w:r>
            <w:r w:rsidRPr="00FC2FD2">
              <w:rPr>
                <w:i/>
              </w:rPr>
              <w:t>inschrijver</w:t>
            </w:r>
            <w:r>
              <w:t xml:space="preserve"> is voor klachten en storingen tijdens reguliere kantoortijden goed bereikbaar van 08:00 – 17:30 uur. Een goede bereikbaarheid van de service desk betekent binnen 5 minuten daadwerkelijk persoonlijk contact met een medewerker met relevante bevoegdheid.</w:t>
            </w:r>
          </w:p>
          <w:p w:rsidR="006E7075" w:rsidRDefault="006E7075" w:rsidP="00E56DEE"/>
          <w:p w:rsidR="006E7075" w:rsidRPr="00486559" w:rsidRDefault="006E7075" w:rsidP="00E56DEE"/>
        </w:tc>
      </w:tr>
      <w:tr w:rsidR="00E56DEE" w:rsidTr="00E56DEE">
        <w:tc>
          <w:tcPr>
            <w:tcW w:w="1728" w:type="dxa"/>
            <w:shd w:val="clear" w:color="auto" w:fill="auto"/>
          </w:tcPr>
          <w:p w:rsidR="00E56DEE" w:rsidRDefault="00E56DEE" w:rsidP="00E56DEE">
            <w:r>
              <w:rPr>
                <w:rFonts w:cs="Arial"/>
              </w:rPr>
              <w:lastRenderedPageBreak/>
              <w:t>OSF-eis-3</w:t>
            </w:r>
          </w:p>
        </w:tc>
        <w:tc>
          <w:tcPr>
            <w:tcW w:w="7496" w:type="dxa"/>
            <w:shd w:val="clear" w:color="auto" w:fill="auto"/>
          </w:tcPr>
          <w:p w:rsidR="00E56DEE" w:rsidRPr="00330F5E" w:rsidRDefault="00E56DEE" w:rsidP="00E56DEE">
            <w:pPr>
              <w:rPr>
                <w:i/>
              </w:rPr>
            </w:pPr>
            <w:r w:rsidRPr="00FC2FD2">
              <w:rPr>
                <w:rFonts w:cs="Arial"/>
                <w:i/>
              </w:rPr>
              <w:t>Inschrijver</w:t>
            </w:r>
            <w:r>
              <w:rPr>
                <w:rFonts w:cs="Arial"/>
              </w:rPr>
              <w:t xml:space="preserve"> zet één (1) vaste contactpersoon (accountmanager) in die verantwoordelijk is voor de coördinatie/uitvoering van de opdracht(en) in het kader van</w:t>
            </w:r>
            <w:r w:rsidR="006E7075">
              <w:rPr>
                <w:rFonts w:cs="Arial"/>
              </w:rPr>
              <w:t xml:space="preserve"> de</w:t>
            </w:r>
            <w:r>
              <w:rPr>
                <w:rFonts w:cs="Arial"/>
              </w:rPr>
              <w:t xml:space="preserve"> </w:t>
            </w:r>
            <w:r>
              <w:rPr>
                <w:rFonts w:cs="Arial"/>
                <w:i/>
              </w:rPr>
              <w:t>raam-</w:t>
            </w:r>
            <w:r>
              <w:rPr>
                <w:rFonts w:cs="Arial"/>
              </w:rPr>
              <w:t xml:space="preserve"> en de </w:t>
            </w:r>
            <w:r>
              <w:rPr>
                <w:rFonts w:cs="Arial"/>
                <w:i/>
              </w:rPr>
              <w:t xml:space="preserve">nadere </w:t>
            </w:r>
            <w:r w:rsidRPr="00FC2FD2">
              <w:rPr>
                <w:rFonts w:cs="Arial"/>
                <w:i/>
              </w:rPr>
              <w:t>overeenkomst</w:t>
            </w:r>
            <w:r>
              <w:rPr>
                <w:rFonts w:cs="Arial"/>
              </w:rPr>
              <w:t xml:space="preserve">(en). Deze contactpersoon is tijdens kantooruren (mobiel) bereikbaar, hetgeen wil zeggen dat een eerste reactie op een verzoek van de </w:t>
            </w:r>
            <w:r>
              <w:rPr>
                <w:rFonts w:cs="Arial"/>
                <w:i/>
              </w:rPr>
              <w:t>opdrachtgever</w:t>
            </w:r>
            <w:r>
              <w:rPr>
                <w:rFonts w:cs="Arial"/>
              </w:rPr>
              <w:t xml:space="preserve"> binnen maximaal één werkdag gegeven moet zijn. Bij afwezigheid (door ziekte, verlof e.d.) van deze </w:t>
            </w:r>
            <w:r w:rsidRPr="00FC2FD2">
              <w:rPr>
                <w:rFonts w:cs="Arial"/>
              </w:rPr>
              <w:t>contactpersoon</w:t>
            </w:r>
            <w:r>
              <w:rPr>
                <w:rFonts w:cs="Arial"/>
              </w:rPr>
              <w:t xml:space="preserve"> dient </w:t>
            </w:r>
            <w:r w:rsidRPr="00FC2FD2">
              <w:rPr>
                <w:rFonts w:cs="Arial"/>
                <w:i/>
              </w:rPr>
              <w:t>inschrijver</w:t>
            </w:r>
            <w:r>
              <w:rPr>
                <w:rFonts w:cs="Arial"/>
              </w:rPr>
              <w:t xml:space="preserve"> zorg te dragen voor gelijkwaardige en bij voorkeur vaste vervanging.</w:t>
            </w:r>
          </w:p>
        </w:tc>
      </w:tr>
      <w:tr w:rsidR="00E56DEE" w:rsidTr="00E56DEE">
        <w:tc>
          <w:tcPr>
            <w:tcW w:w="1728" w:type="dxa"/>
            <w:shd w:val="clear" w:color="auto" w:fill="auto"/>
          </w:tcPr>
          <w:p w:rsidR="00E56DEE" w:rsidRPr="002F38EC" w:rsidRDefault="00E56DEE" w:rsidP="00E56DEE">
            <w:r>
              <w:t>OSF-eis-4</w:t>
            </w:r>
          </w:p>
        </w:tc>
        <w:tc>
          <w:tcPr>
            <w:tcW w:w="7496" w:type="dxa"/>
            <w:shd w:val="clear" w:color="auto" w:fill="auto"/>
          </w:tcPr>
          <w:p w:rsidR="00E56DEE" w:rsidRDefault="00E56DEE" w:rsidP="00E56DEE">
            <w:r w:rsidRPr="00330F5E">
              <w:rPr>
                <w:i/>
              </w:rPr>
              <w:t>Inschrijver</w:t>
            </w:r>
            <w:r>
              <w:t xml:space="preserve"> dient ten behoeve van de evaluatie van de </w:t>
            </w:r>
            <w:r>
              <w:rPr>
                <w:i/>
              </w:rPr>
              <w:t>raam</w:t>
            </w:r>
            <w:r w:rsidRPr="00330F5E">
              <w:rPr>
                <w:i/>
              </w:rPr>
              <w:t>overeenkomst</w:t>
            </w:r>
            <w:r>
              <w:t xml:space="preserve"> per kwartaal digitaal een managementrapportage in Excel-format, aan </w:t>
            </w:r>
            <w:r w:rsidRPr="00FC2FD2">
              <w:rPr>
                <w:i/>
              </w:rPr>
              <w:t>opdrachtgever</w:t>
            </w:r>
            <w:r>
              <w:t xml:space="preserve"> aan te reiken waaruit blijkt:</w:t>
            </w:r>
          </w:p>
          <w:p w:rsidR="00E56DEE" w:rsidRDefault="00E56DEE" w:rsidP="00E56DEE">
            <w:pPr>
              <w:ind w:left="708"/>
            </w:pPr>
            <w:r>
              <w:t>Op overkoepelend- en locatie niveau</w:t>
            </w:r>
          </w:p>
          <w:p w:rsidR="00E56DEE" w:rsidRDefault="00E56DEE" w:rsidP="00E56DEE">
            <w:pPr>
              <w:numPr>
                <w:ilvl w:val="0"/>
                <w:numId w:val="22"/>
              </w:numPr>
            </w:pPr>
            <w:r>
              <w:t xml:space="preserve">Aantal en typen apparaten dat op locaties van </w:t>
            </w:r>
            <w:r w:rsidRPr="00FC2FD2">
              <w:rPr>
                <w:i/>
              </w:rPr>
              <w:t>opdrachtgever</w:t>
            </w:r>
            <w:r>
              <w:t xml:space="preserve"> geplaatst is</w:t>
            </w:r>
          </w:p>
          <w:p w:rsidR="006E7075" w:rsidRDefault="006E7075" w:rsidP="00E56DEE">
            <w:pPr>
              <w:numPr>
                <w:ilvl w:val="0"/>
                <w:numId w:val="22"/>
              </w:numPr>
            </w:pPr>
            <w:r>
              <w:t>Looptijden machines (start- en einddatum nadere overeenkomsten)</w:t>
            </w:r>
          </w:p>
          <w:p w:rsidR="006E7075" w:rsidRDefault="006E7075" w:rsidP="006E7075">
            <w:pPr>
              <w:numPr>
                <w:ilvl w:val="0"/>
                <w:numId w:val="22"/>
              </w:numPr>
            </w:pPr>
            <w:r>
              <w:t>Tellerstanden</w:t>
            </w:r>
          </w:p>
          <w:p w:rsidR="006E7075" w:rsidRDefault="006E7075" w:rsidP="00E56DEE">
            <w:pPr>
              <w:numPr>
                <w:ilvl w:val="0"/>
                <w:numId w:val="22"/>
              </w:numPr>
            </w:pPr>
            <w:r>
              <w:t>Tellertik verbruiken gespecificeerd per maand</w:t>
            </w:r>
          </w:p>
          <w:p w:rsidR="00E56DEE" w:rsidRDefault="00E56DEE" w:rsidP="00E56DEE">
            <w:pPr>
              <w:numPr>
                <w:ilvl w:val="0"/>
                <w:numId w:val="22"/>
              </w:numPr>
            </w:pPr>
            <w:r>
              <w:t>Wijzigingen van aantallen en typen apparaten t.o.v. het voorgaande kwartaal</w:t>
            </w:r>
          </w:p>
          <w:p w:rsidR="00E56DEE" w:rsidRDefault="00E56DEE" w:rsidP="00E56DEE">
            <w:pPr>
              <w:numPr>
                <w:ilvl w:val="0"/>
                <w:numId w:val="22"/>
              </w:numPr>
            </w:pPr>
            <w:r>
              <w:t xml:space="preserve">Configuratie + tarief </w:t>
            </w:r>
          </w:p>
          <w:p w:rsidR="00E56DEE" w:rsidRDefault="00E56DEE" w:rsidP="00E56DEE">
            <w:pPr>
              <w:numPr>
                <w:ilvl w:val="0"/>
                <w:numId w:val="22"/>
              </w:numPr>
            </w:pPr>
            <w:r>
              <w:t>Service calls, opgave van aantal en soort storingen en klachten</w:t>
            </w:r>
          </w:p>
          <w:p w:rsidR="00E56DEE" w:rsidRDefault="00E56DEE" w:rsidP="00E56DEE">
            <w:pPr>
              <w:numPr>
                <w:ilvl w:val="0"/>
                <w:numId w:val="22"/>
              </w:numPr>
            </w:pPr>
            <w:r>
              <w:t>Weergave van % storingen en klachten opgelost + termijn waarbinnen dit opgelost is</w:t>
            </w:r>
          </w:p>
          <w:p w:rsidR="00E56DEE" w:rsidRDefault="00E56DEE" w:rsidP="00E56DEE">
            <w:pPr>
              <w:numPr>
                <w:ilvl w:val="0"/>
                <w:numId w:val="22"/>
              </w:numPr>
            </w:pPr>
            <w:r>
              <w:t>De responstijd (reactietijd) per storing/klacht</w:t>
            </w:r>
          </w:p>
          <w:p w:rsidR="00E56DEE" w:rsidRDefault="00E56DEE" w:rsidP="00E56DEE">
            <w:pPr>
              <w:numPr>
                <w:ilvl w:val="0"/>
                <w:numId w:val="22"/>
              </w:numPr>
            </w:pPr>
            <w:r>
              <w:t xml:space="preserve">Beschikbaarheid in % </w:t>
            </w:r>
          </w:p>
          <w:p w:rsidR="006E7075" w:rsidRPr="002F38EC" w:rsidRDefault="006E7075" w:rsidP="00E56DEE">
            <w:pPr>
              <w:numPr>
                <w:ilvl w:val="0"/>
                <w:numId w:val="22"/>
              </w:numPr>
            </w:pPr>
            <w:r>
              <w:t>Eventuele andere bijzonderheden</w:t>
            </w:r>
          </w:p>
        </w:tc>
      </w:tr>
      <w:tr w:rsidR="00E56DEE" w:rsidTr="00E56DEE">
        <w:tc>
          <w:tcPr>
            <w:tcW w:w="1728" w:type="dxa"/>
            <w:shd w:val="clear" w:color="auto" w:fill="auto"/>
          </w:tcPr>
          <w:p w:rsidR="00E56DEE" w:rsidRPr="002F38EC" w:rsidRDefault="00E56DEE" w:rsidP="00E56DEE">
            <w:r>
              <w:t>OSF-eis-5</w:t>
            </w:r>
          </w:p>
        </w:tc>
        <w:tc>
          <w:tcPr>
            <w:tcW w:w="7496" w:type="dxa"/>
            <w:shd w:val="clear" w:color="auto" w:fill="auto"/>
          </w:tcPr>
          <w:p w:rsidR="00E56DEE" w:rsidRPr="002F38EC" w:rsidRDefault="00E56DEE" w:rsidP="00E56DEE">
            <w:r>
              <w:t xml:space="preserve">Minimaal 2 maal per jaar (of vaker indien </w:t>
            </w:r>
            <w:r w:rsidRPr="00486559">
              <w:rPr>
                <w:i/>
              </w:rPr>
              <w:t>opdrachtgever</w:t>
            </w:r>
            <w:r>
              <w:t xml:space="preserve"> hier behoefte aan heeft) dient er overleg plaats te vinden tussen de accountmanager van </w:t>
            </w:r>
            <w:r w:rsidRPr="00FC2FD2">
              <w:rPr>
                <w:i/>
              </w:rPr>
              <w:t>opdrachtnemer</w:t>
            </w:r>
            <w:r>
              <w:t xml:space="preserve"> en de contactpersoon van </w:t>
            </w:r>
            <w:r w:rsidRPr="00FC2FD2">
              <w:rPr>
                <w:i/>
              </w:rPr>
              <w:t>opdrachtgever</w:t>
            </w:r>
            <w:r>
              <w:t xml:space="preserve">. De managementrapportages zullen in deze overleggen besproken worden. </w:t>
            </w:r>
            <w:r w:rsidRPr="00486559">
              <w:rPr>
                <w:i/>
              </w:rPr>
              <w:t>Opdrachtnemer</w:t>
            </w:r>
            <w:r>
              <w:t xml:space="preserve"> neemt het initiatief tot het plannen van de overleggen.</w:t>
            </w:r>
          </w:p>
        </w:tc>
      </w:tr>
      <w:tr w:rsidR="00E56DEE" w:rsidRPr="004762A7" w:rsidTr="00E56DEE">
        <w:tc>
          <w:tcPr>
            <w:tcW w:w="1728" w:type="dxa"/>
            <w:shd w:val="clear" w:color="auto" w:fill="auto"/>
          </w:tcPr>
          <w:p w:rsidR="00E56DEE" w:rsidRPr="004762A7" w:rsidRDefault="00E56DEE" w:rsidP="00E56DEE">
            <w:r>
              <w:t>OSF-eis-6</w:t>
            </w:r>
          </w:p>
        </w:tc>
        <w:tc>
          <w:tcPr>
            <w:tcW w:w="7496" w:type="dxa"/>
            <w:shd w:val="clear" w:color="auto" w:fill="auto"/>
          </w:tcPr>
          <w:p w:rsidR="00E56DEE" w:rsidRPr="004762A7" w:rsidRDefault="00E56DEE" w:rsidP="00E56DEE">
            <w:r w:rsidRPr="004762A7">
              <w:t xml:space="preserve">De accountmanager van </w:t>
            </w:r>
            <w:r w:rsidRPr="00FC2FD2">
              <w:rPr>
                <w:i/>
              </w:rPr>
              <w:t>opdrachtnemer</w:t>
            </w:r>
            <w:r w:rsidRPr="004762A7">
              <w:t xml:space="preserve"> zal de </w:t>
            </w:r>
            <w:r w:rsidRPr="00486559">
              <w:rPr>
                <w:i/>
              </w:rPr>
              <w:t>contactpersoon</w:t>
            </w:r>
            <w:r>
              <w:t xml:space="preserve"> v</w:t>
            </w:r>
            <w:r w:rsidRPr="004762A7">
              <w:t xml:space="preserve">an </w:t>
            </w:r>
            <w:r w:rsidRPr="00FC2FD2">
              <w:rPr>
                <w:i/>
              </w:rPr>
              <w:t>opdrachtgever</w:t>
            </w:r>
            <w:r w:rsidRPr="004762A7">
              <w:t xml:space="preserve"> </w:t>
            </w:r>
            <w:r>
              <w:t xml:space="preserve">onverwijld op </w:t>
            </w:r>
            <w:r w:rsidRPr="004762A7">
              <w:t xml:space="preserve">de hoogte </w:t>
            </w:r>
            <w:r>
              <w:t>brengen</w:t>
            </w:r>
            <w:r w:rsidRPr="004762A7">
              <w:t xml:space="preserve"> van nieuwe productontwikkeling</w:t>
            </w:r>
            <w:r>
              <w:t xml:space="preserve">, </w:t>
            </w:r>
            <w:r w:rsidRPr="004762A7">
              <w:t>verbeteringen op milieugebied</w:t>
            </w:r>
            <w:r>
              <w:t xml:space="preserve">, relevante marktinformatie en informatie over het bedrijf van </w:t>
            </w:r>
            <w:r w:rsidRPr="005069FD">
              <w:rPr>
                <w:i/>
              </w:rPr>
              <w:t>opdrachtnemer</w:t>
            </w:r>
            <w:r>
              <w:t>.</w:t>
            </w:r>
          </w:p>
        </w:tc>
      </w:tr>
      <w:tr w:rsidR="00E56DEE" w:rsidTr="00E56DEE">
        <w:tc>
          <w:tcPr>
            <w:tcW w:w="1728" w:type="dxa"/>
            <w:shd w:val="clear" w:color="auto" w:fill="auto"/>
          </w:tcPr>
          <w:p w:rsidR="00E56DEE" w:rsidRDefault="00E56DEE" w:rsidP="00E56DEE">
            <w:r>
              <w:t>OSF-eis-7</w:t>
            </w:r>
          </w:p>
        </w:tc>
        <w:tc>
          <w:tcPr>
            <w:tcW w:w="7496" w:type="dxa"/>
            <w:shd w:val="clear" w:color="auto" w:fill="auto"/>
          </w:tcPr>
          <w:p w:rsidR="00E56DEE" w:rsidRPr="00320D78" w:rsidRDefault="00E56DEE" w:rsidP="00E56DEE">
            <w:pPr>
              <w:rPr>
                <w:b/>
              </w:rPr>
            </w:pPr>
            <w:r>
              <w:rPr>
                <w:rFonts w:cs="Arial"/>
              </w:rPr>
              <w:t xml:space="preserve">De </w:t>
            </w:r>
            <w:r>
              <w:rPr>
                <w:rFonts w:cs="Arial"/>
                <w:i/>
              </w:rPr>
              <w:t>opdrachtnemer</w:t>
            </w:r>
            <w:r>
              <w:rPr>
                <w:rFonts w:cs="Arial"/>
              </w:rPr>
              <w:t xml:space="preserve"> dient uiterlijk binnen vijf werkdagen zorg te dragen voor de verslaglegging van alle overlegvormen.</w:t>
            </w:r>
          </w:p>
        </w:tc>
      </w:tr>
      <w:tr w:rsidR="00E56DEE" w:rsidTr="00E56DEE">
        <w:tc>
          <w:tcPr>
            <w:tcW w:w="1728" w:type="dxa"/>
            <w:shd w:val="clear" w:color="auto" w:fill="auto"/>
          </w:tcPr>
          <w:p w:rsidR="00E56DEE" w:rsidRDefault="00E56DEE" w:rsidP="00E56DEE">
            <w:r>
              <w:t>OSF-eis-8</w:t>
            </w:r>
          </w:p>
        </w:tc>
        <w:tc>
          <w:tcPr>
            <w:tcW w:w="7496" w:type="dxa"/>
            <w:shd w:val="clear" w:color="auto" w:fill="auto"/>
          </w:tcPr>
          <w:p w:rsidR="00E56DEE" w:rsidRPr="00320D78" w:rsidRDefault="00E56DEE" w:rsidP="00E56DEE">
            <w:pPr>
              <w:rPr>
                <w:b/>
              </w:rPr>
            </w:pPr>
            <w:r w:rsidRPr="00940B09">
              <w:rPr>
                <w:rFonts w:cs="Arial"/>
                <w:i/>
              </w:rPr>
              <w:t>Opdrachtgever</w:t>
            </w:r>
            <w:r w:rsidRPr="009B52F9">
              <w:rPr>
                <w:rFonts w:cs="Arial"/>
              </w:rPr>
              <w:t xml:space="preserve"> is voornemens de apparatuur die geleverd zal gaan worden naar aanleiding van deze aanbesteding zelf te verzekeren voor alle van buiten afkomende risico’s. Wel wil </w:t>
            </w:r>
            <w:r w:rsidRPr="002B04BA">
              <w:rPr>
                <w:rFonts w:cs="Arial"/>
                <w:i/>
              </w:rPr>
              <w:t>opdrachtgever</w:t>
            </w:r>
            <w:r w:rsidRPr="009B52F9">
              <w:rPr>
                <w:rFonts w:cs="Arial"/>
              </w:rPr>
              <w:t xml:space="preserve"> inzichtelijk krijgen wat de tarieven voor verzekering zouden zijn indien hij op een later moment besluit de apparatuur toch via </w:t>
            </w:r>
            <w:r w:rsidRPr="002B04BA">
              <w:rPr>
                <w:rFonts w:cs="Arial"/>
                <w:i/>
              </w:rPr>
              <w:t>inschrijver</w:t>
            </w:r>
            <w:r w:rsidRPr="009B52F9">
              <w:rPr>
                <w:rFonts w:cs="Arial"/>
              </w:rPr>
              <w:t xml:space="preserve"> te willen verzekeren. Vul hiertoe de verzekeringspremie per maand per machine in op het formulier </w:t>
            </w:r>
            <w:r>
              <w:rPr>
                <w:rFonts w:cs="Arial"/>
              </w:rPr>
              <w:t>d</w:t>
            </w:r>
            <w:r w:rsidRPr="009B52F9">
              <w:rPr>
                <w:rFonts w:cs="Arial"/>
              </w:rPr>
              <w:t xml:space="preserve">at terug te vinden is als </w:t>
            </w:r>
            <w:r w:rsidRPr="009802DB">
              <w:rPr>
                <w:rFonts w:cs="Arial"/>
                <w:i/>
              </w:rPr>
              <w:t>bijlage</w:t>
            </w:r>
            <w:r>
              <w:rPr>
                <w:rFonts w:cs="Arial"/>
              </w:rPr>
              <w:t xml:space="preserve"> 9.</w:t>
            </w:r>
          </w:p>
        </w:tc>
      </w:tr>
      <w:tr w:rsidR="00E56DEE" w:rsidTr="00E56DEE">
        <w:tc>
          <w:tcPr>
            <w:tcW w:w="1728" w:type="dxa"/>
            <w:shd w:val="clear" w:color="auto" w:fill="auto"/>
          </w:tcPr>
          <w:p w:rsidR="00E56DEE" w:rsidRPr="002F38EC" w:rsidRDefault="00E56DEE" w:rsidP="00E56DEE">
            <w:r>
              <w:t>OSF-eis-9</w:t>
            </w:r>
          </w:p>
        </w:tc>
        <w:tc>
          <w:tcPr>
            <w:tcW w:w="7496" w:type="dxa"/>
            <w:shd w:val="clear" w:color="auto" w:fill="auto"/>
          </w:tcPr>
          <w:p w:rsidR="00E56DEE" w:rsidRPr="009B52F9" w:rsidRDefault="00E56DEE" w:rsidP="00E56DEE">
            <w:r w:rsidRPr="009B52F9">
              <w:t xml:space="preserve">De responstijd van </w:t>
            </w:r>
            <w:r w:rsidRPr="008C32BB">
              <w:rPr>
                <w:i/>
              </w:rPr>
              <w:t>inschrijver</w:t>
            </w:r>
            <w:r w:rsidRPr="009B52F9">
              <w:t xml:space="preserve"> na een storingsmelding door een van de </w:t>
            </w:r>
            <w:r w:rsidRPr="00DF4202">
              <w:rPr>
                <w:i/>
              </w:rPr>
              <w:t>deelnemer</w:t>
            </w:r>
            <w:r w:rsidRPr="009B52F9">
              <w:t xml:space="preserve">s aan de </w:t>
            </w:r>
            <w:r>
              <w:rPr>
                <w:i/>
              </w:rPr>
              <w:t>raam</w:t>
            </w:r>
            <w:r w:rsidRPr="008C32BB">
              <w:rPr>
                <w:i/>
              </w:rPr>
              <w:t>overeenkomst</w:t>
            </w:r>
            <w:r w:rsidRPr="009B52F9">
              <w:t xml:space="preserve"> is maximaal 8 werkuren na het verzenden van de melding.</w:t>
            </w:r>
            <w:r>
              <w:t xml:space="preserve"> </w:t>
            </w:r>
          </w:p>
          <w:p w:rsidR="00E56DEE" w:rsidRPr="009B52F9" w:rsidRDefault="00E56DEE" w:rsidP="00E56DEE"/>
          <w:p w:rsidR="00E56DEE" w:rsidRPr="009B52F9" w:rsidRDefault="00E56DEE" w:rsidP="00E56DEE">
            <w:r w:rsidRPr="009B52F9">
              <w:t>De uitrusting van de servicemonteur is van dien aard dat in praktisch alle gevallen de machine aansluitend aan het servicebezoek weer probleemloos in gebruik genomen kan worden.</w:t>
            </w:r>
          </w:p>
        </w:tc>
      </w:tr>
      <w:tr w:rsidR="00E56DEE" w:rsidTr="00E56DEE">
        <w:tc>
          <w:tcPr>
            <w:tcW w:w="1728" w:type="dxa"/>
            <w:shd w:val="clear" w:color="auto" w:fill="auto"/>
          </w:tcPr>
          <w:p w:rsidR="00E56DEE" w:rsidRPr="00CA7E51" w:rsidRDefault="00E56DEE" w:rsidP="00E56DEE">
            <w:r w:rsidRPr="00CA7E51">
              <w:t>OSF-eis-</w:t>
            </w:r>
            <w:r>
              <w:t>10</w:t>
            </w:r>
          </w:p>
        </w:tc>
        <w:tc>
          <w:tcPr>
            <w:tcW w:w="7496" w:type="dxa"/>
            <w:shd w:val="clear" w:color="auto" w:fill="auto"/>
          </w:tcPr>
          <w:p w:rsidR="00E56DEE" w:rsidRPr="00CA7E51" w:rsidRDefault="00E56DEE" w:rsidP="00E56DEE">
            <w:r w:rsidRPr="00CA7E51">
              <w:t>Indien de gemiddelde responstijd gemeten over een periode van 3 maanden (een kwartaal) van het totale machinepark boven de acht werkuren uitkomt, treedt er met terugwerkende kracht over de niet geleverde serviceprestaties in dat kwartaal een malusregeling in werking die als volgt is opgebouwd:</w:t>
            </w:r>
          </w:p>
          <w:p w:rsidR="00E56DEE" w:rsidRPr="00CA7E51" w:rsidRDefault="00E56DEE" w:rsidP="00E56DEE"/>
          <w:p w:rsidR="00E56DEE" w:rsidRDefault="00E56DEE" w:rsidP="00E56DEE">
            <w:pPr>
              <w:numPr>
                <w:ilvl w:val="0"/>
                <w:numId w:val="11"/>
              </w:numPr>
            </w:pPr>
            <w:r w:rsidRPr="00CA7E51">
              <w:t xml:space="preserve">Bij een gemiddelde responstijd tussen de 8 en 10 werkuren een malus korting van 35% over het </w:t>
            </w:r>
            <w:r w:rsidRPr="00B12417">
              <w:rPr>
                <w:i/>
              </w:rPr>
              <w:t>huurtarief</w:t>
            </w:r>
            <w:r w:rsidRPr="00CA7E51">
              <w:t xml:space="preserve"> van alle apparaten die een gemiddelde responstijd hadden van meer dan 8 uur in het </w:t>
            </w:r>
            <w:r>
              <w:t>des</w:t>
            </w:r>
            <w:r w:rsidRPr="00CA7E51">
              <w:t>betreffende kwartaal.</w:t>
            </w:r>
          </w:p>
          <w:p w:rsidR="001517BB" w:rsidRPr="00CA7E51" w:rsidRDefault="001517BB" w:rsidP="001517BB">
            <w:pPr>
              <w:ind w:left="360"/>
            </w:pPr>
          </w:p>
          <w:p w:rsidR="00E56DEE" w:rsidRPr="00CA7E51" w:rsidRDefault="00E56DEE" w:rsidP="00E56DEE">
            <w:pPr>
              <w:numPr>
                <w:ilvl w:val="0"/>
                <w:numId w:val="11"/>
              </w:numPr>
            </w:pPr>
            <w:r w:rsidRPr="00CA7E51">
              <w:t xml:space="preserve">Bij een gemiddelde responstijd boven de 10 werkuren een malus korting van 50% over het </w:t>
            </w:r>
            <w:r w:rsidRPr="00B12417">
              <w:rPr>
                <w:i/>
              </w:rPr>
              <w:t>huurtarief</w:t>
            </w:r>
            <w:r w:rsidRPr="00CA7E51">
              <w:t xml:space="preserve"> van alle apparaten die een gemiddelde responstijd hadden van meer dan 8 uur in het </w:t>
            </w:r>
            <w:r>
              <w:t>des</w:t>
            </w:r>
            <w:r w:rsidRPr="00CA7E51">
              <w:t>betreffende kwartaal.</w:t>
            </w:r>
          </w:p>
          <w:p w:rsidR="00E56DEE" w:rsidRPr="00CA7E51" w:rsidRDefault="00E56DEE" w:rsidP="00E56DEE"/>
          <w:p w:rsidR="00E56DEE" w:rsidRPr="00CA7E51" w:rsidRDefault="00E56DEE" w:rsidP="00E56DEE">
            <w:r w:rsidRPr="00CA7E51">
              <w:t>Deze maluskorting is dus alleen van toepassing op de app</w:t>
            </w:r>
            <w:r>
              <w:t xml:space="preserve">aratuur waar zich een </w:t>
            </w:r>
            <w:r w:rsidRPr="00CA7E51">
              <w:t>overschrijding heeft voorgedaan.</w:t>
            </w:r>
            <w:r>
              <w:t xml:space="preserve"> De responstijd wordt gemeten in eenheden van 15 minuten.</w:t>
            </w:r>
          </w:p>
          <w:p w:rsidR="00E56DEE" w:rsidRPr="00CA7E51" w:rsidRDefault="00E56DEE" w:rsidP="00E56DEE"/>
          <w:p w:rsidR="00E56DEE" w:rsidRPr="00CA7E51" w:rsidRDefault="00E56DEE" w:rsidP="00E56DEE">
            <w:r w:rsidRPr="00CA7E51">
              <w:t>Voorbeeld berekening:</w:t>
            </w:r>
          </w:p>
          <w:p w:rsidR="00E56DEE" w:rsidRPr="00CA7E51" w:rsidRDefault="00E56DEE" w:rsidP="00E56DEE"/>
          <w:p w:rsidR="00E56DEE" w:rsidRPr="00CA7E51" w:rsidRDefault="00E56DEE" w:rsidP="00E56DEE">
            <w:r w:rsidRPr="00CA7E51">
              <w:t>Totale afdrukpark 180 apparaten</w:t>
            </w:r>
          </w:p>
          <w:p w:rsidR="00E56DEE" w:rsidRDefault="00E56DEE" w:rsidP="00E56DEE">
            <w:r w:rsidRPr="00CA7E51">
              <w:t>15 apparaten in storing geweest in kwartaal 1</w:t>
            </w:r>
          </w:p>
          <w:p w:rsidR="00E56DEE" w:rsidRDefault="00E56DEE" w:rsidP="00E56DEE"/>
          <w:tbl>
            <w:tblPr>
              <w:tblW w:w="3440" w:type="dxa"/>
              <w:tblCellMar>
                <w:left w:w="70" w:type="dxa"/>
                <w:right w:w="70" w:type="dxa"/>
              </w:tblCellMar>
              <w:tblLook w:val="0000" w:firstRow="0" w:lastRow="0" w:firstColumn="0" w:lastColumn="0" w:noHBand="0" w:noVBand="0"/>
            </w:tblPr>
            <w:tblGrid>
              <w:gridCol w:w="1720"/>
              <w:gridCol w:w="1720"/>
            </w:tblGrid>
            <w:tr w:rsidR="00E56DEE" w:rsidRPr="00570BFB" w:rsidTr="00E56DEE">
              <w:trPr>
                <w:trHeight w:val="255"/>
              </w:trPr>
              <w:tc>
                <w:tcPr>
                  <w:tcW w:w="172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E56DEE" w:rsidRPr="00570BFB" w:rsidRDefault="00E56DEE" w:rsidP="00E56DEE">
                  <w:pPr>
                    <w:jc w:val="center"/>
                    <w:rPr>
                      <w:rFonts w:ascii="Arial" w:hAnsi="Arial" w:cs="Arial"/>
                      <w:b/>
                      <w:bCs/>
                      <w:sz w:val="20"/>
                      <w:szCs w:val="20"/>
                    </w:rPr>
                  </w:pPr>
                  <w:proofErr w:type="spellStart"/>
                  <w:r w:rsidRPr="00570BFB">
                    <w:rPr>
                      <w:rFonts w:ascii="Arial" w:hAnsi="Arial" w:cs="Arial"/>
                      <w:b/>
                      <w:bCs/>
                      <w:sz w:val="20"/>
                      <w:szCs w:val="20"/>
                    </w:rPr>
                    <w:t>Apparaatnr</w:t>
                  </w:r>
                  <w:proofErr w:type="spellEnd"/>
                  <w:r w:rsidRPr="00570BFB">
                    <w:rPr>
                      <w:rFonts w:ascii="Arial" w:hAnsi="Arial" w:cs="Arial"/>
                      <w:b/>
                      <w:bCs/>
                      <w:sz w:val="20"/>
                      <w:szCs w:val="20"/>
                    </w:rPr>
                    <w:t>.</w:t>
                  </w:r>
                </w:p>
              </w:tc>
              <w:tc>
                <w:tcPr>
                  <w:tcW w:w="1720" w:type="dxa"/>
                  <w:tcBorders>
                    <w:top w:val="single" w:sz="4" w:space="0" w:color="auto"/>
                    <w:left w:val="nil"/>
                    <w:bottom w:val="single" w:sz="4" w:space="0" w:color="auto"/>
                    <w:right w:val="single" w:sz="4" w:space="0" w:color="auto"/>
                  </w:tcBorders>
                  <w:shd w:val="clear" w:color="auto" w:fill="C0C0C0"/>
                  <w:noWrap/>
                  <w:vAlign w:val="bottom"/>
                </w:tcPr>
                <w:p w:rsidR="00E56DEE" w:rsidRPr="00570BFB" w:rsidRDefault="00E56DEE" w:rsidP="00E56DEE">
                  <w:pPr>
                    <w:rPr>
                      <w:rFonts w:ascii="Arial" w:hAnsi="Arial" w:cs="Arial"/>
                      <w:b/>
                      <w:bCs/>
                      <w:sz w:val="20"/>
                      <w:szCs w:val="20"/>
                    </w:rPr>
                  </w:pPr>
                  <w:r w:rsidRPr="00570BFB">
                    <w:rPr>
                      <w:rFonts w:ascii="Arial" w:hAnsi="Arial" w:cs="Arial"/>
                      <w:b/>
                      <w:bCs/>
                      <w:sz w:val="20"/>
                      <w:szCs w:val="20"/>
                    </w:rPr>
                    <w:t>Responstijd (uur)</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1</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7,25</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2</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12,75</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3</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11,5</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4</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18</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5</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7,75</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6</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13</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7</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8</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8</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7,5</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9</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8</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10</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7,75</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11</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6,75</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12</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20,75</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13</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7,5</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14</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14,5</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15</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8</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 </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Totale responstijd</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159</w:t>
                  </w:r>
                  <w:r>
                    <w:rPr>
                      <w:rFonts w:ascii="Arial" w:hAnsi="Arial" w:cs="Arial"/>
                      <w:sz w:val="20"/>
                      <w:szCs w:val="20"/>
                    </w:rPr>
                    <w:t xml:space="preserve"> uur</w:t>
                  </w:r>
                </w:p>
              </w:tc>
            </w:tr>
            <w:tr w:rsidR="00E56DEE" w:rsidRPr="00570BFB" w:rsidTr="00E56DEE">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E56DEE" w:rsidRPr="00570BFB" w:rsidRDefault="00E56DEE" w:rsidP="00E56DEE">
                  <w:pPr>
                    <w:jc w:val="center"/>
                    <w:rPr>
                      <w:rFonts w:ascii="Arial" w:hAnsi="Arial" w:cs="Arial"/>
                      <w:sz w:val="20"/>
                      <w:szCs w:val="20"/>
                    </w:rPr>
                  </w:pPr>
                  <w:r w:rsidRPr="00570BFB">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sz w:val="20"/>
                      <w:szCs w:val="20"/>
                    </w:rPr>
                  </w:pPr>
                  <w:r w:rsidRPr="00570BFB">
                    <w:rPr>
                      <w:rFonts w:ascii="Arial" w:hAnsi="Arial" w:cs="Arial"/>
                      <w:sz w:val="20"/>
                      <w:szCs w:val="20"/>
                    </w:rPr>
                    <w:t> </w:t>
                  </w:r>
                </w:p>
              </w:tc>
            </w:tr>
            <w:tr w:rsidR="00E56DEE" w:rsidRPr="00570BFB" w:rsidTr="00E56DEE">
              <w:trPr>
                <w:trHeight w:val="510"/>
              </w:trPr>
              <w:tc>
                <w:tcPr>
                  <w:tcW w:w="1720" w:type="dxa"/>
                  <w:tcBorders>
                    <w:top w:val="nil"/>
                    <w:left w:val="single" w:sz="4" w:space="0" w:color="auto"/>
                    <w:bottom w:val="single" w:sz="4" w:space="0" w:color="auto"/>
                    <w:right w:val="single" w:sz="4" w:space="0" w:color="auto"/>
                  </w:tcBorders>
                  <w:shd w:val="clear" w:color="auto" w:fill="auto"/>
                  <w:vAlign w:val="bottom"/>
                </w:tcPr>
                <w:p w:rsidR="00E56DEE" w:rsidRPr="00570BFB" w:rsidRDefault="00E56DEE" w:rsidP="00E56DEE">
                  <w:pPr>
                    <w:jc w:val="center"/>
                    <w:rPr>
                      <w:rFonts w:ascii="Arial" w:hAnsi="Arial" w:cs="Arial"/>
                      <w:b/>
                      <w:bCs/>
                      <w:sz w:val="20"/>
                      <w:szCs w:val="20"/>
                    </w:rPr>
                  </w:pPr>
                  <w:r w:rsidRPr="00570BFB">
                    <w:rPr>
                      <w:rFonts w:ascii="Arial" w:hAnsi="Arial" w:cs="Arial"/>
                      <w:b/>
                      <w:bCs/>
                      <w:sz w:val="20"/>
                      <w:szCs w:val="20"/>
                    </w:rPr>
                    <w:t>Gemiddelde responstijd</w:t>
                  </w:r>
                </w:p>
              </w:tc>
              <w:tc>
                <w:tcPr>
                  <w:tcW w:w="1720" w:type="dxa"/>
                  <w:tcBorders>
                    <w:top w:val="nil"/>
                    <w:left w:val="nil"/>
                    <w:bottom w:val="single" w:sz="4" w:space="0" w:color="auto"/>
                    <w:right w:val="single" w:sz="4" w:space="0" w:color="auto"/>
                  </w:tcBorders>
                  <w:shd w:val="clear" w:color="auto" w:fill="auto"/>
                  <w:noWrap/>
                  <w:vAlign w:val="bottom"/>
                </w:tcPr>
                <w:p w:rsidR="00E56DEE" w:rsidRPr="00570BFB" w:rsidRDefault="00E56DEE" w:rsidP="00E56DEE">
                  <w:pPr>
                    <w:rPr>
                      <w:rFonts w:ascii="Arial" w:hAnsi="Arial" w:cs="Arial"/>
                      <w:b/>
                      <w:bCs/>
                      <w:sz w:val="20"/>
                      <w:szCs w:val="20"/>
                    </w:rPr>
                  </w:pPr>
                  <w:r w:rsidRPr="00570BFB">
                    <w:rPr>
                      <w:rFonts w:ascii="Arial" w:hAnsi="Arial" w:cs="Arial"/>
                      <w:b/>
                      <w:bCs/>
                      <w:sz w:val="20"/>
                      <w:szCs w:val="20"/>
                    </w:rPr>
                    <w:t>10,6</w:t>
                  </w:r>
                  <w:r>
                    <w:rPr>
                      <w:rFonts w:ascii="Arial" w:hAnsi="Arial" w:cs="Arial"/>
                      <w:b/>
                      <w:bCs/>
                      <w:sz w:val="20"/>
                      <w:szCs w:val="20"/>
                    </w:rPr>
                    <w:t xml:space="preserve"> uur</w:t>
                  </w:r>
                </w:p>
              </w:tc>
            </w:tr>
          </w:tbl>
          <w:p w:rsidR="00E56DEE" w:rsidRPr="00CA7E51" w:rsidRDefault="00E56DEE" w:rsidP="00E56DEE"/>
          <w:p w:rsidR="00E56DEE" w:rsidRPr="00CA7E51" w:rsidRDefault="00E56DEE" w:rsidP="00E56DEE">
            <w:r>
              <w:t>9</w:t>
            </w:r>
            <w:r w:rsidRPr="00CA7E51">
              <w:t xml:space="preserve"> apparaten kenden een responstijd van </w:t>
            </w:r>
            <w:r>
              <w:t>≤</w:t>
            </w:r>
            <w:r w:rsidRPr="00CA7E51">
              <w:t xml:space="preserve"> 8 uur</w:t>
            </w:r>
          </w:p>
          <w:p w:rsidR="00E56DEE" w:rsidRPr="00CA7E51" w:rsidRDefault="00E56DEE" w:rsidP="00E56DEE">
            <w:r>
              <w:t>6</w:t>
            </w:r>
            <w:r w:rsidRPr="00CA7E51">
              <w:t xml:space="preserve"> apparaten kenden een responstijd </w:t>
            </w:r>
            <w:r>
              <w:t>van &gt; 8 uur</w:t>
            </w:r>
          </w:p>
          <w:p w:rsidR="00E56DEE" w:rsidRPr="00CA7E51" w:rsidRDefault="00E56DEE" w:rsidP="00E56DEE">
            <w:r w:rsidRPr="00CA7E51">
              <w:t>De gemiddelde responstijd komt uit op 1</w:t>
            </w:r>
            <w:r>
              <w:t>0</w:t>
            </w:r>
            <w:r w:rsidRPr="00CA7E51">
              <w:t>,</w:t>
            </w:r>
            <w:r>
              <w:t>6</w:t>
            </w:r>
            <w:r w:rsidRPr="00CA7E51">
              <w:t xml:space="preserve"> uur</w:t>
            </w:r>
          </w:p>
          <w:p w:rsidR="00E56DEE" w:rsidRPr="00CA7E51" w:rsidRDefault="00E56DEE" w:rsidP="00E56DEE">
            <w:r w:rsidRPr="00CA7E51">
              <w:t xml:space="preserve">De maluskorting is in dit geval 50% te berekenen over het </w:t>
            </w:r>
            <w:r w:rsidRPr="00B12417">
              <w:rPr>
                <w:i/>
              </w:rPr>
              <w:t>huurtarief</w:t>
            </w:r>
            <w:r w:rsidRPr="00CA7E51">
              <w:t xml:space="preserve"> </w:t>
            </w:r>
            <w:r>
              <w:t>van alle 5 de apparaten die een responstijd kenden van meer dan 8 uur.</w:t>
            </w:r>
          </w:p>
        </w:tc>
      </w:tr>
      <w:tr w:rsidR="00E56DEE" w:rsidTr="00E56DEE">
        <w:tc>
          <w:tcPr>
            <w:tcW w:w="1728" w:type="dxa"/>
            <w:shd w:val="clear" w:color="auto" w:fill="auto"/>
          </w:tcPr>
          <w:p w:rsidR="00E56DEE" w:rsidRPr="00985EC7" w:rsidRDefault="00E56DEE" w:rsidP="00E56DEE">
            <w:r w:rsidRPr="00985EC7">
              <w:lastRenderedPageBreak/>
              <w:t>OSF-eis-</w:t>
            </w:r>
            <w:r>
              <w:t>11</w:t>
            </w:r>
          </w:p>
        </w:tc>
        <w:tc>
          <w:tcPr>
            <w:tcW w:w="7496" w:type="dxa"/>
            <w:shd w:val="clear" w:color="auto" w:fill="auto"/>
          </w:tcPr>
          <w:p w:rsidR="00E56DEE" w:rsidRPr="00985EC7" w:rsidRDefault="00E56DEE" w:rsidP="00E56DEE">
            <w:pPr>
              <w:rPr>
                <w:b/>
              </w:rPr>
            </w:pPr>
            <w:r w:rsidRPr="00985EC7">
              <w:rPr>
                <w:b/>
              </w:rPr>
              <w:t>Technische conversie</w:t>
            </w:r>
          </w:p>
          <w:p w:rsidR="00E56DEE" w:rsidRPr="00985EC7" w:rsidRDefault="00E56DEE" w:rsidP="00E56DEE">
            <w:pPr>
              <w:rPr>
                <w:b/>
              </w:rPr>
            </w:pPr>
          </w:p>
          <w:p w:rsidR="00E56DEE" w:rsidRPr="00985EC7" w:rsidRDefault="00E56DEE" w:rsidP="00E56DEE">
            <w:r>
              <w:rPr>
                <w:i/>
              </w:rPr>
              <w:t>I</w:t>
            </w:r>
            <w:r w:rsidRPr="00985EC7">
              <w:rPr>
                <w:i/>
              </w:rPr>
              <w:t>nschrijver</w:t>
            </w:r>
            <w:r w:rsidRPr="00985EC7">
              <w:t xml:space="preserve"> garandeert in principe een storingvrij gebruik van de apparatuur met afdrukken van afdoende kwaliteit, gedurende de looptijd van de (</w:t>
            </w:r>
            <w:r w:rsidRPr="00C7586E">
              <w:rPr>
                <w:i/>
              </w:rPr>
              <w:t>nadere</w:t>
            </w:r>
            <w:r w:rsidRPr="00985EC7">
              <w:t xml:space="preserve">) </w:t>
            </w:r>
            <w:r w:rsidRPr="00985EC7">
              <w:rPr>
                <w:i/>
              </w:rPr>
              <w:t>overeenkomst</w:t>
            </w:r>
            <w:r w:rsidRPr="00985EC7">
              <w:t>. Wanneer een van de partijen constateert dat een apparaat een sterk verhoogd (repeterend) storingspatroon vertoont en hierdoor onvoldoende beschikbaar is om de gewenste afdrukken te leveren, wordt hierover contact opgenomen met de andere partij.</w:t>
            </w:r>
          </w:p>
          <w:p w:rsidR="00E56DEE" w:rsidRDefault="00E56DEE" w:rsidP="00E56DEE">
            <w:r w:rsidRPr="00BA324A">
              <w:t xml:space="preserve">Als de technische dienst van </w:t>
            </w:r>
            <w:r w:rsidRPr="00BA324A">
              <w:rPr>
                <w:i/>
              </w:rPr>
              <w:t>inschrijver</w:t>
            </w:r>
            <w:r w:rsidRPr="00BA324A">
              <w:t xml:space="preserve"> vaststelt</w:t>
            </w:r>
            <w:r w:rsidRPr="00985EC7">
              <w:t xml:space="preserve"> dat reparatie geen afdoende resultaat zal opleveren</w:t>
            </w:r>
            <w:r>
              <w:t>,</w:t>
            </w:r>
            <w:r w:rsidRPr="00985EC7">
              <w:t xml:space="preserve"> komt het betrokken apparaat in aanmerking voor conversie naar een ander, minimaal gelijkwaardig apparaat waarmee het eind van de looptijd gegarandeerd kan worden. Dit behoeft geen nieuw apparaat te zijn. Deze technische conversie zal op geen enkele wijze het percentage te converteren apparaten in de </w:t>
            </w:r>
            <w:r w:rsidRPr="00C7586E">
              <w:rPr>
                <w:i/>
              </w:rPr>
              <w:t>raam</w:t>
            </w:r>
            <w:r w:rsidRPr="00985EC7">
              <w:rPr>
                <w:i/>
              </w:rPr>
              <w:t>overeenkomst</w:t>
            </w:r>
            <w:r w:rsidRPr="00985EC7">
              <w:t xml:space="preserve"> beïnvloeden. Aan een </w:t>
            </w:r>
            <w:r w:rsidRPr="00985EC7">
              <w:lastRenderedPageBreak/>
              <w:t>technische conversie zijn voor de gebruiker geen kosten verbonden</w:t>
            </w:r>
            <w:r>
              <w:t xml:space="preserve">. </w:t>
            </w:r>
          </w:p>
          <w:p w:rsidR="00E56DEE" w:rsidRPr="002F38EC" w:rsidRDefault="00E56DEE" w:rsidP="00E56DEE"/>
        </w:tc>
      </w:tr>
      <w:tr w:rsidR="00E56DEE" w:rsidTr="00E56DEE">
        <w:tc>
          <w:tcPr>
            <w:tcW w:w="1728" w:type="dxa"/>
            <w:shd w:val="clear" w:color="auto" w:fill="auto"/>
          </w:tcPr>
          <w:p w:rsidR="00E56DEE" w:rsidRPr="002F38EC" w:rsidRDefault="00E56DEE" w:rsidP="00E56DEE">
            <w:r>
              <w:lastRenderedPageBreak/>
              <w:t>OSF-eis-12</w:t>
            </w:r>
          </w:p>
        </w:tc>
        <w:tc>
          <w:tcPr>
            <w:tcW w:w="7496" w:type="dxa"/>
            <w:shd w:val="clear" w:color="auto" w:fill="auto"/>
          </w:tcPr>
          <w:p w:rsidR="00E56DEE" w:rsidRPr="002F38EC" w:rsidRDefault="00E56DEE" w:rsidP="00E56DEE">
            <w:r w:rsidRPr="00BA324A">
              <w:t xml:space="preserve">Indien een apparaat binnen een periode van 3 maanden voor de vierde maal gerepareerd moet worden aan dezelfde storing, is </w:t>
            </w:r>
            <w:r w:rsidRPr="00BA324A">
              <w:rPr>
                <w:i/>
              </w:rPr>
              <w:t>opdrachtnemer</w:t>
            </w:r>
            <w:r w:rsidRPr="00BA324A">
              <w:t xml:space="preserve"> verplicht om een technische conversie uit te voeren. </w:t>
            </w:r>
          </w:p>
        </w:tc>
      </w:tr>
      <w:tr w:rsidR="00E56DEE" w:rsidTr="00E56DEE">
        <w:tc>
          <w:tcPr>
            <w:tcW w:w="1728" w:type="dxa"/>
            <w:shd w:val="clear" w:color="auto" w:fill="auto"/>
          </w:tcPr>
          <w:p w:rsidR="00E56DEE" w:rsidRPr="00E14B7F" w:rsidRDefault="00E56DEE" w:rsidP="00E56DEE">
            <w:pPr>
              <w:rPr>
                <w:highlight w:val="yellow"/>
              </w:rPr>
            </w:pPr>
            <w:r>
              <w:t>OSF-eis-13</w:t>
            </w:r>
          </w:p>
        </w:tc>
        <w:tc>
          <w:tcPr>
            <w:tcW w:w="7496" w:type="dxa"/>
            <w:shd w:val="clear" w:color="auto" w:fill="auto"/>
          </w:tcPr>
          <w:p w:rsidR="00E56DEE" w:rsidRDefault="00E56DEE" w:rsidP="00E56DEE">
            <w:pPr>
              <w:rPr>
                <w:b/>
                <w:highlight w:val="yellow"/>
              </w:rPr>
            </w:pPr>
            <w:r>
              <w:t>I</w:t>
            </w:r>
            <w:r w:rsidRPr="006E5823">
              <w:t>ndien er in een deelproces van een machine een storing ontstaat</w:t>
            </w:r>
            <w:r>
              <w:t>,</w:t>
            </w:r>
            <w:r w:rsidRPr="006E5823">
              <w:t xml:space="preserve"> dienen de overige deelprocessen van deze machine </w:t>
            </w:r>
            <w:r>
              <w:t xml:space="preserve">te </w:t>
            </w:r>
            <w:r w:rsidRPr="006E5823">
              <w:t xml:space="preserve">blijven functioneren. Een storing aan een deelproces </w:t>
            </w:r>
            <w:r>
              <w:t xml:space="preserve">van een machine </w:t>
            </w:r>
            <w:r w:rsidRPr="006E5823">
              <w:t xml:space="preserve">mag geen reden zijn </w:t>
            </w:r>
            <w:r>
              <w:t>voor het geheel niet functioneren van een machine.</w:t>
            </w:r>
          </w:p>
        </w:tc>
      </w:tr>
      <w:tr w:rsidR="00E56DEE" w:rsidTr="00E56DEE">
        <w:tc>
          <w:tcPr>
            <w:tcW w:w="1728" w:type="dxa"/>
            <w:shd w:val="clear" w:color="auto" w:fill="auto"/>
          </w:tcPr>
          <w:p w:rsidR="00E56DEE" w:rsidRPr="009B52F9" w:rsidRDefault="00E56DEE" w:rsidP="00E56DEE">
            <w:r w:rsidRPr="009B52F9">
              <w:t>OSF-eis-</w:t>
            </w:r>
            <w:r>
              <w:t>14</w:t>
            </w:r>
          </w:p>
        </w:tc>
        <w:tc>
          <w:tcPr>
            <w:tcW w:w="7496" w:type="dxa"/>
            <w:shd w:val="clear" w:color="auto" w:fill="auto"/>
          </w:tcPr>
          <w:p w:rsidR="00E56DEE" w:rsidRPr="002F38EC" w:rsidRDefault="00E56DEE" w:rsidP="00E56DEE">
            <w:r w:rsidRPr="009B52F9">
              <w:rPr>
                <w:i/>
              </w:rPr>
              <w:t>Inschrijver</w:t>
            </w:r>
            <w:r w:rsidRPr="009B52F9">
              <w:t xml:space="preserve"> dient kosteloos een software oplossing aan te bieden aan </w:t>
            </w:r>
            <w:r w:rsidRPr="009B52F9">
              <w:rPr>
                <w:i/>
              </w:rPr>
              <w:t>opdrachtgever</w:t>
            </w:r>
            <w:r w:rsidRPr="009B52F9">
              <w:t xml:space="preserve"> voor het monitoren van de apparatuur (uitlezen van o.a. verbruiken) via de netwerken die actief zijn binnen de locaties van </w:t>
            </w:r>
            <w:r w:rsidRPr="009B52F9">
              <w:rPr>
                <w:i/>
              </w:rPr>
              <w:t>opdrachtgever</w:t>
            </w:r>
            <w:r w:rsidRPr="009B52F9">
              <w:t xml:space="preserve">. De specificaties van deze netwerken zijn gebundeld terug te vinden in </w:t>
            </w:r>
            <w:r w:rsidRPr="009802DB">
              <w:rPr>
                <w:i/>
              </w:rPr>
              <w:t>bijlage</w:t>
            </w:r>
            <w:r>
              <w:t xml:space="preserve"> 11</w:t>
            </w:r>
            <w:r w:rsidRPr="009B52F9">
              <w:t xml:space="preserve">. </w:t>
            </w:r>
          </w:p>
        </w:tc>
      </w:tr>
      <w:tr w:rsidR="00E56DEE" w:rsidTr="00E56DEE">
        <w:tc>
          <w:tcPr>
            <w:tcW w:w="1728" w:type="dxa"/>
            <w:shd w:val="clear" w:color="auto" w:fill="auto"/>
          </w:tcPr>
          <w:p w:rsidR="00E56DEE" w:rsidRPr="002F38EC" w:rsidRDefault="00E56DEE" w:rsidP="00E56DEE">
            <w:r>
              <w:t>OSF-eis-15</w:t>
            </w:r>
          </w:p>
        </w:tc>
        <w:tc>
          <w:tcPr>
            <w:tcW w:w="7496" w:type="dxa"/>
            <w:shd w:val="clear" w:color="auto" w:fill="auto"/>
          </w:tcPr>
          <w:p w:rsidR="00E56DEE" w:rsidRDefault="00E56DEE" w:rsidP="00E56DEE">
            <w:r w:rsidRPr="00E85ABE">
              <w:rPr>
                <w:i/>
              </w:rPr>
              <w:t>Opdrachtgever</w:t>
            </w:r>
            <w:r>
              <w:t xml:space="preserve"> wil zich ervan verzekeren dat de afdrukkwaliteit van de te leveren apparaten voldoet aan haar eisen. Hiertoe dient </w:t>
            </w:r>
            <w:r w:rsidRPr="00E85ABE">
              <w:rPr>
                <w:i/>
              </w:rPr>
              <w:t>inschrijver</w:t>
            </w:r>
            <w:r>
              <w:t xml:space="preserve"> proefafdrukken aan te leveren tezamen met de aanbestedingsdocumenten. De procedure is als volgt:</w:t>
            </w:r>
          </w:p>
          <w:p w:rsidR="00E56DEE" w:rsidRDefault="00E56DEE" w:rsidP="00E56DEE"/>
          <w:p w:rsidR="00E56DEE" w:rsidRDefault="00E56DEE" w:rsidP="00E56DEE">
            <w:pPr>
              <w:numPr>
                <w:ilvl w:val="0"/>
                <w:numId w:val="11"/>
              </w:numPr>
            </w:pPr>
            <w:r>
              <w:t xml:space="preserve">Indien u een </w:t>
            </w:r>
            <w:r w:rsidRPr="00F80D5A">
              <w:rPr>
                <w:i/>
              </w:rPr>
              <w:t>inschrijving</w:t>
            </w:r>
            <w:r>
              <w:t xml:space="preserve"> wilt gaan doen dient u tussen 5 oktober en 21 oktober 2010, na voorafgaande melding, op locatie van </w:t>
            </w:r>
            <w:r w:rsidRPr="00E85ABE">
              <w:rPr>
                <w:i/>
              </w:rPr>
              <w:t>opdrachtgever</w:t>
            </w:r>
            <w:r>
              <w:t xml:space="preserve"> een set blanco kopieerpapier op te halen. Dit kopieerpapier </w:t>
            </w:r>
            <w:r w:rsidRPr="00E85ABE">
              <w:rPr>
                <w:i/>
              </w:rPr>
              <w:t>is</w:t>
            </w:r>
            <w:r>
              <w:t xml:space="preserve"> de standaard die op dit moment binnen de locaties van </w:t>
            </w:r>
            <w:r w:rsidRPr="00E85ABE">
              <w:rPr>
                <w:i/>
              </w:rPr>
              <w:t>opdrachtgever</w:t>
            </w:r>
            <w:r>
              <w:t xml:space="preserve"> gebruikt wordt (Xerox Premier PEFC </w:t>
            </w:r>
            <w:smartTag w:uri="urn:schemas-microsoft-com:office:smarttags" w:element="metricconverter">
              <w:smartTagPr>
                <w:attr w:name="ProductID" w:val="80 grams"/>
              </w:smartTagPr>
              <w:r>
                <w:t>80 grams</w:t>
              </w:r>
            </w:smartTag>
            <w:r>
              <w:t xml:space="preserve"> A4).</w:t>
            </w:r>
          </w:p>
          <w:p w:rsidR="00E56DEE" w:rsidRDefault="00E56DEE" w:rsidP="00E56DEE">
            <w:pPr>
              <w:numPr>
                <w:ilvl w:val="0"/>
                <w:numId w:val="11"/>
              </w:numPr>
            </w:pPr>
            <w:r>
              <w:t xml:space="preserve">In </w:t>
            </w:r>
            <w:r w:rsidRPr="009802DB">
              <w:rPr>
                <w:i/>
              </w:rPr>
              <w:t>bijlage</w:t>
            </w:r>
            <w:r>
              <w:t xml:space="preserve"> 18 vindt u 2 digitale documenten die op het kopieerpapier afgedrukt dienen te worden. Het kleurendocument dient op de kleurenmachines afgedrukt te worden, het zwart-wit document dient op de monochroom machines afgedrukt te worden.</w:t>
            </w:r>
          </w:p>
          <w:p w:rsidR="00E56DEE" w:rsidRDefault="00E56DEE" w:rsidP="00E56DEE">
            <w:pPr>
              <w:numPr>
                <w:ilvl w:val="0"/>
                <w:numId w:val="11"/>
              </w:numPr>
            </w:pPr>
            <w:r>
              <w:t>Op elk van de aangeboden machines dienen minimaal 5 afdrukken gemaakt te worden.</w:t>
            </w:r>
          </w:p>
          <w:p w:rsidR="00E56DEE" w:rsidRDefault="00E56DEE" w:rsidP="00E56DEE">
            <w:pPr>
              <w:numPr>
                <w:ilvl w:val="0"/>
                <w:numId w:val="11"/>
              </w:numPr>
            </w:pPr>
            <w:r>
              <w:t xml:space="preserve">Op de afdrukken dient duidelijk weergegeven te worden met welk type apparaat de afdrukken gemaakt zijn. Tevens dient aangegeven te worden voor welke van de typen machines die door </w:t>
            </w:r>
            <w:r w:rsidRPr="00E85ABE">
              <w:rPr>
                <w:i/>
              </w:rPr>
              <w:t>opdrachtgever</w:t>
            </w:r>
            <w:r>
              <w:t xml:space="preserve"> uitgevraagd zijn, de betreffende machine wordt ingezet.</w:t>
            </w:r>
          </w:p>
          <w:p w:rsidR="00E56DEE" w:rsidRDefault="00E56DEE" w:rsidP="00E56DEE">
            <w:pPr>
              <w:numPr>
                <w:ilvl w:val="0"/>
                <w:numId w:val="11"/>
              </w:numPr>
            </w:pPr>
            <w:r>
              <w:t xml:space="preserve">De afdrukken dienen in een aparte enveloppe of doos, per type gescheiden door een tabblad o.i.d. aangeboden te worden tegelijkertijd met de </w:t>
            </w:r>
            <w:r w:rsidRPr="00F80D5A">
              <w:rPr>
                <w:i/>
              </w:rPr>
              <w:t>inschrijving</w:t>
            </w:r>
            <w:r>
              <w:t>.</w:t>
            </w:r>
          </w:p>
          <w:p w:rsidR="00E56DEE" w:rsidRDefault="00E56DEE" w:rsidP="00E56DEE"/>
          <w:p w:rsidR="00E56DEE" w:rsidRPr="00AB6ACC" w:rsidRDefault="00E56DEE" w:rsidP="00E56DEE">
            <w:r w:rsidRPr="00C74C3A">
              <w:t xml:space="preserve">De afdrukken van de verschillende </w:t>
            </w:r>
            <w:r w:rsidRPr="00C74C3A">
              <w:rPr>
                <w:i/>
              </w:rPr>
              <w:t>inschrijvers</w:t>
            </w:r>
            <w:r w:rsidRPr="00C74C3A">
              <w:t xml:space="preserve"> zullen door het aanbestedingsteam </w:t>
            </w:r>
            <w:r>
              <w:t xml:space="preserve">van </w:t>
            </w:r>
            <w:r>
              <w:rPr>
                <w:i/>
              </w:rPr>
              <w:t xml:space="preserve">opdrachtgever </w:t>
            </w:r>
            <w:r w:rsidRPr="00C74C3A">
              <w:t xml:space="preserve">ten opzichte van elkaar vergeleken worden. Indien de ingediende afdrukken van de </w:t>
            </w:r>
            <w:r w:rsidRPr="00C74C3A">
              <w:rPr>
                <w:i/>
              </w:rPr>
              <w:t>inschrijver</w:t>
            </w:r>
            <w:r w:rsidRPr="00C74C3A">
              <w:t xml:space="preserve"> die de winnende </w:t>
            </w:r>
            <w:r w:rsidRPr="00C74C3A">
              <w:rPr>
                <w:i/>
              </w:rPr>
              <w:t>inschrijving</w:t>
            </w:r>
            <w:r w:rsidRPr="00C74C3A">
              <w:t xml:space="preserve"> zou hebben door het aanbestedingsteam als onvoldoende worden aangemerkt, zal er een onafhankelijk klantenpanel samengesteld worden om de kwaliteit van de afdrukken definitief te beoordelen en te bepalen of</w:t>
            </w:r>
            <w:r>
              <w:t xml:space="preserve"> de kwaliteit goed genoeg is om te voldoen aan deze eis.</w:t>
            </w:r>
          </w:p>
        </w:tc>
      </w:tr>
      <w:tr w:rsidR="00E56DEE" w:rsidTr="00E56DEE">
        <w:tc>
          <w:tcPr>
            <w:tcW w:w="1728" w:type="dxa"/>
            <w:shd w:val="clear" w:color="auto" w:fill="auto"/>
          </w:tcPr>
          <w:p w:rsidR="00E56DEE" w:rsidRPr="002F38EC" w:rsidRDefault="00E56DEE" w:rsidP="00E56DEE"/>
        </w:tc>
        <w:tc>
          <w:tcPr>
            <w:tcW w:w="7496" w:type="dxa"/>
            <w:shd w:val="clear" w:color="auto" w:fill="auto"/>
          </w:tcPr>
          <w:p w:rsidR="00E56DEE" w:rsidRPr="002F38EC" w:rsidRDefault="00E56DEE" w:rsidP="00E56DEE"/>
        </w:tc>
      </w:tr>
      <w:tr w:rsidR="00E56DEE" w:rsidRPr="00985EC7" w:rsidTr="00E56DEE">
        <w:tc>
          <w:tcPr>
            <w:tcW w:w="9224" w:type="dxa"/>
            <w:gridSpan w:val="2"/>
            <w:shd w:val="clear" w:color="auto" w:fill="E0E0E0"/>
          </w:tcPr>
          <w:p w:rsidR="00E56DEE" w:rsidRPr="00985EC7" w:rsidRDefault="00E56DEE" w:rsidP="00E56DEE">
            <w:pPr>
              <w:rPr>
                <w:b/>
              </w:rPr>
            </w:pPr>
            <w:r w:rsidRPr="00985EC7">
              <w:rPr>
                <w:b/>
              </w:rPr>
              <w:t>Commerciële eisen</w:t>
            </w:r>
          </w:p>
        </w:tc>
      </w:tr>
      <w:tr w:rsidR="00E56DEE" w:rsidRPr="00985EC7" w:rsidTr="00E56DEE">
        <w:tc>
          <w:tcPr>
            <w:tcW w:w="1728" w:type="dxa"/>
          </w:tcPr>
          <w:p w:rsidR="00E56DEE" w:rsidRPr="00985EC7" w:rsidRDefault="00E56DEE" w:rsidP="00E56DEE"/>
        </w:tc>
        <w:tc>
          <w:tcPr>
            <w:tcW w:w="7496" w:type="dxa"/>
          </w:tcPr>
          <w:p w:rsidR="00E56DEE" w:rsidRPr="00985EC7" w:rsidRDefault="00E56DEE" w:rsidP="00E56DEE"/>
        </w:tc>
      </w:tr>
      <w:tr w:rsidR="00E56DEE" w:rsidRPr="00985EC7" w:rsidTr="00E56DEE">
        <w:tc>
          <w:tcPr>
            <w:tcW w:w="1728" w:type="dxa"/>
          </w:tcPr>
          <w:p w:rsidR="00E56DEE" w:rsidRPr="00985EC7" w:rsidRDefault="00E56DEE" w:rsidP="00E56DEE">
            <w:r w:rsidRPr="00985EC7">
              <w:t>Com-eis-1</w:t>
            </w:r>
          </w:p>
        </w:tc>
        <w:tc>
          <w:tcPr>
            <w:tcW w:w="7496" w:type="dxa"/>
          </w:tcPr>
          <w:p w:rsidR="00E56DEE" w:rsidRPr="00985EC7" w:rsidRDefault="00E56DEE" w:rsidP="00E56DEE">
            <w:r w:rsidRPr="00985EC7">
              <w:t xml:space="preserve">In deze aanbesteding wordt er onderscheid gemaakt tussen een </w:t>
            </w:r>
            <w:r w:rsidRPr="00B12417">
              <w:rPr>
                <w:i/>
              </w:rPr>
              <w:t>huurtarief</w:t>
            </w:r>
            <w:r w:rsidRPr="00985EC7">
              <w:t xml:space="preserve"> voor de aan te bieden machines en een apart tellertiktarief. De tariefstelling voor het </w:t>
            </w:r>
            <w:r w:rsidRPr="00B12417">
              <w:rPr>
                <w:i/>
              </w:rPr>
              <w:t>huurtarief</w:t>
            </w:r>
            <w:r w:rsidRPr="00985EC7">
              <w:t xml:space="preserve"> dient inclusief de benodigde soft</w:t>
            </w:r>
            <w:r>
              <w:t xml:space="preserve">ware, </w:t>
            </w:r>
            <w:proofErr w:type="spellStart"/>
            <w:r>
              <w:t>plaatsings</w:t>
            </w:r>
            <w:proofErr w:type="spellEnd"/>
            <w:r>
              <w:t>-, retour</w:t>
            </w:r>
            <w:r w:rsidRPr="00985EC7">
              <w:t>- en installatiekosten en eventuele verplichte onderzetkasten te zijn. Het tellertik tarief dient inclusief onderhoud, service, reparaties, nietjes en toner en overige mogelijke kosten te zijn. Deze tariefstelling wordt uitgedrukt in een zogenaamde prijs per pagina (PPP), waarbij geldt A3 = 2x A4</w:t>
            </w:r>
            <w:r>
              <w:t xml:space="preserve"> en A5 = 0,5 x A4</w:t>
            </w:r>
            <w:r w:rsidRPr="00985EC7">
              <w:t xml:space="preserve">. </w:t>
            </w:r>
          </w:p>
        </w:tc>
      </w:tr>
      <w:tr w:rsidR="00E56DEE" w:rsidRPr="00985EC7" w:rsidTr="00E56DEE">
        <w:tc>
          <w:tcPr>
            <w:tcW w:w="1728" w:type="dxa"/>
          </w:tcPr>
          <w:p w:rsidR="00E56DEE" w:rsidRPr="00985EC7" w:rsidRDefault="00E56DEE" w:rsidP="00E56DEE">
            <w:r w:rsidRPr="00985EC7">
              <w:t>Com-eis-2</w:t>
            </w:r>
          </w:p>
        </w:tc>
        <w:tc>
          <w:tcPr>
            <w:tcW w:w="7496" w:type="dxa"/>
          </w:tcPr>
          <w:p w:rsidR="00E56DEE" w:rsidRPr="00985EC7" w:rsidRDefault="00E56DEE" w:rsidP="00E56DEE">
            <w:r w:rsidRPr="00985EC7">
              <w:t xml:space="preserve">De prijs per pagina dient voor alle configuraties en </w:t>
            </w:r>
            <w:r w:rsidRPr="00C7586E">
              <w:rPr>
                <w:i/>
              </w:rPr>
              <w:t>nadere</w:t>
            </w:r>
            <w:r w:rsidRPr="00985EC7">
              <w:t xml:space="preserve"> contracttermijnen gelijk te zijn. Er wordt slechts op het gebied van </w:t>
            </w:r>
            <w:r w:rsidRPr="00B12417">
              <w:rPr>
                <w:i/>
              </w:rPr>
              <w:t>huurtarief</w:t>
            </w:r>
            <w:r w:rsidRPr="00985EC7">
              <w:t xml:space="preserve"> onderscheid gemaakt tussen de configuraties.</w:t>
            </w:r>
          </w:p>
        </w:tc>
      </w:tr>
      <w:tr w:rsidR="00E56DEE" w:rsidRPr="00985EC7" w:rsidTr="00E56DEE">
        <w:tc>
          <w:tcPr>
            <w:tcW w:w="1728" w:type="dxa"/>
          </w:tcPr>
          <w:p w:rsidR="00E56DEE" w:rsidRPr="00985EC7" w:rsidRDefault="00E56DEE" w:rsidP="00E56DEE">
            <w:r w:rsidRPr="00985EC7">
              <w:t>Com-eis-3</w:t>
            </w:r>
          </w:p>
        </w:tc>
        <w:tc>
          <w:tcPr>
            <w:tcW w:w="7496" w:type="dxa"/>
          </w:tcPr>
          <w:p w:rsidR="00E56DEE" w:rsidRPr="00985EC7" w:rsidRDefault="00E56DEE" w:rsidP="00E56DEE">
            <w:r w:rsidRPr="00985EC7">
              <w:t xml:space="preserve">Het </w:t>
            </w:r>
            <w:r w:rsidRPr="00B12417">
              <w:rPr>
                <w:i/>
              </w:rPr>
              <w:t>huurtarief</w:t>
            </w:r>
            <w:r w:rsidRPr="00985EC7">
              <w:t xml:space="preserve"> voor de configuraties wordt weergegeven in een prijs per maand </w:t>
            </w:r>
            <w:r>
              <w:t xml:space="preserve">per configuratie </w:t>
            </w:r>
            <w:r w:rsidRPr="00985EC7">
              <w:t xml:space="preserve">(excl. BTW). De duur van de </w:t>
            </w:r>
            <w:r w:rsidRPr="00C7586E">
              <w:rPr>
                <w:i/>
              </w:rPr>
              <w:t>nadere</w:t>
            </w:r>
            <w:r w:rsidRPr="00985EC7">
              <w:t xml:space="preserve"> </w:t>
            </w:r>
            <w:r w:rsidRPr="00985EC7">
              <w:rPr>
                <w:i/>
              </w:rPr>
              <w:t>overeenkomsten</w:t>
            </w:r>
            <w:r w:rsidRPr="00985EC7">
              <w:t xml:space="preserve"> (4,5 of 5,5 jaar) heeft geen invloed op de hoogte van het </w:t>
            </w:r>
            <w:r w:rsidRPr="00B12417">
              <w:rPr>
                <w:i/>
              </w:rPr>
              <w:t>huurtarief</w:t>
            </w:r>
            <w:r w:rsidRPr="00985EC7">
              <w:t xml:space="preserve"> per maand. Dit is </w:t>
            </w:r>
            <w:r w:rsidRPr="00985EC7">
              <w:lastRenderedPageBreak/>
              <w:t xml:space="preserve">in beide gevallen gelijk. </w:t>
            </w:r>
          </w:p>
        </w:tc>
      </w:tr>
      <w:tr w:rsidR="00E56DEE" w:rsidRPr="00985EC7" w:rsidTr="00E56DEE">
        <w:tc>
          <w:tcPr>
            <w:tcW w:w="1728" w:type="dxa"/>
          </w:tcPr>
          <w:p w:rsidR="00E56DEE" w:rsidRPr="00985EC7" w:rsidRDefault="00E56DEE" w:rsidP="00E56DEE">
            <w:r w:rsidRPr="00985EC7">
              <w:lastRenderedPageBreak/>
              <w:t>Com-eis-</w:t>
            </w:r>
            <w:r>
              <w:t>4</w:t>
            </w:r>
          </w:p>
        </w:tc>
        <w:tc>
          <w:tcPr>
            <w:tcW w:w="7496" w:type="dxa"/>
          </w:tcPr>
          <w:p w:rsidR="00E56DEE" w:rsidRPr="00985EC7" w:rsidRDefault="00E56DEE" w:rsidP="00E56DEE">
            <w:r w:rsidRPr="00985EC7">
              <w:t xml:space="preserve">De tariefstelling per pagina is opgenomen in het </w:t>
            </w:r>
            <w:r>
              <w:t>beoordelingsmodel</w:t>
            </w:r>
            <w:r w:rsidRPr="00985EC7">
              <w:t xml:space="preserve"> welke als </w:t>
            </w:r>
            <w:r w:rsidRPr="009802DB">
              <w:rPr>
                <w:i/>
              </w:rPr>
              <w:t>bijlage</w:t>
            </w:r>
            <w:r w:rsidRPr="00985EC7">
              <w:t xml:space="preserve"> </w:t>
            </w:r>
            <w:r>
              <w:t>10 b</w:t>
            </w:r>
            <w:r w:rsidRPr="00985EC7">
              <w:t xml:space="preserve">ij deze </w:t>
            </w:r>
            <w:r w:rsidRPr="00985EC7">
              <w:rPr>
                <w:i/>
              </w:rPr>
              <w:t>offerte</w:t>
            </w:r>
            <w:r w:rsidRPr="00985EC7">
              <w:t xml:space="preserve"> is gevoegd.</w:t>
            </w:r>
          </w:p>
        </w:tc>
      </w:tr>
      <w:tr w:rsidR="00E56DEE" w:rsidRPr="00985EC7" w:rsidTr="00E56DEE">
        <w:tc>
          <w:tcPr>
            <w:tcW w:w="1728" w:type="dxa"/>
          </w:tcPr>
          <w:p w:rsidR="00E56DEE" w:rsidRPr="00985EC7" w:rsidRDefault="00E56DEE" w:rsidP="00E56DEE">
            <w:r w:rsidRPr="00985EC7">
              <w:t>Com-eis-</w:t>
            </w:r>
            <w:r>
              <w:t>5</w:t>
            </w:r>
          </w:p>
        </w:tc>
        <w:tc>
          <w:tcPr>
            <w:tcW w:w="7496" w:type="dxa"/>
          </w:tcPr>
          <w:p w:rsidR="00E56DEE" w:rsidRPr="00985EC7" w:rsidRDefault="00E56DEE" w:rsidP="00E56DEE">
            <w:r>
              <w:t xml:space="preserve">Per aangeboden type machine dient </w:t>
            </w:r>
            <w:r>
              <w:rPr>
                <w:i/>
              </w:rPr>
              <w:t>i</w:t>
            </w:r>
            <w:r w:rsidRPr="00F14DD9">
              <w:rPr>
                <w:i/>
              </w:rPr>
              <w:t>nschrijver</w:t>
            </w:r>
            <w:r>
              <w:t xml:space="preserve"> de meest recente brochure van deze machine mee te zenden met de aanbestedingsdocumenten.</w:t>
            </w:r>
          </w:p>
        </w:tc>
      </w:tr>
      <w:tr w:rsidR="00E56DEE" w:rsidRPr="00985EC7" w:rsidTr="00E56DEE">
        <w:tc>
          <w:tcPr>
            <w:tcW w:w="1728" w:type="dxa"/>
          </w:tcPr>
          <w:p w:rsidR="00E56DEE" w:rsidRPr="00985EC7" w:rsidRDefault="00E56DEE" w:rsidP="00E56DEE">
            <w:r w:rsidRPr="00985EC7">
              <w:t>Com-eis-</w:t>
            </w:r>
            <w:r>
              <w:t>6</w:t>
            </w:r>
          </w:p>
        </w:tc>
        <w:tc>
          <w:tcPr>
            <w:tcW w:w="7496" w:type="dxa"/>
          </w:tcPr>
          <w:p w:rsidR="00E56DEE" w:rsidRPr="00985EC7" w:rsidRDefault="00E56DEE" w:rsidP="00E56DEE">
            <w:r w:rsidRPr="00985EC7">
              <w:t xml:space="preserve">Zodra een machine door </w:t>
            </w:r>
            <w:r w:rsidRPr="006C180A">
              <w:rPr>
                <w:i/>
              </w:rPr>
              <w:t>opdrachtnemer</w:t>
            </w:r>
            <w:r w:rsidRPr="00985EC7">
              <w:t xml:space="preserve"> geplaatst is bij een van de </w:t>
            </w:r>
            <w:r w:rsidRPr="00DF4202">
              <w:rPr>
                <w:i/>
              </w:rPr>
              <w:t>deelnemer</w:t>
            </w:r>
            <w:r w:rsidRPr="00985EC7">
              <w:t xml:space="preserve">s aan deze </w:t>
            </w:r>
            <w:r w:rsidRPr="006C180A">
              <w:rPr>
                <w:i/>
              </w:rPr>
              <w:t>overeenkomst</w:t>
            </w:r>
            <w:r w:rsidRPr="00985EC7">
              <w:t xml:space="preserve"> staat vast wat de afschrijving voor deze machine gedurende de looptijd van de </w:t>
            </w:r>
            <w:r w:rsidRPr="00C7586E">
              <w:rPr>
                <w:i/>
              </w:rPr>
              <w:t>nadere</w:t>
            </w:r>
            <w:r w:rsidRPr="00985EC7">
              <w:t xml:space="preserve"> </w:t>
            </w:r>
            <w:r w:rsidRPr="006C180A">
              <w:rPr>
                <w:i/>
              </w:rPr>
              <w:t>overeenkomst</w:t>
            </w:r>
            <w:r w:rsidRPr="00985EC7">
              <w:t xml:space="preserve"> is. Om deze reden legt </w:t>
            </w:r>
            <w:r w:rsidRPr="006C180A">
              <w:rPr>
                <w:i/>
              </w:rPr>
              <w:t>opdrachtgever</w:t>
            </w:r>
            <w:r w:rsidRPr="00985EC7">
              <w:t xml:space="preserve"> de huurtarieven voor de te plaatsen machines vast gedurende de </w:t>
            </w:r>
            <w:r w:rsidRPr="00C7586E">
              <w:rPr>
                <w:i/>
              </w:rPr>
              <w:t>nadere</w:t>
            </w:r>
            <w:r w:rsidRPr="00985EC7">
              <w:t xml:space="preserve"> </w:t>
            </w:r>
            <w:r w:rsidRPr="00985EC7">
              <w:rPr>
                <w:i/>
              </w:rPr>
              <w:t>overeenkomsten</w:t>
            </w:r>
            <w:r w:rsidRPr="00985EC7">
              <w:t xml:space="preserve">. Echter, gezien het feit dat </w:t>
            </w:r>
            <w:r w:rsidRPr="00C7586E">
              <w:rPr>
                <w:i/>
              </w:rPr>
              <w:t>nadere</w:t>
            </w:r>
            <w:r w:rsidRPr="00985EC7">
              <w:t xml:space="preserve"> </w:t>
            </w:r>
            <w:r w:rsidRPr="006C180A">
              <w:rPr>
                <w:i/>
              </w:rPr>
              <w:t>overeenkomsten</w:t>
            </w:r>
            <w:r w:rsidRPr="00985EC7">
              <w:t xml:space="preserve"> afgesloten kunnen worden tot het einde van de </w:t>
            </w:r>
            <w:r w:rsidRPr="00C7586E">
              <w:rPr>
                <w:i/>
              </w:rPr>
              <w:t>raam</w:t>
            </w:r>
            <w:r w:rsidRPr="006C180A">
              <w:rPr>
                <w:i/>
              </w:rPr>
              <w:t>overeenkomst</w:t>
            </w:r>
            <w:r w:rsidRPr="00985EC7">
              <w:t xml:space="preserve"> wil </w:t>
            </w:r>
            <w:r w:rsidRPr="006C180A">
              <w:rPr>
                <w:i/>
              </w:rPr>
              <w:t>opdrachtgever</w:t>
            </w:r>
            <w:r w:rsidRPr="00985EC7">
              <w:t xml:space="preserve"> gedurende de</w:t>
            </w:r>
            <w:r>
              <w:t xml:space="preserve"> </w:t>
            </w:r>
            <w:r w:rsidRPr="00C7586E">
              <w:rPr>
                <w:i/>
              </w:rPr>
              <w:t>raam</w:t>
            </w:r>
            <w:r w:rsidRPr="006C180A">
              <w:rPr>
                <w:i/>
              </w:rPr>
              <w:t>overeenkomst</w:t>
            </w:r>
            <w:r w:rsidRPr="00985EC7">
              <w:t xml:space="preserve"> maximaal 2 keer de gelegenheid geven om de huurtarieven aan te passen (per 1 januari 2013 en per 1 januari 2015) met </w:t>
            </w:r>
            <w:r>
              <w:t>maximaal</w:t>
            </w:r>
            <w:r w:rsidRPr="00985EC7">
              <w:t xml:space="preserve"> de </w:t>
            </w:r>
            <w:r w:rsidRPr="00CB2447">
              <w:t>CBS CPI Index</w:t>
            </w:r>
            <w:r>
              <w:t xml:space="preserve"> waarbij het jaar 2010 = 100.</w:t>
            </w:r>
          </w:p>
          <w:p w:rsidR="00E56DEE" w:rsidRPr="00985EC7" w:rsidRDefault="00E56DEE" w:rsidP="00E56DEE">
            <w:r w:rsidRPr="00985EC7">
              <w:t>De gewijzigde huurtarieven zijn dan alleen van toepassing op de machines die vanaf de betreffende wijzigingsdatum geplaatst gaan worden. Bestaande machines behouden de “oude” voorwaarden.</w:t>
            </w:r>
          </w:p>
          <w:p w:rsidR="00E56DEE" w:rsidRPr="00985EC7" w:rsidRDefault="00E56DEE" w:rsidP="00E56DEE">
            <w:r w:rsidRPr="00985EC7">
              <w:t xml:space="preserve">Eventuele prijsaanpassingen dienen minimaal twee maanden vóór 1 januari van het daaropvolgende jaar onderbouwd voorgelegd te worden aan </w:t>
            </w:r>
            <w:r w:rsidRPr="00985EC7">
              <w:rPr>
                <w:i/>
              </w:rPr>
              <w:t>opdrachtgever</w:t>
            </w:r>
            <w:r w:rsidRPr="00985EC7">
              <w:t>. Indien er geen</w:t>
            </w:r>
            <w:r>
              <w:t xml:space="preserve"> verzoek tot prijswijziging is ontv</w:t>
            </w:r>
            <w:r w:rsidRPr="00985EC7">
              <w:t xml:space="preserve">angen door </w:t>
            </w:r>
            <w:r w:rsidRPr="00985EC7">
              <w:rPr>
                <w:i/>
              </w:rPr>
              <w:t>opdrachtgever</w:t>
            </w:r>
            <w:r w:rsidRPr="00985EC7">
              <w:t xml:space="preserve"> blijven de prijzen ongewijzigd tot en met de eerst mogelijke tariefswijziging.</w:t>
            </w:r>
          </w:p>
        </w:tc>
      </w:tr>
      <w:tr w:rsidR="00E56DEE" w:rsidRPr="00985EC7" w:rsidTr="00E56DEE">
        <w:tc>
          <w:tcPr>
            <w:tcW w:w="1728" w:type="dxa"/>
          </w:tcPr>
          <w:p w:rsidR="00E56DEE" w:rsidRPr="00985EC7" w:rsidRDefault="00E56DEE" w:rsidP="00E56DEE">
            <w:r w:rsidRPr="00985EC7">
              <w:t>Com-eis-</w:t>
            </w:r>
            <w:r>
              <w:t>7</w:t>
            </w:r>
          </w:p>
        </w:tc>
        <w:tc>
          <w:tcPr>
            <w:tcW w:w="7496" w:type="dxa"/>
          </w:tcPr>
          <w:p w:rsidR="00E56DEE" w:rsidRPr="00985EC7" w:rsidRDefault="00E56DEE" w:rsidP="00E56DEE">
            <w:r w:rsidRPr="00985EC7">
              <w:t xml:space="preserve">De te offreren prijs per pagina (PPP) kan alleen gewijzigd worden op 1 januari van </w:t>
            </w:r>
            <w:r w:rsidRPr="006E0CD8">
              <w:t>de jaren 2013, 2015, 2017 en 2019.</w:t>
            </w:r>
            <w:r>
              <w:t xml:space="preserve"> </w:t>
            </w:r>
            <w:r w:rsidRPr="00985EC7">
              <w:t xml:space="preserve">Uitgangspunt voor de berekening van deze wijziging is het CBS loonindexcijfer voor de metaalindustrie. Maximaal 30% van het tellertiktarief komt in aanmerking voor een aanpassing. Voor de overige 70% zijn geen termen aanwezig die een wijziging rechtvaardigen. De hoogte van de wijziging kan maximaal € 0,00025 per tellerslag per </w:t>
            </w:r>
            <w:r>
              <w:t>prijswijziging</w:t>
            </w:r>
            <w:r w:rsidRPr="00985EC7">
              <w:t xml:space="preserve"> bedragen. Deze regeling geldt zowel voor monochroom als kleuren tellertikprijzen.</w:t>
            </w:r>
          </w:p>
          <w:p w:rsidR="00E56DEE" w:rsidRPr="00985EC7" w:rsidRDefault="00E56DEE" w:rsidP="00E56DEE">
            <w:r w:rsidRPr="00985EC7">
              <w:t xml:space="preserve">Eventuele prijsaanpassingen dienen minimaal twee maanden vóór 1 januari van het daaropvolgende jaar onderbouwd voorgelegd te worden aan </w:t>
            </w:r>
            <w:r w:rsidRPr="00985EC7">
              <w:rPr>
                <w:i/>
              </w:rPr>
              <w:t>opdrachtgever</w:t>
            </w:r>
            <w:r w:rsidRPr="00985EC7">
              <w:t xml:space="preserve">. </w:t>
            </w:r>
            <w:r>
              <w:t>Indien er geen verzoek tot prijswijziging</w:t>
            </w:r>
            <w:r w:rsidRPr="00985EC7">
              <w:t xml:space="preserve"> is ontvangen door </w:t>
            </w:r>
            <w:r w:rsidRPr="00985EC7">
              <w:rPr>
                <w:i/>
              </w:rPr>
              <w:t>opdrachtgever</w:t>
            </w:r>
            <w:r w:rsidRPr="00985EC7">
              <w:t xml:space="preserve"> blijven de prijzen ongewijzigd tot en met de eerst mogelijke tariefswijziging.</w:t>
            </w:r>
          </w:p>
        </w:tc>
      </w:tr>
      <w:tr w:rsidR="00E56DEE" w:rsidRPr="00BA3F10" w:rsidTr="00E56DEE">
        <w:tc>
          <w:tcPr>
            <w:tcW w:w="1728" w:type="dxa"/>
          </w:tcPr>
          <w:p w:rsidR="00E56DEE" w:rsidRPr="00BA3F10" w:rsidRDefault="00E56DEE" w:rsidP="00E56DEE">
            <w:r w:rsidRPr="00BA3F10">
              <w:t>Com-eis-</w:t>
            </w:r>
            <w:r>
              <w:t>8</w:t>
            </w:r>
          </w:p>
        </w:tc>
        <w:tc>
          <w:tcPr>
            <w:tcW w:w="7496" w:type="dxa"/>
          </w:tcPr>
          <w:p w:rsidR="00E56DEE" w:rsidRPr="00BA3F10" w:rsidDel="0003176C" w:rsidRDefault="00E56DEE" w:rsidP="00E56DEE">
            <w:r w:rsidRPr="00BA3F10">
              <w:t xml:space="preserve">In tegenstelling tot bovenstaande voert </w:t>
            </w:r>
            <w:r>
              <w:rPr>
                <w:i/>
              </w:rPr>
              <w:t>i</w:t>
            </w:r>
            <w:r w:rsidRPr="00BA3F10">
              <w:rPr>
                <w:i/>
              </w:rPr>
              <w:t>nschrijver</w:t>
            </w:r>
            <w:r w:rsidRPr="00BA3F10">
              <w:t xml:space="preserve"> prijsverlagingen onmiddellijk door.</w:t>
            </w:r>
          </w:p>
        </w:tc>
      </w:tr>
      <w:tr w:rsidR="00E56DEE" w:rsidRPr="00BA3F10" w:rsidTr="00E56DEE">
        <w:tc>
          <w:tcPr>
            <w:tcW w:w="1728" w:type="dxa"/>
          </w:tcPr>
          <w:p w:rsidR="00E56DEE" w:rsidRPr="00F9720E" w:rsidRDefault="00E56DEE" w:rsidP="00E56DEE">
            <w:r w:rsidRPr="00F9720E">
              <w:t>Com-eis-9</w:t>
            </w:r>
          </w:p>
        </w:tc>
        <w:tc>
          <w:tcPr>
            <w:tcW w:w="7496" w:type="dxa"/>
          </w:tcPr>
          <w:p w:rsidR="00E56DEE" w:rsidRPr="00F9720E" w:rsidRDefault="00E56DEE" w:rsidP="00E56DEE">
            <w:r w:rsidRPr="00F9720E">
              <w:t>Het van toepassing zijnde Btw</w:t>
            </w:r>
            <w:r>
              <w:t xml:space="preserve"> percentage</w:t>
            </w:r>
            <w:r w:rsidRPr="00F9720E">
              <w:t xml:space="preserve"> is door </w:t>
            </w:r>
            <w:r w:rsidRPr="00F9720E">
              <w:rPr>
                <w:i/>
              </w:rPr>
              <w:t xml:space="preserve">inschrijver vermeld op de daartoe aangewezen regel in </w:t>
            </w:r>
            <w:r w:rsidRPr="009802DB">
              <w:rPr>
                <w:i/>
              </w:rPr>
              <w:t>bijlage</w:t>
            </w:r>
            <w:r w:rsidRPr="00F9720E">
              <w:rPr>
                <w:i/>
              </w:rPr>
              <w:t xml:space="preserve"> 10.</w:t>
            </w:r>
          </w:p>
        </w:tc>
      </w:tr>
      <w:tr w:rsidR="00E56DEE" w:rsidRPr="00BA3F10" w:rsidTr="00E56DEE">
        <w:tc>
          <w:tcPr>
            <w:tcW w:w="1728" w:type="dxa"/>
          </w:tcPr>
          <w:p w:rsidR="00E56DEE" w:rsidRPr="00BA3F10" w:rsidRDefault="00E56DEE" w:rsidP="00E56DEE">
            <w:r w:rsidRPr="00BA3F10">
              <w:t>Com-eis-</w:t>
            </w:r>
            <w:r>
              <w:t>10</w:t>
            </w:r>
          </w:p>
        </w:tc>
        <w:tc>
          <w:tcPr>
            <w:tcW w:w="7496" w:type="dxa"/>
          </w:tcPr>
          <w:p w:rsidR="00E56DEE" w:rsidRPr="002C35DD" w:rsidDel="0003176C" w:rsidRDefault="00E56DEE" w:rsidP="00E56DEE">
            <w:r w:rsidRPr="00BA3F10">
              <w:t xml:space="preserve">De looptijd van de </w:t>
            </w:r>
            <w:r w:rsidRPr="00C7586E">
              <w:rPr>
                <w:i/>
              </w:rPr>
              <w:t>raam</w:t>
            </w:r>
            <w:r w:rsidRPr="008B61DB">
              <w:rPr>
                <w:i/>
              </w:rPr>
              <w:t>overeenkomst</w:t>
            </w:r>
            <w:r w:rsidRPr="00BA3F10">
              <w:t xml:space="preserve"> is 5,5 jaar (66 maanden)</w:t>
            </w:r>
            <w:r>
              <w:t xml:space="preserve">. </w:t>
            </w:r>
            <w:r>
              <w:rPr>
                <w:i/>
              </w:rPr>
              <w:t>Opdrachtgever</w:t>
            </w:r>
            <w:r>
              <w:t xml:space="preserve"> heeft het recht de </w:t>
            </w:r>
            <w:r>
              <w:rPr>
                <w:i/>
              </w:rPr>
              <w:t>raamovereenkomst</w:t>
            </w:r>
            <w:r>
              <w:t xml:space="preserve"> te verlengen voor een periode van maximaal tweemaal (2x) drie maanden.</w:t>
            </w:r>
          </w:p>
        </w:tc>
      </w:tr>
      <w:tr w:rsidR="00E56DEE" w:rsidRPr="00BA3F10" w:rsidTr="00E56DEE">
        <w:tc>
          <w:tcPr>
            <w:tcW w:w="1728" w:type="dxa"/>
          </w:tcPr>
          <w:p w:rsidR="00E56DEE" w:rsidRPr="00BA3F10" w:rsidRDefault="00E56DEE" w:rsidP="00E56DEE">
            <w:r w:rsidRPr="00BA3F10">
              <w:t>Com-eis-</w:t>
            </w:r>
            <w:r>
              <w:t>11</w:t>
            </w:r>
          </w:p>
        </w:tc>
        <w:tc>
          <w:tcPr>
            <w:tcW w:w="7496" w:type="dxa"/>
          </w:tcPr>
          <w:p w:rsidR="00E56DEE" w:rsidRPr="00BA3F10" w:rsidRDefault="00E56DEE" w:rsidP="00E56DEE">
            <w:r w:rsidRPr="00BA3F10">
              <w:t xml:space="preserve">Per te plaatsen machine zal er een </w:t>
            </w:r>
            <w:r w:rsidRPr="00C7586E">
              <w:rPr>
                <w:i/>
              </w:rPr>
              <w:t>nadere</w:t>
            </w:r>
            <w:r w:rsidRPr="00BA3F10">
              <w:t xml:space="preserve"> </w:t>
            </w:r>
            <w:r w:rsidRPr="008B61DB">
              <w:rPr>
                <w:i/>
              </w:rPr>
              <w:t>overeenkomst</w:t>
            </w:r>
            <w:r w:rsidRPr="00BA3F10">
              <w:t xml:space="preserve"> afgesloten worden tussen </w:t>
            </w:r>
            <w:r w:rsidRPr="008B61DB">
              <w:rPr>
                <w:i/>
              </w:rPr>
              <w:t>opdrachtnemer</w:t>
            </w:r>
            <w:r>
              <w:t xml:space="preserve"> </w:t>
            </w:r>
            <w:r w:rsidRPr="00BA3F10">
              <w:t xml:space="preserve">en </w:t>
            </w:r>
            <w:r w:rsidRPr="00DF4202">
              <w:rPr>
                <w:i/>
              </w:rPr>
              <w:t>deelnemer</w:t>
            </w:r>
            <w:r w:rsidRPr="00BA3F10">
              <w:t>.</w:t>
            </w:r>
          </w:p>
        </w:tc>
      </w:tr>
      <w:tr w:rsidR="00E56DEE" w:rsidRPr="00BA3F10" w:rsidTr="00E56DEE">
        <w:tc>
          <w:tcPr>
            <w:tcW w:w="1728" w:type="dxa"/>
          </w:tcPr>
          <w:p w:rsidR="00E56DEE" w:rsidRPr="00BA3F10" w:rsidRDefault="00E56DEE" w:rsidP="00E56DEE">
            <w:r w:rsidRPr="00BA3F10">
              <w:t>Com-eis</w:t>
            </w:r>
            <w:r>
              <w:t>-12</w:t>
            </w:r>
          </w:p>
        </w:tc>
        <w:tc>
          <w:tcPr>
            <w:tcW w:w="7496" w:type="dxa"/>
          </w:tcPr>
          <w:p w:rsidR="00E56DEE" w:rsidRPr="00BA3F10" w:rsidRDefault="00E56DEE" w:rsidP="00E56DEE">
            <w:r>
              <w:t>E</w:t>
            </w:r>
            <w:r w:rsidRPr="00802794">
              <w:t xml:space="preserve">en nadere </w:t>
            </w:r>
            <w:r w:rsidRPr="00802794">
              <w:rPr>
                <w:i/>
              </w:rPr>
              <w:t>overeenkomst</w:t>
            </w:r>
            <w:r w:rsidRPr="00802794">
              <w:t xml:space="preserve"> kan </w:t>
            </w:r>
            <w:r w:rsidR="006E7075">
              <w:t xml:space="preserve">worden </w:t>
            </w:r>
            <w:r w:rsidRPr="00802794">
              <w:t xml:space="preserve">afgesloten tot op de laatste dag </w:t>
            </w:r>
            <w:r>
              <w:t>vóór het be</w:t>
            </w:r>
            <w:r w:rsidRPr="00802794">
              <w:t>ë</w:t>
            </w:r>
            <w:r>
              <w:t>i</w:t>
            </w:r>
            <w:r w:rsidRPr="00802794">
              <w:t>n</w:t>
            </w:r>
            <w:r>
              <w:t>digen</w:t>
            </w:r>
            <w:r w:rsidRPr="00802794">
              <w:t xml:space="preserve"> van de </w:t>
            </w:r>
            <w:r w:rsidRPr="00802794">
              <w:rPr>
                <w:i/>
              </w:rPr>
              <w:t>raamovereenkomst</w:t>
            </w:r>
            <w:r w:rsidRPr="00802794">
              <w:t>.</w:t>
            </w:r>
          </w:p>
        </w:tc>
      </w:tr>
      <w:tr w:rsidR="00E56DEE" w:rsidRPr="00BA3F10" w:rsidTr="00E56DEE">
        <w:tc>
          <w:tcPr>
            <w:tcW w:w="1728" w:type="dxa"/>
          </w:tcPr>
          <w:p w:rsidR="00E56DEE" w:rsidRPr="00802794" w:rsidRDefault="00E56DEE" w:rsidP="00E56DEE">
            <w:r w:rsidRPr="00802794">
              <w:t>Com-eis-13</w:t>
            </w:r>
          </w:p>
        </w:tc>
        <w:tc>
          <w:tcPr>
            <w:tcW w:w="7496" w:type="dxa"/>
          </w:tcPr>
          <w:p w:rsidR="00E56DEE" w:rsidRPr="00BA3F10" w:rsidRDefault="00E56DEE" w:rsidP="00E56DEE">
            <w:pPr>
              <w:rPr>
                <w:b/>
              </w:rPr>
            </w:pPr>
            <w:r w:rsidRPr="008B61DB">
              <w:rPr>
                <w:i/>
              </w:rPr>
              <w:t>Inschrijver</w:t>
            </w:r>
            <w:r w:rsidRPr="00BA3F10">
              <w:t xml:space="preserve"> gaat ermee akkoord dat </w:t>
            </w:r>
            <w:r w:rsidRPr="008B61DB">
              <w:rPr>
                <w:i/>
              </w:rPr>
              <w:t>opdrachtgever</w:t>
            </w:r>
            <w:r w:rsidRPr="00BA3F10">
              <w:t xml:space="preserve"> kiest voor het systeem waarbij </w:t>
            </w:r>
            <w:r w:rsidRPr="00C7586E">
              <w:rPr>
                <w:i/>
              </w:rPr>
              <w:t>nadere</w:t>
            </w:r>
            <w:r w:rsidRPr="00BA3F10">
              <w:t xml:space="preserve"> </w:t>
            </w:r>
            <w:r w:rsidRPr="008B61DB">
              <w:rPr>
                <w:i/>
              </w:rPr>
              <w:t>overeenkomsten</w:t>
            </w:r>
            <w:r w:rsidRPr="00BA3F10">
              <w:t xml:space="preserve"> die afgesloten worden tot en met 31-12-2012 een looptijd krijgen van 66 maanden en </w:t>
            </w:r>
            <w:r w:rsidRPr="00C7586E">
              <w:rPr>
                <w:i/>
              </w:rPr>
              <w:t>nadere</w:t>
            </w:r>
            <w:r w:rsidRPr="00BA3F10">
              <w:t xml:space="preserve"> </w:t>
            </w:r>
            <w:r w:rsidRPr="008B61DB">
              <w:rPr>
                <w:i/>
              </w:rPr>
              <w:t>overeenkomsten</w:t>
            </w:r>
            <w:r w:rsidRPr="00BA3F10">
              <w:t xml:space="preserve"> die afgesloten worden vanaf 1 januari 2013 een looptijd krijgen van 54 maanden. </w:t>
            </w:r>
            <w:r>
              <w:t xml:space="preserve">Opdrachtgever heeft het recht de </w:t>
            </w:r>
            <w:r w:rsidRPr="00C7586E">
              <w:rPr>
                <w:i/>
              </w:rPr>
              <w:t>nadere</w:t>
            </w:r>
            <w:r>
              <w:t xml:space="preserve"> overeenkomsten te verlengen voor een periode van maximaal tweemaal (2x) drie maanden.</w:t>
            </w:r>
          </w:p>
        </w:tc>
      </w:tr>
      <w:tr w:rsidR="00E56DEE" w:rsidRPr="00BA3F10" w:rsidTr="00E56DEE">
        <w:tc>
          <w:tcPr>
            <w:tcW w:w="1728" w:type="dxa"/>
          </w:tcPr>
          <w:p w:rsidR="00E56DEE" w:rsidRPr="00BA3F10" w:rsidRDefault="00E56DEE" w:rsidP="00E56DEE">
            <w:r w:rsidRPr="00BA3F10">
              <w:t>Com-eis-</w:t>
            </w:r>
            <w:r>
              <w:t>14</w:t>
            </w:r>
          </w:p>
        </w:tc>
        <w:tc>
          <w:tcPr>
            <w:tcW w:w="7496" w:type="dxa"/>
          </w:tcPr>
          <w:p w:rsidR="001517BB" w:rsidRDefault="00E56DEE" w:rsidP="00E56DEE">
            <w:r w:rsidRPr="00BA3F10">
              <w:t xml:space="preserve">Zowel op 31 december 2012 als op 1 januari 2013 zullen er veel huidige </w:t>
            </w:r>
            <w:r w:rsidRPr="00BA3F10">
              <w:rPr>
                <w:i/>
              </w:rPr>
              <w:t>overeenkomsten</w:t>
            </w:r>
            <w:r w:rsidRPr="00BA3F10">
              <w:t xml:space="preserve"> verlopen en zullen de scholen een nieuwe </w:t>
            </w:r>
            <w:r w:rsidRPr="00C7586E">
              <w:rPr>
                <w:i/>
              </w:rPr>
              <w:t>nadere</w:t>
            </w:r>
            <w:r w:rsidRPr="00BA3F10">
              <w:t xml:space="preserve"> </w:t>
            </w:r>
            <w:r w:rsidRPr="00BA3F10">
              <w:rPr>
                <w:i/>
              </w:rPr>
              <w:t>overeenkomst</w:t>
            </w:r>
            <w:r w:rsidRPr="00BA3F10">
              <w:t xml:space="preserve"> aangaan met de winnaar van deze aanbesteding. Mocht het onverhoopt voorkomen dat er een school is die </w:t>
            </w:r>
            <w:smartTag w:uri="urn:schemas-microsoft-com:office:smarttags" w:element="metricconverter">
              <w:smartTagPr>
                <w:attr w:name="ProductID" w:val="1 a"/>
              </w:smartTagPr>
              <w:r w:rsidRPr="00BA3F10">
                <w:t>1 a</w:t>
              </w:r>
            </w:smartTag>
            <w:r w:rsidRPr="00BA3F10">
              <w:t xml:space="preserve">pparaat heeft staan met een einddatum van 31 december 2012 en een ander apparaat met een einddatum van 1 januari 2013 dan zal </w:t>
            </w:r>
            <w:r w:rsidRPr="00BA3F10">
              <w:rPr>
                <w:i/>
              </w:rPr>
              <w:t>inschrijver</w:t>
            </w:r>
            <w:r w:rsidRPr="00BA3F10">
              <w:t xml:space="preserve"> de nieuwe </w:t>
            </w:r>
            <w:r w:rsidRPr="00C7586E">
              <w:rPr>
                <w:i/>
              </w:rPr>
              <w:t>nadere</w:t>
            </w:r>
            <w:r w:rsidRPr="00BA3F10">
              <w:t xml:space="preserve"> </w:t>
            </w:r>
            <w:r w:rsidRPr="00BA3F10">
              <w:rPr>
                <w:i/>
              </w:rPr>
              <w:t>overeenkomsten</w:t>
            </w:r>
            <w:r w:rsidRPr="00BA3F10">
              <w:t xml:space="preserve"> in beide gevallen afsluiten voor een periode van 54 maanden. </w:t>
            </w:r>
          </w:p>
          <w:p w:rsidR="006E7075" w:rsidRDefault="00E56DEE" w:rsidP="00E56DEE">
            <w:r w:rsidRPr="00BA3F10">
              <w:t xml:space="preserve">Dit ter voorkoming van een groot verschil in looptijd van de </w:t>
            </w:r>
            <w:r w:rsidRPr="00BA3F10">
              <w:rPr>
                <w:i/>
              </w:rPr>
              <w:t>overeenkomsten</w:t>
            </w:r>
            <w:r w:rsidRPr="00BA3F10">
              <w:t xml:space="preserve"> op verschillende apparaten binnen </w:t>
            </w:r>
            <w:r>
              <w:t>de</w:t>
            </w:r>
            <w:r w:rsidRPr="00BA3F10">
              <w:t xml:space="preserve"> locatie</w:t>
            </w:r>
            <w:r>
              <w:t xml:space="preserve"> van 1 deelnemer</w:t>
            </w:r>
            <w:r w:rsidRPr="00BA3F10">
              <w:t>.</w:t>
            </w:r>
          </w:p>
          <w:p w:rsidR="005F26E7" w:rsidRPr="00BA3F10" w:rsidRDefault="005F26E7" w:rsidP="00E56DEE"/>
        </w:tc>
      </w:tr>
      <w:tr w:rsidR="00E56DEE" w:rsidRPr="00BA3F10" w:rsidTr="00E56DEE">
        <w:tc>
          <w:tcPr>
            <w:tcW w:w="1728" w:type="dxa"/>
          </w:tcPr>
          <w:p w:rsidR="00E56DEE" w:rsidRPr="00BA3F10" w:rsidRDefault="00E56DEE" w:rsidP="00E56DEE">
            <w:r w:rsidRPr="00BA3F10">
              <w:lastRenderedPageBreak/>
              <w:t>Com-eis-1</w:t>
            </w:r>
            <w:r>
              <w:t>5</w:t>
            </w:r>
          </w:p>
        </w:tc>
        <w:tc>
          <w:tcPr>
            <w:tcW w:w="7496" w:type="dxa"/>
          </w:tcPr>
          <w:p w:rsidR="00E56DEE" w:rsidRPr="00BA3F10" w:rsidRDefault="00E56DEE" w:rsidP="00E56DEE">
            <w:r>
              <w:t>De levertijd van alle apparatuur</w:t>
            </w:r>
            <w:r w:rsidRPr="00BA3F10">
              <w:t xml:space="preserve"> </w:t>
            </w:r>
            <w:r w:rsidR="006E7075">
              <w:t xml:space="preserve">binnen </w:t>
            </w:r>
            <w:r w:rsidRPr="00BA3F10">
              <w:t>de</w:t>
            </w:r>
            <w:r w:rsidR="006E7075">
              <w:t xml:space="preserve"> </w:t>
            </w:r>
            <w:r w:rsidR="006E7075" w:rsidRPr="006E7075">
              <w:rPr>
                <w:i/>
              </w:rPr>
              <w:t>raamovereenkomst</w:t>
            </w:r>
            <w:r w:rsidR="006E7075">
              <w:rPr>
                <w:i/>
              </w:rPr>
              <w:t xml:space="preserve"> </w:t>
            </w:r>
            <w:r w:rsidR="006E7075">
              <w:t>die naar aanleiding van de</w:t>
            </w:r>
            <w:r w:rsidRPr="006E7075">
              <w:rPr>
                <w:i/>
              </w:rPr>
              <w:t>ze</w:t>
            </w:r>
            <w:r w:rsidRPr="00BA3F10">
              <w:t xml:space="preserve"> aanbesteding </w:t>
            </w:r>
            <w:r w:rsidR="006E7075">
              <w:t xml:space="preserve">wordt afgesloten, </w:t>
            </w:r>
            <w:r w:rsidRPr="00BA3F10">
              <w:t>is maximaal 6 weken na bestelling (schriftelijk).</w:t>
            </w:r>
          </w:p>
        </w:tc>
      </w:tr>
      <w:tr w:rsidR="00E56DEE" w:rsidRPr="00BA3F10" w:rsidTr="00E56DEE">
        <w:tc>
          <w:tcPr>
            <w:tcW w:w="1728" w:type="dxa"/>
          </w:tcPr>
          <w:p w:rsidR="00E56DEE" w:rsidRPr="00BA3F10" w:rsidRDefault="00E56DEE" w:rsidP="00E56DEE">
            <w:r>
              <w:t>Com-eis-16</w:t>
            </w:r>
          </w:p>
        </w:tc>
        <w:tc>
          <w:tcPr>
            <w:tcW w:w="7496" w:type="dxa"/>
          </w:tcPr>
          <w:p w:rsidR="00E56DEE" w:rsidRPr="00BA3F10" w:rsidRDefault="00E56DEE" w:rsidP="00E56DEE">
            <w:r w:rsidRPr="0090409A">
              <w:rPr>
                <w:i/>
              </w:rPr>
              <w:t>Inschrijver</w:t>
            </w:r>
            <w:r>
              <w:t xml:space="preserve"> dient een </w:t>
            </w:r>
            <w:r w:rsidRPr="007F387B">
              <w:rPr>
                <w:i/>
              </w:rPr>
              <w:t>netwerkinventarisatie</w:t>
            </w:r>
            <w:r w:rsidRPr="00F62173">
              <w:rPr>
                <w:i/>
              </w:rPr>
              <w:t xml:space="preserve"> formulier</w:t>
            </w:r>
            <w:r>
              <w:t xml:space="preserve"> gelijktijdig met de aanbestedingsdocumenten aan te leveren. Dit formulier wordt door </w:t>
            </w:r>
            <w:r>
              <w:rPr>
                <w:i/>
              </w:rPr>
              <w:t>o</w:t>
            </w:r>
            <w:r w:rsidRPr="0090409A">
              <w:rPr>
                <w:i/>
              </w:rPr>
              <w:t>pdrachtnemer</w:t>
            </w:r>
            <w:r>
              <w:t xml:space="preserve"> naar de besteller van een Multifunctioneel Afdrukapparaat gestuurd ten behoeve van de inventarisatie van de van toepassing zijnde netwerkgegevens.</w:t>
            </w:r>
          </w:p>
        </w:tc>
      </w:tr>
      <w:tr w:rsidR="00E56DEE" w:rsidRPr="00BA3F10" w:rsidTr="00E56DEE">
        <w:tc>
          <w:tcPr>
            <w:tcW w:w="1728" w:type="dxa"/>
          </w:tcPr>
          <w:p w:rsidR="00E56DEE" w:rsidRPr="00BA3F10" w:rsidRDefault="00E56DEE" w:rsidP="00E56DEE">
            <w:r w:rsidRPr="00BA3F10">
              <w:t>Com-eis-</w:t>
            </w:r>
            <w:r>
              <w:t>17</w:t>
            </w:r>
          </w:p>
        </w:tc>
        <w:tc>
          <w:tcPr>
            <w:tcW w:w="7496" w:type="dxa"/>
          </w:tcPr>
          <w:p w:rsidR="00E56DEE" w:rsidRPr="00BA3F10" w:rsidRDefault="00E56DEE" w:rsidP="00E56DEE">
            <w:r w:rsidRPr="00BA3F10">
              <w:t xml:space="preserve">Naast de standaard geëiste functionaliteiten dienen tevens aanvullende opties geleverd </w:t>
            </w:r>
            <w:r w:rsidR="006E7075">
              <w:t xml:space="preserve">te </w:t>
            </w:r>
            <w:r w:rsidRPr="00BA3F10">
              <w:t xml:space="preserve">kunnen worden op de verschillende machines. De mogelijke opties zijn weergegeven in </w:t>
            </w:r>
            <w:r w:rsidRPr="009802DB">
              <w:rPr>
                <w:i/>
              </w:rPr>
              <w:t>bijlage</w:t>
            </w:r>
            <w:r w:rsidRPr="00BA3F10">
              <w:t xml:space="preserve"> </w:t>
            </w:r>
            <w:r>
              <w:t>9, dat bij</w:t>
            </w:r>
            <w:r w:rsidRPr="00BA3F10">
              <w:t xml:space="preserve"> dit document is gevoegd. </w:t>
            </w:r>
            <w:r w:rsidRPr="008B61DB">
              <w:rPr>
                <w:i/>
              </w:rPr>
              <w:t>Inschrijver</w:t>
            </w:r>
            <w:r>
              <w:t xml:space="preserve"> dient voor deze opties het huurbedrag per maand per machine te vermelden. </w:t>
            </w:r>
            <w:r w:rsidRPr="00BA3F10">
              <w:t xml:space="preserve">Mochten er op de aangeboden machines meer opties beschikbaar zijn dan degene die reeds door </w:t>
            </w:r>
            <w:r w:rsidRPr="008B61DB">
              <w:rPr>
                <w:i/>
              </w:rPr>
              <w:t>opdrachtgever</w:t>
            </w:r>
            <w:r w:rsidRPr="00BA3F10">
              <w:t xml:space="preserve"> uitgevraagd zijn, en een gebruiker zou van een van deze andere opties gebruik willen maken dan zal </w:t>
            </w:r>
            <w:r w:rsidRPr="00BA3F10">
              <w:rPr>
                <w:i/>
              </w:rPr>
              <w:t>inschrijver</w:t>
            </w:r>
            <w:r w:rsidRPr="00BA3F10">
              <w:t xml:space="preserve"> deze aanbieden tegen een tarief dat in juiste verhouding staat tot de tarieven die door </w:t>
            </w:r>
            <w:r w:rsidRPr="00BA3F10">
              <w:rPr>
                <w:i/>
              </w:rPr>
              <w:t>inschrijver</w:t>
            </w:r>
            <w:r w:rsidRPr="00BA3F10">
              <w:t xml:space="preserve"> geoffreerd worden naar aanleiding van deze aanbesteding.</w:t>
            </w:r>
          </w:p>
        </w:tc>
      </w:tr>
      <w:tr w:rsidR="00E56DEE" w:rsidRPr="00BA3F10" w:rsidTr="00E56DEE">
        <w:tc>
          <w:tcPr>
            <w:tcW w:w="1728" w:type="dxa"/>
          </w:tcPr>
          <w:p w:rsidR="00E56DEE" w:rsidRPr="00BA3F10" w:rsidRDefault="00E56DEE" w:rsidP="00E56DEE">
            <w:r w:rsidRPr="00BA3F10">
              <w:t>Com-eis-1</w:t>
            </w:r>
            <w:r>
              <w:t>8</w:t>
            </w:r>
          </w:p>
        </w:tc>
        <w:tc>
          <w:tcPr>
            <w:tcW w:w="7496" w:type="dxa"/>
          </w:tcPr>
          <w:p w:rsidR="00E56DEE" w:rsidRPr="00BA3F10" w:rsidRDefault="00E56DEE" w:rsidP="00E56DEE">
            <w:r w:rsidRPr="00BA3F10">
              <w:rPr>
                <w:i/>
              </w:rPr>
              <w:t>Opdrachtgever</w:t>
            </w:r>
            <w:r w:rsidRPr="00BA3F10">
              <w:t xml:space="preserve"> eist de mogelijkheid tot conversie van 10% gerekend over het gehele machinepark van </w:t>
            </w:r>
            <w:r>
              <w:rPr>
                <w:i/>
              </w:rPr>
              <w:t>o</w:t>
            </w:r>
            <w:r w:rsidRPr="008B61DB">
              <w:rPr>
                <w:i/>
              </w:rPr>
              <w:t>pdrachtgever</w:t>
            </w:r>
            <w:r w:rsidRPr="00BA3F10">
              <w:t xml:space="preserve">. Dit houdt in dat </w:t>
            </w:r>
            <w:r w:rsidRPr="008B61DB">
              <w:rPr>
                <w:i/>
              </w:rPr>
              <w:t>opdrachtgever</w:t>
            </w:r>
            <w:r w:rsidRPr="00BA3F10">
              <w:t xml:space="preserve"> gerechtigd is om gedurende de </w:t>
            </w:r>
            <w:r>
              <w:t xml:space="preserve">totale </w:t>
            </w:r>
            <w:r w:rsidRPr="00BA3F10">
              <w:t xml:space="preserve">duur van de </w:t>
            </w:r>
            <w:r w:rsidRPr="00C7586E">
              <w:rPr>
                <w:i/>
              </w:rPr>
              <w:t>raamovereenkomst</w:t>
            </w:r>
            <w:r>
              <w:t xml:space="preserve"> en </w:t>
            </w:r>
            <w:r w:rsidRPr="00C7586E">
              <w:rPr>
                <w:i/>
              </w:rPr>
              <w:t>nadere</w:t>
            </w:r>
            <w:r w:rsidRPr="00BA3F10">
              <w:t xml:space="preserve"> </w:t>
            </w:r>
            <w:r w:rsidRPr="00BA3F10">
              <w:rPr>
                <w:i/>
              </w:rPr>
              <w:t>overeenkomsten</w:t>
            </w:r>
            <w:r w:rsidRPr="00BA3F10">
              <w:t xml:space="preserve"> 10% van de apparaten binnen het totale contractvolume van </w:t>
            </w:r>
            <w:r w:rsidRPr="00BA3F10">
              <w:rPr>
                <w:i/>
              </w:rPr>
              <w:t>opdrachtgever</w:t>
            </w:r>
            <w:r w:rsidRPr="00BA3F10">
              <w:t xml:space="preserve"> in te leveren of om te wisselen, zonder dat dit invloed heeft op de overeengekomen tarieven. Voor het inleveren van een apparaat </w:t>
            </w:r>
            <w:r>
              <w:t xml:space="preserve">voordat de looptijd van de </w:t>
            </w:r>
            <w:r w:rsidRPr="00C7586E">
              <w:rPr>
                <w:i/>
              </w:rPr>
              <w:t>nadere</w:t>
            </w:r>
            <w:r>
              <w:t xml:space="preserve"> </w:t>
            </w:r>
            <w:r w:rsidRPr="008B61DB">
              <w:rPr>
                <w:i/>
              </w:rPr>
              <w:t>overeenkomst</w:t>
            </w:r>
            <w:r>
              <w:t xml:space="preserve"> officieel verlopen is, </w:t>
            </w:r>
            <w:r w:rsidRPr="00BA3F10">
              <w:t xml:space="preserve">zal in dit geval geen afkoop betaald hoeven te worden door </w:t>
            </w:r>
            <w:r w:rsidRPr="00BA3F10">
              <w:rPr>
                <w:i/>
              </w:rPr>
              <w:t>opdrachtgever</w:t>
            </w:r>
            <w:r w:rsidRPr="00BA3F10">
              <w:t xml:space="preserve"> en/of gebruikers. Indien een gebruiker ervoor kiest een ander apparaat te laten plaatsen zal er voor dit nieuwe apparaat een nieuwe </w:t>
            </w:r>
            <w:r w:rsidRPr="00C7586E">
              <w:rPr>
                <w:i/>
              </w:rPr>
              <w:t>nadere</w:t>
            </w:r>
            <w:r w:rsidRPr="00BA3F10">
              <w:t xml:space="preserve"> </w:t>
            </w:r>
            <w:r w:rsidRPr="00BA3F10">
              <w:rPr>
                <w:i/>
              </w:rPr>
              <w:t>overeenkomst</w:t>
            </w:r>
            <w:r w:rsidRPr="00BA3F10">
              <w:t xml:space="preserve"> afgesloten worden. Afhankelijk van de ingangsdatum van de nieuwe </w:t>
            </w:r>
            <w:r w:rsidRPr="00C7586E">
              <w:rPr>
                <w:i/>
              </w:rPr>
              <w:t>nadere</w:t>
            </w:r>
            <w:r w:rsidRPr="00BA3F10">
              <w:t xml:space="preserve"> </w:t>
            </w:r>
            <w:r w:rsidRPr="00BA3F10">
              <w:rPr>
                <w:i/>
              </w:rPr>
              <w:t>overeenkomst</w:t>
            </w:r>
            <w:r w:rsidRPr="00BA3F10">
              <w:t xml:space="preserve"> wordt deze afgesloten voor een periode van 54 of 66 maanden. </w:t>
            </w:r>
          </w:p>
        </w:tc>
      </w:tr>
      <w:tr w:rsidR="00E56DEE" w:rsidRPr="00BA3F10" w:rsidTr="00E56DEE">
        <w:tc>
          <w:tcPr>
            <w:tcW w:w="1728" w:type="dxa"/>
          </w:tcPr>
          <w:p w:rsidR="00E56DEE" w:rsidRPr="00BA3F10" w:rsidRDefault="00E56DEE" w:rsidP="00E56DEE">
            <w:r w:rsidRPr="00BA3F10">
              <w:t>Com-eis-1</w:t>
            </w:r>
            <w:r>
              <w:t>9</w:t>
            </w:r>
          </w:p>
        </w:tc>
        <w:tc>
          <w:tcPr>
            <w:tcW w:w="7496" w:type="dxa"/>
          </w:tcPr>
          <w:p w:rsidR="00E56DEE" w:rsidRPr="00BA3F10" w:rsidRDefault="00E56DEE" w:rsidP="00E56DEE">
            <w:r w:rsidRPr="00BA3F10">
              <w:t xml:space="preserve">Ook in het geval van faillissement of sluiting/samenvoeging van een van de </w:t>
            </w:r>
            <w:r w:rsidRPr="00DF4202">
              <w:rPr>
                <w:i/>
              </w:rPr>
              <w:t>deelnemer</w:t>
            </w:r>
            <w:r w:rsidRPr="00BA3F10">
              <w:t xml:space="preserve">s aan deze </w:t>
            </w:r>
            <w:r w:rsidRPr="00BA3F10">
              <w:rPr>
                <w:i/>
              </w:rPr>
              <w:t>overeenkomst</w:t>
            </w:r>
            <w:r w:rsidRPr="00BA3F10">
              <w:t xml:space="preserve"> kan gebruik gemaakt worden van de 10% conversie. </w:t>
            </w:r>
          </w:p>
        </w:tc>
      </w:tr>
      <w:tr w:rsidR="00E56DEE" w:rsidRPr="00BA3F10" w:rsidTr="00E56DEE">
        <w:tc>
          <w:tcPr>
            <w:tcW w:w="1728" w:type="dxa"/>
          </w:tcPr>
          <w:p w:rsidR="00E56DEE" w:rsidRPr="00BA3F10" w:rsidRDefault="00E56DEE" w:rsidP="00E56DEE">
            <w:r w:rsidRPr="00BA3F10">
              <w:t>Com-eis-</w:t>
            </w:r>
            <w:r>
              <w:t>20</w:t>
            </w:r>
          </w:p>
        </w:tc>
        <w:tc>
          <w:tcPr>
            <w:tcW w:w="7496" w:type="dxa"/>
          </w:tcPr>
          <w:p w:rsidR="00E56DEE" w:rsidRPr="00BA3F10" w:rsidRDefault="00E56DEE" w:rsidP="00E56DEE">
            <w:r w:rsidRPr="00BA3F10">
              <w:t xml:space="preserve">Conversie is mogelijk gedurende de gehele duur van de </w:t>
            </w:r>
            <w:r w:rsidRPr="00C7586E">
              <w:rPr>
                <w:i/>
              </w:rPr>
              <w:t>nadere</w:t>
            </w:r>
            <w:r w:rsidRPr="00BA3F10">
              <w:t xml:space="preserve"> </w:t>
            </w:r>
            <w:r w:rsidRPr="00BA3F10">
              <w:rPr>
                <w:i/>
              </w:rPr>
              <w:t>overeenkomsten</w:t>
            </w:r>
            <w:r w:rsidRPr="00BA3F10">
              <w:t xml:space="preserve"> met uitzondering van de laatste 12 maanden.</w:t>
            </w:r>
          </w:p>
        </w:tc>
      </w:tr>
      <w:tr w:rsidR="00E56DEE" w:rsidRPr="00BA3F10" w:rsidTr="00E56DEE">
        <w:tc>
          <w:tcPr>
            <w:tcW w:w="1728" w:type="dxa"/>
          </w:tcPr>
          <w:p w:rsidR="00E56DEE" w:rsidRPr="00BA3F10" w:rsidRDefault="00E56DEE" w:rsidP="00E56DEE">
            <w:r w:rsidRPr="00BA3F10">
              <w:t>Com-eis-</w:t>
            </w:r>
            <w:r>
              <w:t>21</w:t>
            </w:r>
          </w:p>
        </w:tc>
        <w:tc>
          <w:tcPr>
            <w:tcW w:w="7496" w:type="dxa"/>
          </w:tcPr>
          <w:p w:rsidR="00E56DEE" w:rsidRPr="00BA3F10" w:rsidRDefault="00E56DEE" w:rsidP="00E56DEE">
            <w:r w:rsidRPr="00BA3F10">
              <w:t xml:space="preserve">Het uitruilen of verhuizen van machines tussen locaties van </w:t>
            </w:r>
            <w:r w:rsidRPr="00BA3F10">
              <w:rPr>
                <w:i/>
              </w:rPr>
              <w:t>opdrachtgever</w:t>
            </w:r>
            <w:r w:rsidRPr="00BA3F10">
              <w:t xml:space="preserve"> onderling valt niet onder de 10% conversie.</w:t>
            </w:r>
          </w:p>
        </w:tc>
      </w:tr>
      <w:tr w:rsidR="00E56DEE" w:rsidRPr="00BA3F10" w:rsidTr="00E56DEE">
        <w:tc>
          <w:tcPr>
            <w:tcW w:w="1728" w:type="dxa"/>
          </w:tcPr>
          <w:p w:rsidR="00E56DEE" w:rsidRPr="00BA3F10" w:rsidRDefault="00E56DEE" w:rsidP="00E56DEE">
            <w:r w:rsidRPr="00BA3F10">
              <w:t>Com-eis-</w:t>
            </w:r>
            <w:r>
              <w:t>22</w:t>
            </w:r>
          </w:p>
        </w:tc>
        <w:tc>
          <w:tcPr>
            <w:tcW w:w="7496" w:type="dxa"/>
          </w:tcPr>
          <w:p w:rsidR="00E56DEE" w:rsidRPr="00BA3F10" w:rsidRDefault="00E56DEE" w:rsidP="00E56DEE">
            <w:r w:rsidRPr="00BA3F10">
              <w:t xml:space="preserve">In geval van juridische afscheiding van een van de </w:t>
            </w:r>
            <w:r w:rsidRPr="00DF4202">
              <w:rPr>
                <w:i/>
              </w:rPr>
              <w:t>deelnemer</w:t>
            </w:r>
            <w:r w:rsidRPr="00BA3F10">
              <w:t>s</w:t>
            </w:r>
            <w:r>
              <w:t xml:space="preserve"> (gespecificeerd per brinnummer)</w:t>
            </w:r>
            <w:r w:rsidRPr="00BA3F10">
              <w:t xml:space="preserve"> aan deze </w:t>
            </w:r>
            <w:r w:rsidRPr="00BA3F10">
              <w:rPr>
                <w:i/>
              </w:rPr>
              <w:t>overeenkomst</w:t>
            </w:r>
            <w:r w:rsidRPr="00BA3F10">
              <w:t xml:space="preserve"> van Lucas Onderwijs (</w:t>
            </w:r>
            <w:r w:rsidRPr="00BA3F10">
              <w:rPr>
                <w:i/>
              </w:rPr>
              <w:t>opdrachtgever</w:t>
            </w:r>
            <w:r w:rsidRPr="00BA3F10">
              <w:t xml:space="preserve">) zal de contractuele verplichting van </w:t>
            </w:r>
            <w:r w:rsidRPr="00BA3F10">
              <w:rPr>
                <w:i/>
              </w:rPr>
              <w:t>opdrachtgever</w:t>
            </w:r>
            <w:r w:rsidRPr="00BA3F10">
              <w:t xml:space="preserve"> komen te vervallen</w:t>
            </w:r>
            <w:r>
              <w:t xml:space="preserve"> en overgaan op de nieuwe rechtspersoon waaronder de </w:t>
            </w:r>
            <w:r w:rsidRPr="00DF4202">
              <w:rPr>
                <w:i/>
              </w:rPr>
              <w:t>deelnemer</w:t>
            </w:r>
            <w:r>
              <w:t xml:space="preserve"> (gespecificeerd per brinnummer) komt te vallen. </w:t>
            </w:r>
          </w:p>
        </w:tc>
      </w:tr>
      <w:tr w:rsidR="00E56DEE" w:rsidRPr="00BA3F10" w:rsidTr="00E56DEE">
        <w:tc>
          <w:tcPr>
            <w:tcW w:w="1728" w:type="dxa"/>
          </w:tcPr>
          <w:p w:rsidR="00E56DEE" w:rsidRPr="00BA3F10" w:rsidRDefault="00E56DEE" w:rsidP="00E56DEE"/>
        </w:tc>
        <w:tc>
          <w:tcPr>
            <w:tcW w:w="7496" w:type="dxa"/>
          </w:tcPr>
          <w:p w:rsidR="00E56DEE" w:rsidRPr="00BA3F10" w:rsidRDefault="00E56DEE" w:rsidP="00E56DEE"/>
        </w:tc>
      </w:tr>
      <w:tr w:rsidR="00E56DEE" w:rsidRPr="00BA3F10" w:rsidTr="00E56DEE">
        <w:tc>
          <w:tcPr>
            <w:tcW w:w="9224" w:type="dxa"/>
            <w:gridSpan w:val="2"/>
            <w:shd w:val="clear" w:color="auto" w:fill="E0E0E0"/>
          </w:tcPr>
          <w:p w:rsidR="00E56DEE" w:rsidRPr="00BA3F10" w:rsidRDefault="00E56DEE" w:rsidP="00E56DEE">
            <w:pPr>
              <w:rPr>
                <w:b/>
              </w:rPr>
            </w:pPr>
            <w:r w:rsidRPr="00BA3F10">
              <w:rPr>
                <w:b/>
              </w:rPr>
              <w:t>Opleiding</w:t>
            </w:r>
          </w:p>
        </w:tc>
      </w:tr>
      <w:tr w:rsidR="00E56DEE" w:rsidRPr="00BA3F10" w:rsidTr="00E56DEE">
        <w:tc>
          <w:tcPr>
            <w:tcW w:w="1728" w:type="dxa"/>
          </w:tcPr>
          <w:p w:rsidR="00E56DEE" w:rsidRPr="00BA3F10" w:rsidRDefault="00E56DEE" w:rsidP="00E56DEE"/>
        </w:tc>
        <w:tc>
          <w:tcPr>
            <w:tcW w:w="7496" w:type="dxa"/>
          </w:tcPr>
          <w:p w:rsidR="00E56DEE" w:rsidRPr="00BA3F10" w:rsidRDefault="00E56DEE" w:rsidP="00E56DEE"/>
        </w:tc>
      </w:tr>
      <w:tr w:rsidR="00E56DEE" w:rsidRPr="00BA3F10" w:rsidTr="00E56DEE">
        <w:tc>
          <w:tcPr>
            <w:tcW w:w="1728" w:type="dxa"/>
          </w:tcPr>
          <w:p w:rsidR="00E56DEE" w:rsidRPr="00BA3F10" w:rsidRDefault="00E56DEE" w:rsidP="00E56DEE">
            <w:r w:rsidRPr="00BA3F10">
              <w:t>Opl-eis-1</w:t>
            </w:r>
          </w:p>
        </w:tc>
        <w:tc>
          <w:tcPr>
            <w:tcW w:w="7496" w:type="dxa"/>
          </w:tcPr>
          <w:p w:rsidR="00E56DEE" w:rsidRPr="00BA3F10" w:rsidRDefault="00E56DEE" w:rsidP="00E56DEE">
            <w:pPr>
              <w:rPr>
                <w:i/>
              </w:rPr>
            </w:pPr>
            <w:r w:rsidRPr="00BA3F10">
              <w:rPr>
                <w:i/>
              </w:rPr>
              <w:t>Inschrijver</w:t>
            </w:r>
            <w:r w:rsidRPr="00BA3F10">
              <w:t xml:space="preserve"> dient bij plaatsing van een apparaat (XS tot en met L) op locatie</w:t>
            </w:r>
            <w:r>
              <w:t xml:space="preserve"> bij </w:t>
            </w:r>
            <w:r w:rsidRPr="00DF4202">
              <w:rPr>
                <w:i/>
              </w:rPr>
              <w:t>deelnemer</w:t>
            </w:r>
            <w:r w:rsidRPr="00BA3F10">
              <w:t xml:space="preserve"> een </w:t>
            </w:r>
            <w:r>
              <w:t>mondelinge instructie</w:t>
            </w:r>
            <w:r w:rsidRPr="00BA3F10">
              <w:t xml:space="preserve"> </w:t>
            </w:r>
            <w:r>
              <w:t xml:space="preserve">met demonstratie van de desbetreffende handelingen aan de desbetreffende machine </w:t>
            </w:r>
            <w:r w:rsidRPr="00BA3F10">
              <w:t>voor medewerkers</w:t>
            </w:r>
            <w:r>
              <w:t xml:space="preserve"> van </w:t>
            </w:r>
            <w:r w:rsidRPr="001D61AC">
              <w:rPr>
                <w:i/>
              </w:rPr>
              <w:t>deelnemer</w:t>
            </w:r>
            <w:r w:rsidRPr="00BA3F10">
              <w:t xml:space="preserve"> te verzorgen voor het gebruik van het apparaat en het oplossen van 1</w:t>
            </w:r>
            <w:r w:rsidRPr="00BA3F10">
              <w:rPr>
                <w:vertAlign w:val="superscript"/>
              </w:rPr>
              <w:t>e</w:t>
            </w:r>
            <w:r w:rsidRPr="00BA3F10">
              <w:t xml:space="preserve"> lijnstoringen. De kosten van deze </w:t>
            </w:r>
            <w:r>
              <w:t>instructie</w:t>
            </w:r>
            <w:r w:rsidRPr="00BA3F10">
              <w:t xml:space="preserve"> zijn voor rekening van </w:t>
            </w:r>
            <w:r w:rsidRPr="00BA3F10">
              <w:rPr>
                <w:i/>
              </w:rPr>
              <w:t>inschrijver</w:t>
            </w:r>
            <w:r w:rsidRPr="00BA3F10">
              <w:t xml:space="preserve">. Per locatie dienen er 2 personen </w:t>
            </w:r>
            <w:r>
              <w:t>geïnstrueerd</w:t>
            </w:r>
            <w:r w:rsidRPr="00BA3F10">
              <w:t xml:space="preserve"> te worden.</w:t>
            </w:r>
          </w:p>
        </w:tc>
      </w:tr>
      <w:tr w:rsidR="00E56DEE" w:rsidRPr="00BA3F10" w:rsidTr="00E56DEE">
        <w:tc>
          <w:tcPr>
            <w:tcW w:w="1728" w:type="dxa"/>
          </w:tcPr>
          <w:p w:rsidR="00E56DEE" w:rsidRPr="00BA3F10" w:rsidRDefault="00E56DEE" w:rsidP="00E56DEE">
            <w:r w:rsidRPr="00BA3F10">
              <w:t>Opl-eis-2</w:t>
            </w:r>
          </w:p>
        </w:tc>
        <w:tc>
          <w:tcPr>
            <w:tcW w:w="7496" w:type="dxa"/>
          </w:tcPr>
          <w:p w:rsidR="00E56DEE" w:rsidRDefault="00E56DEE" w:rsidP="00E56DEE">
            <w:r w:rsidRPr="00E56197">
              <w:rPr>
                <w:i/>
              </w:rPr>
              <w:t>Inschrijver</w:t>
            </w:r>
            <w:r w:rsidRPr="00BA3F10">
              <w:t xml:space="preserve"> dient bij plaatsing van repromachines (XL) ofwel op locatie van </w:t>
            </w:r>
            <w:r>
              <w:rPr>
                <w:i/>
              </w:rPr>
              <w:t>opdrachtnemer</w:t>
            </w:r>
            <w:r w:rsidRPr="00BA3F10">
              <w:t xml:space="preserve"> ofwel op de plaatsingslocatie een </w:t>
            </w:r>
            <w:r>
              <w:t>mondelinge instructie met demonstratie van de desbetreffende handelingen aan de desbetreffende machine</w:t>
            </w:r>
            <w:r w:rsidRPr="00BA3F10">
              <w:t xml:space="preserve"> voor medewerkers </w:t>
            </w:r>
            <w:r>
              <w:t xml:space="preserve">van </w:t>
            </w:r>
            <w:r w:rsidRPr="001D61AC">
              <w:rPr>
                <w:i/>
              </w:rPr>
              <w:t>deelnemer</w:t>
            </w:r>
            <w:r>
              <w:t xml:space="preserve"> </w:t>
            </w:r>
            <w:r w:rsidRPr="001D61AC">
              <w:t>te</w:t>
            </w:r>
            <w:r w:rsidRPr="00BA3F10">
              <w:t xml:space="preserve"> verzorgen met daarin minimaal een instructie met betrekking tot (intensief) gebruik van de apparatuur en het oplossen van 1</w:t>
            </w:r>
            <w:r w:rsidRPr="00BA3F10">
              <w:rPr>
                <w:vertAlign w:val="superscript"/>
              </w:rPr>
              <w:t>e</w:t>
            </w:r>
            <w:r w:rsidRPr="00BA3F10">
              <w:t xml:space="preserve"> lijnstoringen. De kosten van deze </w:t>
            </w:r>
            <w:r>
              <w:t>instructie</w:t>
            </w:r>
            <w:r w:rsidRPr="00BA3F10">
              <w:t xml:space="preserve"> zijn voor rekening van </w:t>
            </w:r>
            <w:r w:rsidRPr="00E56197">
              <w:rPr>
                <w:i/>
              </w:rPr>
              <w:t>inschrijver</w:t>
            </w:r>
            <w:r w:rsidRPr="00BA3F10">
              <w:t>. Per locatie dienen er 2 personen opgeleid te worden.</w:t>
            </w:r>
          </w:p>
          <w:p w:rsidR="001517BB" w:rsidRDefault="001517BB" w:rsidP="00E56DEE"/>
          <w:p w:rsidR="001517BB" w:rsidRPr="00BA3F10" w:rsidRDefault="001517BB" w:rsidP="00E56DEE"/>
        </w:tc>
      </w:tr>
      <w:tr w:rsidR="00E56DEE" w:rsidRPr="00BA3F10" w:rsidTr="00E56DEE">
        <w:tc>
          <w:tcPr>
            <w:tcW w:w="1728" w:type="dxa"/>
          </w:tcPr>
          <w:p w:rsidR="00E56DEE" w:rsidRPr="00BA3F10" w:rsidRDefault="00E56DEE" w:rsidP="00E56DEE">
            <w:r w:rsidRPr="00BA3F10">
              <w:lastRenderedPageBreak/>
              <w:t>Opl-eis-3</w:t>
            </w:r>
          </w:p>
        </w:tc>
        <w:tc>
          <w:tcPr>
            <w:tcW w:w="7496" w:type="dxa"/>
          </w:tcPr>
          <w:p w:rsidR="00E56DEE" w:rsidRPr="00BA3F10" w:rsidRDefault="00E56DEE" w:rsidP="00E56DEE">
            <w:r w:rsidRPr="00BA3F10">
              <w:t xml:space="preserve">Geef op </w:t>
            </w:r>
            <w:r w:rsidRPr="009802DB">
              <w:rPr>
                <w:i/>
              </w:rPr>
              <w:t>bijlage</w:t>
            </w:r>
            <w:r w:rsidRPr="00BA3F10">
              <w:t xml:space="preserve"> </w:t>
            </w:r>
            <w:r>
              <w:t>9 a</w:t>
            </w:r>
            <w:r w:rsidRPr="00BA3F10">
              <w:t xml:space="preserve">an wat de kosten per persoon zijn indien er meer dan 2 personen een </w:t>
            </w:r>
            <w:r>
              <w:t>instructie</w:t>
            </w:r>
            <w:r w:rsidRPr="00BA3F10">
              <w:t xml:space="preserve"> dienen te krijgen met betrekking tot het gebruik van de machine en het oplossen van 1</w:t>
            </w:r>
            <w:r w:rsidRPr="00BA3F10">
              <w:rPr>
                <w:vertAlign w:val="superscript"/>
              </w:rPr>
              <w:t>e</w:t>
            </w:r>
            <w:r w:rsidRPr="00BA3F10">
              <w:t xml:space="preserve"> lijnstoringen. De kosten dienen per machine weergegeven te worden.</w:t>
            </w:r>
          </w:p>
        </w:tc>
      </w:tr>
      <w:tr w:rsidR="00E56DEE" w:rsidRPr="00BA3F10" w:rsidTr="00E56DEE">
        <w:tc>
          <w:tcPr>
            <w:tcW w:w="1728" w:type="dxa"/>
          </w:tcPr>
          <w:p w:rsidR="00E56DEE" w:rsidRPr="00BA3F10" w:rsidDel="002E3AF7" w:rsidRDefault="00E56DEE" w:rsidP="00E56DEE">
            <w:r w:rsidRPr="00BA3F10">
              <w:t>Opl-eis-4</w:t>
            </w:r>
          </w:p>
        </w:tc>
        <w:tc>
          <w:tcPr>
            <w:tcW w:w="7496" w:type="dxa"/>
          </w:tcPr>
          <w:p w:rsidR="00E56DEE" w:rsidRPr="00BA3F10" w:rsidDel="002E3AF7" w:rsidRDefault="00E56DEE" w:rsidP="00E56DEE">
            <w:r w:rsidRPr="00BA3F10">
              <w:t xml:space="preserve">Bij elke nieuw te plaatsen machine levert </w:t>
            </w:r>
            <w:r w:rsidRPr="00E56197">
              <w:rPr>
                <w:i/>
              </w:rPr>
              <w:t>inschrijver</w:t>
            </w:r>
            <w:r w:rsidRPr="00BA3F10">
              <w:t xml:space="preserve"> documentatie m.b.t. de specificaties en het gebruik van de betreffende machine aan. Bovendien wordt er een factsheet op A4 formaat (geplastificeerd) geleverd waar de gebruikersinstructie op vermeld staat. Deze factsheet dient de basisinstructies voor het gebruik van de machine weer te geven. De factsheet hoeft niet geleverd te worden voor het type XL.</w:t>
            </w:r>
          </w:p>
        </w:tc>
      </w:tr>
      <w:tr w:rsidR="00E56DEE" w:rsidRPr="00BA3F10" w:rsidTr="00E56DEE">
        <w:tc>
          <w:tcPr>
            <w:tcW w:w="1728" w:type="dxa"/>
          </w:tcPr>
          <w:p w:rsidR="00E56DEE" w:rsidRPr="00BA3F10" w:rsidRDefault="00E56DEE" w:rsidP="00E56DEE"/>
        </w:tc>
        <w:tc>
          <w:tcPr>
            <w:tcW w:w="7496" w:type="dxa"/>
          </w:tcPr>
          <w:p w:rsidR="00E56DEE" w:rsidRPr="00BA3F10" w:rsidRDefault="00E56DEE" w:rsidP="00E56DEE"/>
        </w:tc>
      </w:tr>
      <w:tr w:rsidR="00E56DEE" w:rsidRPr="00BA3F10" w:rsidTr="00E56DEE">
        <w:tc>
          <w:tcPr>
            <w:tcW w:w="9224" w:type="dxa"/>
            <w:gridSpan w:val="2"/>
            <w:shd w:val="clear" w:color="auto" w:fill="E0E0E0"/>
          </w:tcPr>
          <w:p w:rsidR="00E56DEE" w:rsidRPr="00BA3F10" w:rsidRDefault="00E56DEE" w:rsidP="00E56DEE">
            <w:pPr>
              <w:rPr>
                <w:i/>
              </w:rPr>
            </w:pPr>
            <w:r w:rsidRPr="00BA3F10">
              <w:t>Facturatie</w:t>
            </w:r>
          </w:p>
        </w:tc>
      </w:tr>
      <w:tr w:rsidR="00E56DEE" w:rsidRPr="00BA3F10" w:rsidTr="00E56DEE">
        <w:tc>
          <w:tcPr>
            <w:tcW w:w="1728" w:type="dxa"/>
          </w:tcPr>
          <w:p w:rsidR="00E56DEE" w:rsidRPr="00BA3F10" w:rsidRDefault="00E56DEE" w:rsidP="00E56DEE"/>
        </w:tc>
        <w:tc>
          <w:tcPr>
            <w:tcW w:w="7496" w:type="dxa"/>
          </w:tcPr>
          <w:p w:rsidR="00E56DEE" w:rsidRPr="00BA3F10" w:rsidRDefault="00E56DEE" w:rsidP="00E56DEE">
            <w:pPr>
              <w:rPr>
                <w:i/>
              </w:rPr>
            </w:pPr>
          </w:p>
        </w:tc>
      </w:tr>
      <w:tr w:rsidR="00E56DEE" w:rsidRPr="00BA3F10" w:rsidTr="00E56DEE">
        <w:tc>
          <w:tcPr>
            <w:tcW w:w="1728" w:type="dxa"/>
          </w:tcPr>
          <w:p w:rsidR="00E56DEE" w:rsidRPr="00BA3F10" w:rsidRDefault="00E56DEE" w:rsidP="00E56DEE">
            <w:r w:rsidRPr="00BA3F10">
              <w:t>Fac-eis-1</w:t>
            </w:r>
          </w:p>
        </w:tc>
        <w:tc>
          <w:tcPr>
            <w:tcW w:w="7496" w:type="dxa"/>
          </w:tcPr>
          <w:p w:rsidR="00E56DEE" w:rsidRPr="00BA3F10" w:rsidRDefault="00E56DEE" w:rsidP="00E56DEE">
            <w:r w:rsidRPr="00BA3F10">
              <w:t xml:space="preserve">Bij het afsluiten van een </w:t>
            </w:r>
            <w:r w:rsidRPr="00C7586E">
              <w:rPr>
                <w:i/>
              </w:rPr>
              <w:t>nadere</w:t>
            </w:r>
            <w:r w:rsidRPr="00BA3F10">
              <w:t xml:space="preserve"> </w:t>
            </w:r>
            <w:r w:rsidRPr="00BA3F10">
              <w:rPr>
                <w:i/>
              </w:rPr>
              <w:t>overeenkomst</w:t>
            </w:r>
            <w:r w:rsidRPr="00BA3F10">
              <w:t xml:space="preserve"> wordt er vastgesteld wat het </w:t>
            </w:r>
            <w:r w:rsidRPr="00B12417">
              <w:rPr>
                <w:i/>
              </w:rPr>
              <w:t>huurtarief</w:t>
            </w:r>
            <w:r>
              <w:t xml:space="preserve"> per kwartaal is dat de </w:t>
            </w:r>
            <w:r>
              <w:rPr>
                <w:i/>
              </w:rPr>
              <w:t xml:space="preserve">deelnemer </w:t>
            </w:r>
            <w:r w:rsidRPr="00BA3F10">
              <w:t xml:space="preserve"> moet betalen. Dit </w:t>
            </w:r>
            <w:r w:rsidRPr="00B12417">
              <w:rPr>
                <w:i/>
              </w:rPr>
              <w:t>huurtarief</w:t>
            </w:r>
            <w:r w:rsidRPr="00BA3F10">
              <w:t xml:space="preserve"> wordt per kwartaal vooraf, in de eerste maand, gefactureerd aan de locatie. Het verbruikte aantal afdrukken wordt per kwartaal achteraf, in de eerste maand, gefactureerd aan de locatie.  </w:t>
            </w:r>
          </w:p>
        </w:tc>
      </w:tr>
      <w:tr w:rsidR="00E56DEE" w:rsidRPr="00BA3F10" w:rsidTr="00E56DEE">
        <w:tc>
          <w:tcPr>
            <w:tcW w:w="1728" w:type="dxa"/>
          </w:tcPr>
          <w:p w:rsidR="00E56DEE" w:rsidRPr="00BA3F10" w:rsidRDefault="00E56DEE" w:rsidP="00E56DEE">
            <w:r w:rsidRPr="00BA3F10">
              <w:t>Fac-eis</w:t>
            </w:r>
            <w:r>
              <w:t>-2</w:t>
            </w:r>
          </w:p>
        </w:tc>
        <w:tc>
          <w:tcPr>
            <w:tcW w:w="7496" w:type="dxa"/>
          </w:tcPr>
          <w:p w:rsidR="00E56DEE" w:rsidRPr="00BA3F10" w:rsidRDefault="00E56DEE" w:rsidP="00E56DEE">
            <w:r w:rsidRPr="00BA3F10">
              <w:t>In uw branche is het gebruikelijk dat d</w:t>
            </w:r>
            <w:r>
              <w:t xml:space="preserve">e bij de </w:t>
            </w:r>
            <w:r>
              <w:rPr>
                <w:i/>
              </w:rPr>
              <w:t>deelnemer</w:t>
            </w:r>
            <w:r>
              <w:t>s</w:t>
            </w:r>
            <w:r w:rsidRPr="00BA3F10">
              <w:t xml:space="preserve"> uitgezette apparatuur bij een (externe) financier zijn ondergebracht en waarbij de </w:t>
            </w:r>
            <w:r>
              <w:t xml:space="preserve">betaalde huursommen van de </w:t>
            </w:r>
            <w:r>
              <w:rPr>
                <w:i/>
              </w:rPr>
              <w:t>deelnemer</w:t>
            </w:r>
            <w:r w:rsidRPr="00BA3F10">
              <w:t xml:space="preserve"> uw schuld inlossen. </w:t>
            </w:r>
            <w:r w:rsidRPr="00E56197">
              <w:rPr>
                <w:i/>
              </w:rPr>
              <w:t>Opdrachtgever</w:t>
            </w:r>
            <w:r w:rsidRPr="00BA3F10">
              <w:t xml:space="preserve"> is voornemens enkel met de </w:t>
            </w:r>
            <w:r w:rsidRPr="00E56197">
              <w:rPr>
                <w:i/>
              </w:rPr>
              <w:t>opdrachtnemer</w:t>
            </w:r>
            <w:r w:rsidRPr="00BA3F10">
              <w:t xml:space="preserve"> een </w:t>
            </w:r>
            <w:r w:rsidRPr="00F51EC5">
              <w:rPr>
                <w:i/>
              </w:rPr>
              <w:t>raam</w:t>
            </w:r>
            <w:r w:rsidRPr="00E56197">
              <w:rPr>
                <w:i/>
              </w:rPr>
              <w:t>overeenkomst</w:t>
            </w:r>
            <w:r w:rsidRPr="00BA3F10">
              <w:t xml:space="preserve"> af te sluiten voor het hure</w:t>
            </w:r>
            <w:r>
              <w:t>n van Multifunctionele Afdrukapparatuur</w:t>
            </w:r>
            <w:r w:rsidRPr="00BA3F10">
              <w:t xml:space="preserve"> en wenst onder geen beding een driepartijen verbintenis waarbij ook de financieringsmaatschappij contractpartner wordt. Deze financier hoort voor </w:t>
            </w:r>
            <w:r w:rsidRPr="00E56197">
              <w:rPr>
                <w:i/>
              </w:rPr>
              <w:t>opdrachtgever</w:t>
            </w:r>
            <w:r w:rsidRPr="00BA3F10">
              <w:t xml:space="preserve"> en de </w:t>
            </w:r>
            <w:r w:rsidRPr="00DF4202">
              <w:rPr>
                <w:i/>
              </w:rPr>
              <w:t>deelnemer</w:t>
            </w:r>
            <w:r w:rsidRPr="00BA3F10">
              <w:t xml:space="preserve">s binnen deze </w:t>
            </w:r>
            <w:r w:rsidRPr="00F51EC5">
              <w:rPr>
                <w:i/>
              </w:rPr>
              <w:t>raam</w:t>
            </w:r>
            <w:r w:rsidRPr="00E56197">
              <w:rPr>
                <w:i/>
              </w:rPr>
              <w:t>overeenkomst</w:t>
            </w:r>
            <w:r w:rsidRPr="00BA3F10">
              <w:t xml:space="preserve"> achter de horizon te verblijven en geen bemoeienis te hebben met de exploitatie van de apparatuur.</w:t>
            </w:r>
          </w:p>
        </w:tc>
      </w:tr>
      <w:tr w:rsidR="00E56DEE" w:rsidRPr="00BA3F10" w:rsidTr="00E56DEE">
        <w:tc>
          <w:tcPr>
            <w:tcW w:w="1728" w:type="dxa"/>
          </w:tcPr>
          <w:p w:rsidR="00E56DEE" w:rsidRPr="00BA3F10" w:rsidRDefault="00E56DEE" w:rsidP="00E56DEE">
            <w:r w:rsidRPr="00BA3F10">
              <w:t>Fac-eis-</w:t>
            </w:r>
            <w:r>
              <w:t>3</w:t>
            </w:r>
          </w:p>
        </w:tc>
        <w:tc>
          <w:tcPr>
            <w:tcW w:w="7496" w:type="dxa"/>
          </w:tcPr>
          <w:p w:rsidR="00E56DEE" w:rsidRPr="00BA3F10" w:rsidRDefault="00E56DEE" w:rsidP="00E56DEE">
            <w:r w:rsidRPr="00E56197">
              <w:rPr>
                <w:i/>
              </w:rPr>
              <w:t>Opdrachtgever</w:t>
            </w:r>
            <w:r w:rsidRPr="00BA3F10">
              <w:t xml:space="preserve"> zal na gunning bepalen of de betalingen middels automatische incasso of middels het verzenden van een factuur dienen plaats te vinden.</w:t>
            </w:r>
            <w:r>
              <w:t xml:space="preserve"> Indien de betaling middels automatische incasso plaatsvindt, dient inschrijver een factuur aan opdrachtgever te verzenden, minimaal 5 werkdagen voordat de automatische incasso daadwerkelijk plaatsvindt.</w:t>
            </w:r>
          </w:p>
        </w:tc>
      </w:tr>
      <w:tr w:rsidR="00E56DEE" w:rsidRPr="001D61AC" w:rsidTr="00E56DEE">
        <w:tc>
          <w:tcPr>
            <w:tcW w:w="1728" w:type="dxa"/>
          </w:tcPr>
          <w:p w:rsidR="00E56DEE" w:rsidRPr="001D61AC" w:rsidRDefault="00E56DEE" w:rsidP="00E56DEE">
            <w:r w:rsidRPr="001D61AC">
              <w:t>Fac-eis-4</w:t>
            </w:r>
          </w:p>
        </w:tc>
        <w:tc>
          <w:tcPr>
            <w:tcW w:w="7496" w:type="dxa"/>
          </w:tcPr>
          <w:p w:rsidR="00E56DEE" w:rsidRPr="001D61AC" w:rsidRDefault="00E56DEE" w:rsidP="00E56DEE">
            <w:r w:rsidRPr="001D61AC">
              <w:t>In het geval van automatische incasso dienen er in het incassorapport dat opdrachtgever van de bank ontvangt minimaal de volgende gegevens te staan:</w:t>
            </w:r>
          </w:p>
          <w:p w:rsidR="00E56DEE" w:rsidRPr="001D61AC" w:rsidRDefault="00E56DEE" w:rsidP="00E56DEE">
            <w:pPr>
              <w:numPr>
                <w:ilvl w:val="0"/>
                <w:numId w:val="11"/>
              </w:numPr>
            </w:pPr>
            <w:r w:rsidRPr="001D61AC">
              <w:t>Factuurbedrag</w:t>
            </w:r>
          </w:p>
          <w:p w:rsidR="00E56DEE" w:rsidRPr="001D61AC" w:rsidRDefault="00E56DEE" w:rsidP="00E56DEE">
            <w:pPr>
              <w:numPr>
                <w:ilvl w:val="0"/>
                <w:numId w:val="11"/>
              </w:numPr>
            </w:pPr>
            <w:r w:rsidRPr="001D61AC">
              <w:t>Factuurnummer</w:t>
            </w:r>
          </w:p>
          <w:p w:rsidR="00E56DEE" w:rsidRPr="001D61AC" w:rsidRDefault="00E56DEE" w:rsidP="00E56DEE">
            <w:pPr>
              <w:numPr>
                <w:ilvl w:val="0"/>
                <w:numId w:val="11"/>
              </w:numPr>
            </w:pPr>
            <w:r w:rsidRPr="001D61AC">
              <w:t>Vermelding welk kwartaal (incl. jaartal) de afrekening betreft</w:t>
            </w:r>
          </w:p>
          <w:p w:rsidR="00E56DEE" w:rsidRPr="001D61AC" w:rsidRDefault="00E56DEE" w:rsidP="00E56DEE">
            <w:pPr>
              <w:numPr>
                <w:ilvl w:val="0"/>
                <w:numId w:val="11"/>
              </w:numPr>
            </w:pPr>
            <w:r w:rsidRPr="001D61AC">
              <w:t xml:space="preserve">Naam </w:t>
            </w:r>
            <w:r w:rsidRPr="001D61AC">
              <w:rPr>
                <w:i/>
              </w:rPr>
              <w:t>deelnemer</w:t>
            </w:r>
          </w:p>
          <w:p w:rsidR="00E56DEE" w:rsidRPr="001D61AC" w:rsidRDefault="00E56DEE" w:rsidP="00E56DEE">
            <w:pPr>
              <w:numPr>
                <w:ilvl w:val="0"/>
                <w:numId w:val="11"/>
              </w:numPr>
            </w:pPr>
            <w:r w:rsidRPr="001D61AC">
              <w:t xml:space="preserve">Brin-nummer </w:t>
            </w:r>
            <w:r w:rsidRPr="001D61AC">
              <w:rPr>
                <w:i/>
              </w:rPr>
              <w:t>deelnemer</w:t>
            </w:r>
          </w:p>
        </w:tc>
      </w:tr>
      <w:tr w:rsidR="00E56DEE" w:rsidRPr="00BA3F10" w:rsidTr="00E56DEE">
        <w:tc>
          <w:tcPr>
            <w:tcW w:w="1728" w:type="dxa"/>
          </w:tcPr>
          <w:p w:rsidR="00E56DEE" w:rsidRPr="001D61AC" w:rsidRDefault="00E56DEE" w:rsidP="00E56DEE">
            <w:r w:rsidRPr="001D61AC">
              <w:t>Fac-eis-5</w:t>
            </w:r>
          </w:p>
        </w:tc>
        <w:tc>
          <w:tcPr>
            <w:tcW w:w="7496" w:type="dxa"/>
          </w:tcPr>
          <w:p w:rsidR="00E56DEE" w:rsidRPr="001D61AC" w:rsidRDefault="00E56DEE" w:rsidP="00E56DEE">
            <w:r w:rsidRPr="001D61AC">
              <w:t>Een factuur dient minimaal de volgende gegevens te bevatten:</w:t>
            </w:r>
          </w:p>
          <w:p w:rsidR="00E56DEE" w:rsidRPr="001D61AC" w:rsidRDefault="00E56DEE" w:rsidP="00E56DEE">
            <w:pPr>
              <w:numPr>
                <w:ilvl w:val="0"/>
                <w:numId w:val="11"/>
              </w:numPr>
            </w:pPr>
            <w:r w:rsidRPr="001D61AC">
              <w:t>Datum</w:t>
            </w:r>
          </w:p>
          <w:p w:rsidR="00E56DEE" w:rsidRPr="001D61AC" w:rsidRDefault="00E56DEE" w:rsidP="00E56DEE">
            <w:pPr>
              <w:numPr>
                <w:ilvl w:val="0"/>
                <w:numId w:val="11"/>
              </w:numPr>
            </w:pPr>
            <w:r w:rsidRPr="001D61AC">
              <w:t>Factuuradres</w:t>
            </w:r>
          </w:p>
          <w:p w:rsidR="00E56DEE" w:rsidRPr="001D61AC" w:rsidRDefault="00E56DEE" w:rsidP="00E56DEE">
            <w:pPr>
              <w:numPr>
                <w:ilvl w:val="0"/>
                <w:numId w:val="11"/>
              </w:numPr>
            </w:pPr>
            <w:r w:rsidRPr="001D61AC">
              <w:t>Plaatsingsadres</w:t>
            </w:r>
          </w:p>
          <w:p w:rsidR="00E56DEE" w:rsidRPr="001D61AC" w:rsidRDefault="00E56DEE" w:rsidP="00E56DEE">
            <w:pPr>
              <w:numPr>
                <w:ilvl w:val="0"/>
                <w:numId w:val="11"/>
              </w:numPr>
            </w:pPr>
            <w:r w:rsidRPr="001D61AC">
              <w:t xml:space="preserve">Naam </w:t>
            </w:r>
            <w:r w:rsidRPr="001D61AC">
              <w:rPr>
                <w:i/>
              </w:rPr>
              <w:t>deelnemer</w:t>
            </w:r>
          </w:p>
          <w:p w:rsidR="00E56DEE" w:rsidRPr="001D61AC" w:rsidRDefault="00E56DEE" w:rsidP="00E56DEE">
            <w:pPr>
              <w:numPr>
                <w:ilvl w:val="0"/>
                <w:numId w:val="11"/>
              </w:numPr>
            </w:pPr>
            <w:r w:rsidRPr="001D61AC">
              <w:t xml:space="preserve">Brin-nummer </w:t>
            </w:r>
            <w:r w:rsidRPr="001D61AC">
              <w:rPr>
                <w:i/>
              </w:rPr>
              <w:t>deelnemer</w:t>
            </w:r>
          </w:p>
          <w:p w:rsidR="00E56DEE" w:rsidRPr="001D61AC" w:rsidRDefault="00E56DEE" w:rsidP="00E56DEE">
            <w:pPr>
              <w:numPr>
                <w:ilvl w:val="0"/>
                <w:numId w:val="11"/>
              </w:numPr>
            </w:pPr>
            <w:r w:rsidRPr="001D61AC">
              <w:t>Klantnummer</w:t>
            </w:r>
          </w:p>
          <w:p w:rsidR="00E56DEE" w:rsidRPr="001D61AC" w:rsidRDefault="00E56DEE" w:rsidP="00E56DEE">
            <w:pPr>
              <w:numPr>
                <w:ilvl w:val="0"/>
                <w:numId w:val="11"/>
              </w:numPr>
            </w:pPr>
            <w:r w:rsidRPr="001D61AC">
              <w:t>Contractnummer</w:t>
            </w:r>
          </w:p>
          <w:p w:rsidR="00E56DEE" w:rsidRPr="001D61AC" w:rsidRDefault="00E56DEE" w:rsidP="00E56DEE">
            <w:pPr>
              <w:numPr>
                <w:ilvl w:val="0"/>
                <w:numId w:val="11"/>
              </w:numPr>
            </w:pPr>
            <w:r w:rsidRPr="001D61AC">
              <w:t>Factuurbedrag</w:t>
            </w:r>
          </w:p>
          <w:p w:rsidR="00E56DEE" w:rsidRPr="001D61AC" w:rsidRDefault="00E56DEE" w:rsidP="00E56DEE">
            <w:pPr>
              <w:numPr>
                <w:ilvl w:val="0"/>
                <w:numId w:val="11"/>
              </w:numPr>
            </w:pPr>
            <w:r w:rsidRPr="001D61AC">
              <w:t>BTW bedrag</w:t>
            </w:r>
          </w:p>
          <w:p w:rsidR="00E56DEE" w:rsidRPr="001D61AC" w:rsidRDefault="00E56DEE" w:rsidP="00E56DEE">
            <w:pPr>
              <w:numPr>
                <w:ilvl w:val="0"/>
                <w:numId w:val="11"/>
              </w:numPr>
            </w:pPr>
            <w:r w:rsidRPr="001D61AC">
              <w:t>BTW percentage</w:t>
            </w:r>
          </w:p>
          <w:p w:rsidR="00E56DEE" w:rsidRPr="001D61AC" w:rsidRDefault="00E56DEE" w:rsidP="00E56DEE">
            <w:pPr>
              <w:numPr>
                <w:ilvl w:val="0"/>
                <w:numId w:val="11"/>
              </w:numPr>
            </w:pPr>
            <w:r w:rsidRPr="001D61AC">
              <w:t>Factuurnummer</w:t>
            </w:r>
          </w:p>
          <w:p w:rsidR="00E56DEE" w:rsidRPr="001D61AC" w:rsidRDefault="00E56DEE" w:rsidP="00E56DEE">
            <w:pPr>
              <w:numPr>
                <w:ilvl w:val="0"/>
                <w:numId w:val="11"/>
              </w:numPr>
            </w:pPr>
            <w:r w:rsidRPr="001D61AC">
              <w:t>Type machine(s)</w:t>
            </w:r>
          </w:p>
          <w:p w:rsidR="00E56DEE" w:rsidRPr="001D61AC" w:rsidRDefault="00E56DEE" w:rsidP="00E56DEE">
            <w:pPr>
              <w:numPr>
                <w:ilvl w:val="0"/>
                <w:numId w:val="11"/>
              </w:numPr>
            </w:pPr>
            <w:r w:rsidRPr="001D61AC">
              <w:t>Serienummer</w:t>
            </w:r>
          </w:p>
          <w:p w:rsidR="00E56DEE" w:rsidRPr="001D61AC" w:rsidRDefault="00E56DEE" w:rsidP="00E56DEE">
            <w:pPr>
              <w:numPr>
                <w:ilvl w:val="0"/>
                <w:numId w:val="11"/>
              </w:numPr>
            </w:pPr>
            <w:r w:rsidRPr="001D61AC">
              <w:t>Vermelding w</w:t>
            </w:r>
            <w:bookmarkStart w:id="4" w:name="_GoBack"/>
            <w:r w:rsidRPr="001D61AC">
              <w:t>e</w:t>
            </w:r>
            <w:bookmarkEnd w:id="4"/>
            <w:r w:rsidRPr="001D61AC">
              <w:t>lk kwartaal (incl. jaartal) de afrekening van de huurbedragen het betreft (per machine)</w:t>
            </w:r>
          </w:p>
          <w:p w:rsidR="00E56DEE" w:rsidRPr="001D61AC" w:rsidRDefault="00E56DEE" w:rsidP="00E56DEE">
            <w:pPr>
              <w:numPr>
                <w:ilvl w:val="0"/>
                <w:numId w:val="11"/>
              </w:numPr>
            </w:pPr>
            <w:r w:rsidRPr="001D61AC">
              <w:t>Vermelding welk kwartaal (incl. jaartal) de afrekening van de verbruikte tellertikken het betreft (per machine)</w:t>
            </w:r>
          </w:p>
          <w:p w:rsidR="00E56DEE" w:rsidRPr="00BA3F10" w:rsidRDefault="00E56DEE" w:rsidP="00E56DEE">
            <w:pPr>
              <w:numPr>
                <w:ilvl w:val="0"/>
                <w:numId w:val="11"/>
              </w:numPr>
            </w:pPr>
            <w:r w:rsidRPr="001D61AC">
              <w:t>Vermelding verbruik tellertikken per machine, inclusief de berekening daarvan (oude stand – nieuwe stand)</w:t>
            </w:r>
          </w:p>
        </w:tc>
      </w:tr>
      <w:tr w:rsidR="00E56DEE" w:rsidRPr="00BA3F10" w:rsidTr="00E56DEE">
        <w:tc>
          <w:tcPr>
            <w:tcW w:w="1728" w:type="dxa"/>
          </w:tcPr>
          <w:p w:rsidR="00E56DEE" w:rsidRPr="00BA3F10" w:rsidRDefault="00E56DEE" w:rsidP="00E56DEE">
            <w:r w:rsidRPr="00BA3F10">
              <w:t>Fac-eis-</w:t>
            </w:r>
            <w:r>
              <w:t>6</w:t>
            </w:r>
          </w:p>
        </w:tc>
        <w:tc>
          <w:tcPr>
            <w:tcW w:w="7496" w:type="dxa"/>
          </w:tcPr>
          <w:p w:rsidR="005F26E7" w:rsidRPr="00BA3F10" w:rsidRDefault="00E56DEE" w:rsidP="00E56DEE">
            <w:r w:rsidRPr="00BA3F10">
              <w:t>Indien van toepassing is de betalingstermijn van de facturen 30 dagen na ontvangst factuur.</w:t>
            </w:r>
          </w:p>
        </w:tc>
      </w:tr>
    </w:tbl>
    <w:p w:rsidR="005F26E7" w:rsidRDefault="005F26E7" w:rsidP="005F26E7">
      <w:pPr>
        <w:outlineLvl w:val="0"/>
      </w:pPr>
    </w:p>
    <w:sectPr w:rsidR="005F26E7" w:rsidSect="003709CD">
      <w:headerReference w:type="default" r:id="rId7"/>
      <w:footerReference w:type="default" r:id="rId8"/>
      <w:pgSz w:w="11906" w:h="16838" w:code="9"/>
      <w:pgMar w:top="1412" w:right="1412" w:bottom="1412" w:left="141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E7C" w:rsidRDefault="005E5E7C">
      <w:r>
        <w:separator/>
      </w:r>
    </w:p>
  </w:endnote>
  <w:endnote w:type="continuationSeparator" w:id="0">
    <w:p w:rsidR="005E5E7C" w:rsidRDefault="005E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BA" w:rsidRPr="00C43D3C" w:rsidRDefault="009C4EBA">
    <w:pPr>
      <w:pStyle w:val="Voettekst"/>
      <w:rPr>
        <w:u w:val="single"/>
      </w:rPr>
    </w:pPr>
    <w:r>
      <w:rPr>
        <w:u w:val="single"/>
      </w:rPr>
      <w:tab/>
    </w:r>
    <w:r>
      <w:rPr>
        <w:u w:val="single"/>
      </w:rPr>
      <w:tab/>
    </w:r>
  </w:p>
  <w:p w:rsidR="009C4EBA" w:rsidRDefault="009C4EBA">
    <w:pPr>
      <w:pStyle w:val="Voettekst"/>
    </w:pPr>
    <w:r>
      <w:fldChar w:fldCharType="begin"/>
    </w:r>
    <w:r>
      <w:instrText xml:space="preserve"> DATE \@ "d-M-yyyy" </w:instrText>
    </w:r>
    <w:r>
      <w:fldChar w:fldCharType="separate"/>
    </w:r>
    <w:r w:rsidR="005F26E7">
      <w:rPr>
        <w:noProof/>
      </w:rPr>
      <w:t>29-6-2016</w:t>
    </w:r>
    <w:r>
      <w:fldChar w:fldCharType="end"/>
    </w:r>
    <w:r>
      <w:tab/>
    </w:r>
    <w:r>
      <w:tab/>
    </w:r>
    <w:r>
      <w:tab/>
    </w:r>
    <w:r>
      <w:tab/>
    </w:r>
    <w:r>
      <w:tab/>
    </w:r>
    <w:r>
      <w:tab/>
    </w:r>
    <w:r>
      <w:tab/>
      <w:t xml:space="preserve">Pagina </w:t>
    </w:r>
    <w:r>
      <w:rPr>
        <w:rStyle w:val="Paginanummer"/>
      </w:rPr>
      <w:fldChar w:fldCharType="begin"/>
    </w:r>
    <w:r>
      <w:rPr>
        <w:rStyle w:val="Paginanummer"/>
      </w:rPr>
      <w:instrText xml:space="preserve"> PAGE </w:instrText>
    </w:r>
    <w:r>
      <w:rPr>
        <w:rStyle w:val="Paginanummer"/>
      </w:rPr>
      <w:fldChar w:fldCharType="separate"/>
    </w:r>
    <w:r w:rsidR="005F26E7">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5F26E7">
      <w:rPr>
        <w:rStyle w:val="Paginanummer"/>
        <w:noProof/>
      </w:rPr>
      <w:t>7</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E7C" w:rsidRDefault="005E5E7C">
      <w:r>
        <w:separator/>
      </w:r>
    </w:p>
  </w:footnote>
  <w:footnote w:type="continuationSeparator" w:id="0">
    <w:p w:rsidR="005E5E7C" w:rsidRDefault="005E5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BA" w:rsidRPr="00FA3CF4" w:rsidRDefault="009C4EBA">
    <w:pPr>
      <w:pStyle w:val="Koptekst"/>
      <w:rPr>
        <w:sz w:val="16"/>
        <w:szCs w:val="16"/>
      </w:rPr>
    </w:pPr>
    <w:r w:rsidRPr="00FA3CF4">
      <w:rPr>
        <w:sz w:val="16"/>
        <w:szCs w:val="16"/>
      </w:rPr>
      <w:t>A</w:t>
    </w:r>
    <w:r>
      <w:rPr>
        <w:sz w:val="16"/>
        <w:szCs w:val="16"/>
      </w:rPr>
      <w:t xml:space="preserve">anbesteding Multifunctionele Afdrukapparatuur                                                              </w:t>
    </w:r>
    <w:r w:rsidRPr="003709CD">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28.5pt">
          <v:imagedata r:id="rId1" o:title="nieuw logo Lucas (2)"/>
        </v:shape>
      </w:pict>
    </w:r>
  </w:p>
  <w:p w:rsidR="009C4EBA" w:rsidRPr="00C43D3C" w:rsidRDefault="009C4EBA" w:rsidP="00E56DEE">
    <w:pPr>
      <w:pStyle w:val="Koptekst"/>
      <w:tabs>
        <w:tab w:val="left" w:pos="90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5683"/>
    <w:multiLevelType w:val="multilevel"/>
    <w:tmpl w:val="4F2247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E6D1A34"/>
    <w:multiLevelType w:val="multilevel"/>
    <w:tmpl w:val="3A4C094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989"/>
        </w:tabs>
        <w:ind w:left="989" w:hanging="7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1587F67"/>
    <w:multiLevelType w:val="multilevel"/>
    <w:tmpl w:val="DECCBC1A"/>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1627E5D"/>
    <w:multiLevelType w:val="multilevel"/>
    <w:tmpl w:val="28C0C25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C05212"/>
    <w:multiLevelType w:val="multilevel"/>
    <w:tmpl w:val="70B665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A653F6"/>
    <w:multiLevelType w:val="hybridMultilevel"/>
    <w:tmpl w:val="B4BE8324"/>
    <w:lvl w:ilvl="0" w:tplc="619628F2">
      <w:start w:val="3"/>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217F41"/>
    <w:multiLevelType w:val="multilevel"/>
    <w:tmpl w:val="8122856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9BB4AE8"/>
    <w:multiLevelType w:val="hybridMultilevel"/>
    <w:tmpl w:val="E39A4764"/>
    <w:lvl w:ilvl="0" w:tplc="619628F2">
      <w:start w:val="3"/>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AE60E5"/>
    <w:multiLevelType w:val="multilevel"/>
    <w:tmpl w:val="195C4B7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4045475"/>
    <w:multiLevelType w:val="multilevel"/>
    <w:tmpl w:val="ABFA03C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485439B"/>
    <w:multiLevelType w:val="multilevel"/>
    <w:tmpl w:val="A50AF3A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58B7664"/>
    <w:multiLevelType w:val="multilevel"/>
    <w:tmpl w:val="676C0D24"/>
    <w:lvl w:ilvl="0">
      <w:start w:val="7"/>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82711E5"/>
    <w:multiLevelType w:val="hybridMultilevel"/>
    <w:tmpl w:val="3F564C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973B6"/>
    <w:multiLevelType w:val="multilevel"/>
    <w:tmpl w:val="AB602A6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9584FF1"/>
    <w:multiLevelType w:val="hybridMultilevel"/>
    <w:tmpl w:val="02CE149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C8E798F"/>
    <w:multiLevelType w:val="hybridMultilevel"/>
    <w:tmpl w:val="2D8831D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2D1B2648"/>
    <w:multiLevelType w:val="hybridMultilevel"/>
    <w:tmpl w:val="72DE109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C5428"/>
    <w:multiLevelType w:val="multilevel"/>
    <w:tmpl w:val="D45EB690"/>
    <w:lvl w:ilvl="0">
      <w:start w:val="2"/>
      <w:numFmt w:val="decimal"/>
      <w:lvlText w:val="%1"/>
      <w:lvlJc w:val="left"/>
      <w:pPr>
        <w:tabs>
          <w:tab w:val="num" w:pos="720"/>
        </w:tabs>
        <w:ind w:left="720" w:hanging="720"/>
      </w:pPr>
      <w:rPr>
        <w:rFonts w:hint="default"/>
      </w:rPr>
    </w:lvl>
    <w:lvl w:ilvl="1">
      <w:start w:val="1"/>
      <w:numFmt w:val="decimal"/>
      <w:pStyle w:val="Briefkop"/>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8A5A0B"/>
    <w:multiLevelType w:val="multilevel"/>
    <w:tmpl w:val="3D0C6AD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7296441"/>
    <w:multiLevelType w:val="multilevel"/>
    <w:tmpl w:val="BFEC6C2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4F0C7C"/>
    <w:multiLevelType w:val="multilevel"/>
    <w:tmpl w:val="63A2A8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8345DDD"/>
    <w:multiLevelType w:val="hybridMultilevel"/>
    <w:tmpl w:val="4CA2567A"/>
    <w:lvl w:ilvl="0" w:tplc="619628F2">
      <w:start w:val="3"/>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42BF0"/>
    <w:multiLevelType w:val="multilevel"/>
    <w:tmpl w:val="1AD0E1F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3F4745DB"/>
    <w:multiLevelType w:val="multilevel"/>
    <w:tmpl w:val="5DAAC1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BD6428"/>
    <w:multiLevelType w:val="hybridMultilevel"/>
    <w:tmpl w:val="1A0A3600"/>
    <w:lvl w:ilvl="0" w:tplc="619628F2">
      <w:start w:val="3"/>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808B6"/>
    <w:multiLevelType w:val="hybridMultilevel"/>
    <w:tmpl w:val="D0F28756"/>
    <w:lvl w:ilvl="0" w:tplc="B70CC7DA">
      <w:start w:val="1"/>
      <w:numFmt w:val="upperRoman"/>
      <w:pStyle w:val="Lijst2"/>
      <w:lvlText w:val="%1."/>
      <w:lvlJc w:val="right"/>
      <w:pPr>
        <w:tabs>
          <w:tab w:val="num" w:pos="1437"/>
        </w:tabs>
        <w:ind w:left="1004" w:firstLine="73"/>
      </w:pPr>
      <w:rPr>
        <w:rFonts w:hint="default"/>
      </w:rPr>
    </w:lvl>
    <w:lvl w:ilvl="1" w:tplc="C850216C">
      <w:start w:val="1"/>
      <w:numFmt w:val="lowerLetter"/>
      <w:lvlText w:val="%2."/>
      <w:lvlJc w:val="left"/>
      <w:pPr>
        <w:tabs>
          <w:tab w:val="num" w:pos="2160"/>
        </w:tabs>
        <w:ind w:left="2160" w:hanging="360"/>
      </w:pPr>
      <w:rPr>
        <w:rFonts w:hint="default"/>
      </w:rPr>
    </w:lvl>
    <w:lvl w:ilvl="2" w:tplc="604A4F62">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7280583"/>
    <w:multiLevelType w:val="multilevel"/>
    <w:tmpl w:val="2E3E9070"/>
    <w:lvl w:ilvl="0">
      <w:start w:val="2"/>
      <w:numFmt w:val="decimal"/>
      <w:lvlText w:val="%1"/>
      <w:lvlJc w:val="left"/>
      <w:pPr>
        <w:ind w:left="360" w:hanging="36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48052CBD"/>
    <w:multiLevelType w:val="hybridMultilevel"/>
    <w:tmpl w:val="344A4364"/>
    <w:lvl w:ilvl="0" w:tplc="619628F2">
      <w:start w:val="3"/>
      <w:numFmt w:val="bullet"/>
      <w:lvlText w:val="-"/>
      <w:lvlJc w:val="left"/>
      <w:pPr>
        <w:tabs>
          <w:tab w:val="num" w:pos="1068"/>
        </w:tabs>
        <w:ind w:left="1068" w:hanging="360"/>
      </w:pPr>
      <w:rPr>
        <w:rFonts w:ascii="Verdana" w:eastAsia="Times New Roman" w:hAnsi="Verdana" w:cs="Times New Roman"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48384744"/>
    <w:multiLevelType w:val="hybridMultilevel"/>
    <w:tmpl w:val="4B709408"/>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8844653"/>
    <w:multiLevelType w:val="multilevel"/>
    <w:tmpl w:val="252692F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D130739"/>
    <w:multiLevelType w:val="multilevel"/>
    <w:tmpl w:val="9232139C"/>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D197DF2"/>
    <w:multiLevelType w:val="multilevel"/>
    <w:tmpl w:val="FE84B48C"/>
    <w:lvl w:ilvl="0">
      <w:start w:val="7"/>
      <w:numFmt w:val="decimal"/>
      <w:lvlText w:val="%1"/>
      <w:lvlJc w:val="left"/>
      <w:pPr>
        <w:tabs>
          <w:tab w:val="num" w:pos="510"/>
        </w:tabs>
        <w:ind w:left="510" w:hanging="510"/>
      </w:pPr>
      <w:rPr>
        <w:rFonts w:hint="default"/>
      </w:rPr>
    </w:lvl>
    <w:lvl w:ilvl="1">
      <w:start w:val="8"/>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EFA0965"/>
    <w:multiLevelType w:val="hybridMultilevel"/>
    <w:tmpl w:val="E5AED15C"/>
    <w:lvl w:ilvl="0" w:tplc="37341A2C">
      <w:start w:val="1"/>
      <w:numFmt w:val="bullet"/>
      <w:pStyle w:val="Lijs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02331B"/>
    <w:multiLevelType w:val="multilevel"/>
    <w:tmpl w:val="F07C4A4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5A31C46"/>
    <w:multiLevelType w:val="multilevel"/>
    <w:tmpl w:val="B63C98A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ABD4EF5"/>
    <w:multiLevelType w:val="multilevel"/>
    <w:tmpl w:val="E7486012"/>
    <w:lvl w:ilvl="0">
      <w:start w:val="1"/>
      <w:numFmt w:val="upperLetter"/>
      <w:pStyle w:val="BijlageKop"/>
      <w:lvlText w:val="Bijlage %1"/>
      <w:lvlJc w:val="left"/>
      <w:pPr>
        <w:tabs>
          <w:tab w:val="num" w:pos="1134"/>
        </w:tabs>
        <w:ind w:left="1134" w:hanging="1134"/>
      </w:pPr>
      <w:rPr>
        <w:rFonts w:ascii="Arial" w:hAnsi="Arial" w:cs="Times New Roman" w:hint="default"/>
        <w:b/>
        <w:i w:val="0"/>
        <w:caps w:val="0"/>
        <w:strike w:val="0"/>
        <w:dstrike w:val="0"/>
        <w:outline w:val="0"/>
        <w:shadow w:val="0"/>
        <w:emboss w:val="0"/>
        <w:imprint w:val="0"/>
        <w:vanish w:val="0"/>
        <w:webHidden w:val="0"/>
        <w:color w:val="000000"/>
        <w:sz w:val="20"/>
        <w:szCs w:val="24"/>
        <w:u w:val="none"/>
        <w:effect w:val="none"/>
        <w:vertAlign w:val="baseline"/>
        <w:specVanish w:val="0"/>
      </w:rPr>
    </w:lvl>
    <w:lvl w:ilvl="1">
      <w:start w:val="1"/>
      <w:numFmt w:val="decimal"/>
      <w:lvlText w:val="%1.%2"/>
      <w:lvlJc w:val="left"/>
      <w:pPr>
        <w:tabs>
          <w:tab w:val="num" w:pos="1644"/>
        </w:tabs>
        <w:ind w:left="1644" w:hanging="567"/>
      </w:pPr>
      <w:rPr>
        <w:rFonts w:ascii="Times New Roman" w:hAnsi="Times New Roman" w:cs="Times New Roman" w:hint="default"/>
        <w:b w:val="0"/>
        <w:i w:val="0"/>
        <w:caps w:val="0"/>
        <w:strike w:val="0"/>
        <w:dstrike w:val="0"/>
        <w:outline w:val="0"/>
        <w:shadow w:val="0"/>
        <w:emboss w:val="0"/>
        <w:imprint w:val="0"/>
        <w:vanish w:val="0"/>
        <w:webHidden w:val="0"/>
        <w:color w:val="000000"/>
        <w:sz w:val="28"/>
        <w:szCs w:val="28"/>
        <w:u w:val="none"/>
        <w:effect w:val="none"/>
        <w:vertAlign w:val="baseline"/>
        <w:specVanish w:val="0"/>
      </w:rPr>
    </w:lvl>
    <w:lvl w:ilvl="2">
      <w:start w:val="1"/>
      <w:numFmt w:val="decimal"/>
      <w:lvlText w:val="%1.%2.%3"/>
      <w:lvlJc w:val="left"/>
      <w:pPr>
        <w:tabs>
          <w:tab w:val="num" w:pos="1797"/>
        </w:tabs>
        <w:ind w:left="1797" w:hanging="720"/>
      </w:pPr>
      <w:rPr>
        <w:rFonts w:ascii="Times New Roman" w:hAnsi="Times New Roman" w:cs="Times New Roman" w:hint="default"/>
        <w:b w:val="0"/>
        <w:i w:val="0"/>
        <w:caps w:val="0"/>
        <w:strike w:val="0"/>
        <w:dstrike w:val="0"/>
        <w:outline w:val="0"/>
        <w:shadow w:val="0"/>
        <w:emboss w:val="0"/>
        <w:imprint w:val="0"/>
        <w:vanish w:val="0"/>
        <w:webHidden w:val="0"/>
        <w:color w:val="000000"/>
        <w:sz w:val="20"/>
        <w:szCs w:val="20"/>
        <w:u w:val="none"/>
        <w:effect w:val="none"/>
        <w:vertAlign w:val="baseline"/>
        <w:specVanish w:val="0"/>
      </w:rPr>
    </w:lvl>
    <w:lvl w:ilvl="3">
      <w:start w:val="1"/>
      <w:numFmt w:val="decimal"/>
      <w:lvlText w:val="%1.%2.%3.%4"/>
      <w:lvlJc w:val="left"/>
      <w:pPr>
        <w:tabs>
          <w:tab w:val="num" w:pos="1941"/>
        </w:tabs>
        <w:ind w:left="1941" w:hanging="864"/>
      </w:pPr>
      <w:rPr>
        <w:rFonts w:ascii="Times New Roman" w:hAnsi="Times New Roman" w:cs="Times New Roman" w:hint="default"/>
      </w:rPr>
    </w:lvl>
    <w:lvl w:ilvl="4">
      <w:start w:val="1"/>
      <w:numFmt w:val="decimal"/>
      <w:lvlText w:val="%1.%2.%3.%4.%5"/>
      <w:lvlJc w:val="left"/>
      <w:pPr>
        <w:tabs>
          <w:tab w:val="num" w:pos="2085"/>
        </w:tabs>
        <w:ind w:left="2085" w:hanging="1008"/>
      </w:pPr>
      <w:rPr>
        <w:rFonts w:ascii="Times New Roman" w:hAnsi="Times New Roman" w:cs="Times New Roman" w:hint="default"/>
      </w:rPr>
    </w:lvl>
    <w:lvl w:ilvl="5">
      <w:start w:val="1"/>
      <w:numFmt w:val="decimal"/>
      <w:lvlText w:val="%1.%2.%3.%4.%5.%6"/>
      <w:lvlJc w:val="left"/>
      <w:pPr>
        <w:tabs>
          <w:tab w:val="num" w:pos="2229"/>
        </w:tabs>
        <w:ind w:left="2229" w:hanging="1152"/>
      </w:pPr>
      <w:rPr>
        <w:rFonts w:ascii="Times New Roman" w:hAnsi="Times New Roman" w:cs="Times New Roman" w:hint="default"/>
      </w:rPr>
    </w:lvl>
    <w:lvl w:ilvl="6">
      <w:start w:val="1"/>
      <w:numFmt w:val="decimal"/>
      <w:lvlText w:val="%1.%2.%3.%4.%5.%6.%7"/>
      <w:lvlJc w:val="left"/>
      <w:pPr>
        <w:tabs>
          <w:tab w:val="num" w:pos="2373"/>
        </w:tabs>
        <w:ind w:left="2373" w:hanging="1296"/>
      </w:pPr>
      <w:rPr>
        <w:rFonts w:ascii="Times New Roman" w:hAnsi="Times New Roman" w:cs="Times New Roman" w:hint="default"/>
      </w:rPr>
    </w:lvl>
    <w:lvl w:ilvl="7">
      <w:start w:val="1"/>
      <w:numFmt w:val="decimal"/>
      <w:lvlText w:val="%1.%2.%3.%4.%5.%6.%7.%8"/>
      <w:lvlJc w:val="left"/>
      <w:pPr>
        <w:tabs>
          <w:tab w:val="num" w:pos="2517"/>
        </w:tabs>
        <w:ind w:left="2517" w:hanging="1440"/>
      </w:pPr>
      <w:rPr>
        <w:rFonts w:ascii="Times New Roman" w:hAnsi="Times New Roman" w:cs="Times New Roman" w:hint="default"/>
      </w:rPr>
    </w:lvl>
    <w:lvl w:ilvl="8">
      <w:start w:val="1"/>
      <w:numFmt w:val="decimal"/>
      <w:lvlText w:val="%1.%2.%3.%4.%5.%6.%7.%8.%9"/>
      <w:lvlJc w:val="left"/>
      <w:pPr>
        <w:tabs>
          <w:tab w:val="num" w:pos="2661"/>
        </w:tabs>
        <w:ind w:left="2661" w:hanging="1584"/>
      </w:pPr>
      <w:rPr>
        <w:rFonts w:ascii="Times New Roman" w:hAnsi="Times New Roman" w:cs="Times New Roman" w:hint="default"/>
      </w:rPr>
    </w:lvl>
  </w:abstractNum>
  <w:abstractNum w:abstractNumId="36" w15:restartNumberingAfterBreak="0">
    <w:nsid w:val="5B882EE0"/>
    <w:multiLevelType w:val="hybridMultilevel"/>
    <w:tmpl w:val="F07C4A4C"/>
    <w:lvl w:ilvl="0" w:tplc="B4F0FF2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EA36B5E"/>
    <w:multiLevelType w:val="hybridMultilevel"/>
    <w:tmpl w:val="7E32BC2A"/>
    <w:lvl w:ilvl="0" w:tplc="619628F2">
      <w:start w:val="3"/>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285064"/>
    <w:multiLevelType w:val="multilevel"/>
    <w:tmpl w:val="A53C9192"/>
    <w:lvl w:ilvl="0">
      <w:start w:val="7"/>
      <w:numFmt w:val="decimal"/>
      <w:lvlText w:val="%1"/>
      <w:lvlJc w:val="left"/>
      <w:pPr>
        <w:tabs>
          <w:tab w:val="num" w:pos="360"/>
        </w:tabs>
        <w:ind w:left="360" w:hanging="360"/>
      </w:pPr>
      <w:rPr>
        <w:rFonts w:ascii="Verdana" w:hAnsi="Verdana" w:hint="default"/>
        <w:sz w:val="18"/>
      </w:rPr>
    </w:lvl>
    <w:lvl w:ilvl="1">
      <w:start w:val="1"/>
      <w:numFmt w:val="decimal"/>
      <w:lvlText w:val="%1.%2"/>
      <w:lvlJc w:val="left"/>
      <w:pPr>
        <w:tabs>
          <w:tab w:val="num" w:pos="360"/>
        </w:tabs>
        <w:ind w:left="360" w:hanging="360"/>
      </w:pPr>
      <w:rPr>
        <w:rFonts w:ascii="Verdana" w:hAnsi="Verdana" w:hint="default"/>
        <w:sz w:val="18"/>
      </w:rPr>
    </w:lvl>
    <w:lvl w:ilvl="2">
      <w:start w:val="1"/>
      <w:numFmt w:val="decimal"/>
      <w:lvlText w:val="%1.%2.%3"/>
      <w:lvlJc w:val="left"/>
      <w:pPr>
        <w:tabs>
          <w:tab w:val="num" w:pos="720"/>
        </w:tabs>
        <w:ind w:left="720" w:hanging="720"/>
      </w:pPr>
      <w:rPr>
        <w:rFonts w:ascii="Verdana" w:hAnsi="Verdana" w:hint="default"/>
        <w:sz w:val="18"/>
      </w:rPr>
    </w:lvl>
    <w:lvl w:ilvl="3">
      <w:start w:val="1"/>
      <w:numFmt w:val="decimal"/>
      <w:lvlText w:val="%1.%2.%3.%4"/>
      <w:lvlJc w:val="left"/>
      <w:pPr>
        <w:tabs>
          <w:tab w:val="num" w:pos="1080"/>
        </w:tabs>
        <w:ind w:left="1080" w:hanging="1080"/>
      </w:pPr>
      <w:rPr>
        <w:rFonts w:ascii="Verdana" w:hAnsi="Verdana" w:hint="default"/>
        <w:sz w:val="18"/>
      </w:rPr>
    </w:lvl>
    <w:lvl w:ilvl="4">
      <w:start w:val="1"/>
      <w:numFmt w:val="decimal"/>
      <w:lvlText w:val="%1.%2.%3.%4.%5"/>
      <w:lvlJc w:val="left"/>
      <w:pPr>
        <w:tabs>
          <w:tab w:val="num" w:pos="1080"/>
        </w:tabs>
        <w:ind w:left="1080" w:hanging="1080"/>
      </w:pPr>
      <w:rPr>
        <w:rFonts w:ascii="Verdana" w:hAnsi="Verdana" w:hint="default"/>
        <w:sz w:val="18"/>
      </w:rPr>
    </w:lvl>
    <w:lvl w:ilvl="5">
      <w:start w:val="1"/>
      <w:numFmt w:val="decimal"/>
      <w:lvlText w:val="%1.%2.%3.%4.%5.%6"/>
      <w:lvlJc w:val="left"/>
      <w:pPr>
        <w:tabs>
          <w:tab w:val="num" w:pos="1440"/>
        </w:tabs>
        <w:ind w:left="1440" w:hanging="1440"/>
      </w:pPr>
      <w:rPr>
        <w:rFonts w:ascii="Verdana" w:hAnsi="Verdana" w:hint="default"/>
        <w:sz w:val="18"/>
      </w:rPr>
    </w:lvl>
    <w:lvl w:ilvl="6">
      <w:start w:val="1"/>
      <w:numFmt w:val="decimal"/>
      <w:lvlText w:val="%1.%2.%3.%4.%5.%6.%7"/>
      <w:lvlJc w:val="left"/>
      <w:pPr>
        <w:tabs>
          <w:tab w:val="num" w:pos="1440"/>
        </w:tabs>
        <w:ind w:left="1440" w:hanging="1440"/>
      </w:pPr>
      <w:rPr>
        <w:rFonts w:ascii="Verdana" w:hAnsi="Verdana" w:hint="default"/>
        <w:sz w:val="18"/>
      </w:rPr>
    </w:lvl>
    <w:lvl w:ilvl="7">
      <w:start w:val="1"/>
      <w:numFmt w:val="decimal"/>
      <w:lvlText w:val="%1.%2.%3.%4.%5.%6.%7.%8"/>
      <w:lvlJc w:val="left"/>
      <w:pPr>
        <w:tabs>
          <w:tab w:val="num" w:pos="1800"/>
        </w:tabs>
        <w:ind w:left="1800" w:hanging="1800"/>
      </w:pPr>
      <w:rPr>
        <w:rFonts w:ascii="Verdana" w:hAnsi="Verdana" w:hint="default"/>
        <w:sz w:val="18"/>
      </w:rPr>
    </w:lvl>
    <w:lvl w:ilvl="8">
      <w:start w:val="1"/>
      <w:numFmt w:val="decimal"/>
      <w:lvlText w:val="%1.%2.%3.%4.%5.%6.%7.%8.%9"/>
      <w:lvlJc w:val="left"/>
      <w:pPr>
        <w:tabs>
          <w:tab w:val="num" w:pos="2160"/>
        </w:tabs>
        <w:ind w:left="2160" w:hanging="2160"/>
      </w:pPr>
      <w:rPr>
        <w:rFonts w:ascii="Verdana" w:hAnsi="Verdana" w:hint="default"/>
        <w:sz w:val="18"/>
      </w:rPr>
    </w:lvl>
  </w:abstractNum>
  <w:abstractNum w:abstractNumId="39" w15:restartNumberingAfterBreak="0">
    <w:nsid w:val="60BA0B03"/>
    <w:multiLevelType w:val="multilevel"/>
    <w:tmpl w:val="2E3E9070"/>
    <w:lvl w:ilvl="0">
      <w:start w:val="2"/>
      <w:numFmt w:val="decimal"/>
      <w:lvlText w:val="%1"/>
      <w:lvlJc w:val="left"/>
      <w:pPr>
        <w:ind w:left="1068" w:hanging="360"/>
      </w:pPr>
      <w:rPr>
        <w:rFonts w:hint="default"/>
      </w:rPr>
    </w:lvl>
    <w:lvl w:ilvl="1">
      <w:start w:val="1"/>
      <w:numFmt w:val="decimal"/>
      <w:lvlText w:val="%1.%2"/>
      <w:lvlJc w:val="left"/>
      <w:pPr>
        <w:ind w:left="2133" w:hanging="720"/>
      </w:pPr>
      <w:rPr>
        <w:rFonts w:hint="default"/>
      </w:rPr>
    </w:lvl>
    <w:lvl w:ilvl="2">
      <w:start w:val="1"/>
      <w:numFmt w:val="decimal"/>
      <w:lvlText w:val="%1.%2.%3"/>
      <w:lvlJc w:val="left"/>
      <w:pPr>
        <w:ind w:left="2838" w:hanging="720"/>
      </w:pPr>
      <w:rPr>
        <w:rFonts w:hint="default"/>
      </w:rPr>
    </w:lvl>
    <w:lvl w:ilvl="3">
      <w:start w:val="1"/>
      <w:numFmt w:val="decimal"/>
      <w:lvlText w:val="%1.%2.%3.%4"/>
      <w:lvlJc w:val="left"/>
      <w:pPr>
        <w:ind w:left="3903" w:hanging="108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673" w:hanging="1440"/>
      </w:pPr>
      <w:rPr>
        <w:rFonts w:hint="default"/>
      </w:rPr>
    </w:lvl>
    <w:lvl w:ilvl="6">
      <w:start w:val="1"/>
      <w:numFmt w:val="decimal"/>
      <w:lvlText w:val="%1.%2.%3.%4.%5.%6.%7"/>
      <w:lvlJc w:val="left"/>
      <w:pPr>
        <w:ind w:left="6738" w:hanging="1800"/>
      </w:pPr>
      <w:rPr>
        <w:rFonts w:hint="default"/>
      </w:rPr>
    </w:lvl>
    <w:lvl w:ilvl="7">
      <w:start w:val="1"/>
      <w:numFmt w:val="decimal"/>
      <w:lvlText w:val="%1.%2.%3.%4.%5.%6.%7.%8"/>
      <w:lvlJc w:val="left"/>
      <w:pPr>
        <w:ind w:left="7443" w:hanging="1800"/>
      </w:pPr>
      <w:rPr>
        <w:rFonts w:hint="default"/>
      </w:rPr>
    </w:lvl>
    <w:lvl w:ilvl="8">
      <w:start w:val="1"/>
      <w:numFmt w:val="decimal"/>
      <w:lvlText w:val="%1.%2.%3.%4.%5.%6.%7.%8.%9"/>
      <w:lvlJc w:val="left"/>
      <w:pPr>
        <w:ind w:left="8508" w:hanging="2160"/>
      </w:pPr>
      <w:rPr>
        <w:rFonts w:hint="default"/>
      </w:rPr>
    </w:lvl>
  </w:abstractNum>
  <w:abstractNum w:abstractNumId="40" w15:restartNumberingAfterBreak="0">
    <w:nsid w:val="67130B54"/>
    <w:multiLevelType w:val="multilevel"/>
    <w:tmpl w:val="9232139C"/>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D994FD9"/>
    <w:multiLevelType w:val="hybridMultilevel"/>
    <w:tmpl w:val="DC08C9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F29397D"/>
    <w:multiLevelType w:val="multilevel"/>
    <w:tmpl w:val="F07C4A4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6F2F52"/>
    <w:multiLevelType w:val="multilevel"/>
    <w:tmpl w:val="4B34571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8AA68A2"/>
    <w:multiLevelType w:val="hybridMultilevel"/>
    <w:tmpl w:val="47DC2316"/>
    <w:lvl w:ilvl="0" w:tplc="C178CBF4">
      <w:start w:val="1"/>
      <w:numFmt w:val="bullet"/>
      <w:pStyle w:val="Lijstopsomteken2"/>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A41C6D"/>
    <w:multiLevelType w:val="hybridMultilevel"/>
    <w:tmpl w:val="60725B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2C581E"/>
    <w:multiLevelType w:val="multilevel"/>
    <w:tmpl w:val="6ED8EBD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20"/>
  </w:num>
  <w:num w:numId="3">
    <w:abstractNumId w:val="10"/>
  </w:num>
  <w:num w:numId="4">
    <w:abstractNumId w:val="4"/>
  </w:num>
  <w:num w:numId="5">
    <w:abstractNumId w:val="6"/>
  </w:num>
  <w:num w:numId="6">
    <w:abstractNumId w:val="30"/>
  </w:num>
  <w:num w:numId="7">
    <w:abstractNumId w:val="16"/>
  </w:num>
  <w:num w:numId="8">
    <w:abstractNumId w:val="29"/>
  </w:num>
  <w:num w:numId="9">
    <w:abstractNumId w:val="34"/>
  </w:num>
  <w:num w:numId="10">
    <w:abstractNumId w:val="13"/>
  </w:num>
  <w:num w:numId="11">
    <w:abstractNumId w:val="45"/>
  </w:num>
  <w:num w:numId="12">
    <w:abstractNumId w:val="1"/>
  </w:num>
  <w:num w:numId="13">
    <w:abstractNumId w:val="24"/>
  </w:num>
  <w:num w:numId="14">
    <w:abstractNumId w:val="5"/>
  </w:num>
  <w:num w:numId="15">
    <w:abstractNumId w:val="22"/>
  </w:num>
  <w:num w:numId="16">
    <w:abstractNumId w:val="28"/>
  </w:num>
  <w:num w:numId="17">
    <w:abstractNumId w:val="14"/>
  </w:num>
  <w:num w:numId="18">
    <w:abstractNumId w:val="43"/>
  </w:num>
  <w:num w:numId="19">
    <w:abstractNumId w:val="15"/>
  </w:num>
  <w:num w:numId="20">
    <w:abstractNumId w:val="17"/>
  </w:num>
  <w:num w:numId="21">
    <w:abstractNumId w:val="12"/>
  </w:num>
  <w:num w:numId="22">
    <w:abstractNumId w:val="27"/>
  </w:num>
  <w:num w:numId="23">
    <w:abstractNumId w:val="21"/>
  </w:num>
  <w:num w:numId="24">
    <w:abstractNumId w:val="37"/>
  </w:num>
  <w:num w:numId="25">
    <w:abstractNumId w:val="7"/>
  </w:num>
  <w:num w:numId="26">
    <w:abstractNumId w:val="40"/>
  </w:num>
  <w:num w:numId="27">
    <w:abstractNumId w:val="26"/>
  </w:num>
  <w:num w:numId="28">
    <w:abstractNumId w:val="39"/>
  </w:num>
  <w:num w:numId="29">
    <w:abstractNumId w:val="3"/>
  </w:num>
  <w:num w:numId="30">
    <w:abstractNumId w:val="41"/>
  </w:num>
  <w:num w:numId="31">
    <w:abstractNumId w:val="19"/>
  </w:num>
  <w:num w:numId="32">
    <w:abstractNumId w:val="18"/>
  </w:num>
  <w:num w:numId="33">
    <w:abstractNumId w:val="9"/>
  </w:num>
  <w:num w:numId="34">
    <w:abstractNumId w:val="36"/>
  </w:num>
  <w:num w:numId="35">
    <w:abstractNumId w:val="25"/>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44"/>
  </w:num>
  <w:num w:numId="40">
    <w:abstractNumId w:val="23"/>
  </w:num>
  <w:num w:numId="41">
    <w:abstractNumId w:val="8"/>
  </w:num>
  <w:num w:numId="42">
    <w:abstractNumId w:val="2"/>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1"/>
  </w:num>
  <w:num w:numId="46">
    <w:abstractNumId w:val="38"/>
  </w:num>
  <w:num w:numId="47">
    <w:abstractNumId w:val="42"/>
  </w:num>
  <w:num w:numId="48">
    <w:abstractNumId w:val="33"/>
  </w:num>
  <w:num w:numId="49">
    <w:abstractNumId w:val="32"/>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DEE"/>
    <w:rsid w:val="00000740"/>
    <w:rsid w:val="0000349B"/>
    <w:rsid w:val="00003BC0"/>
    <w:rsid w:val="00004BFD"/>
    <w:rsid w:val="00014AF6"/>
    <w:rsid w:val="0001646B"/>
    <w:rsid w:val="0002197C"/>
    <w:rsid w:val="0002225B"/>
    <w:rsid w:val="00022AE1"/>
    <w:rsid w:val="00026304"/>
    <w:rsid w:val="00030DEA"/>
    <w:rsid w:val="00034051"/>
    <w:rsid w:val="000344BB"/>
    <w:rsid w:val="00034844"/>
    <w:rsid w:val="00037BFA"/>
    <w:rsid w:val="00045FA2"/>
    <w:rsid w:val="000479E4"/>
    <w:rsid w:val="00047F01"/>
    <w:rsid w:val="000550D1"/>
    <w:rsid w:val="0006121A"/>
    <w:rsid w:val="0006138C"/>
    <w:rsid w:val="000629F9"/>
    <w:rsid w:val="00064DF2"/>
    <w:rsid w:val="000652E8"/>
    <w:rsid w:val="000736A7"/>
    <w:rsid w:val="0007415F"/>
    <w:rsid w:val="00074AD5"/>
    <w:rsid w:val="00076F4D"/>
    <w:rsid w:val="00081A98"/>
    <w:rsid w:val="000860C6"/>
    <w:rsid w:val="0009073E"/>
    <w:rsid w:val="0009605C"/>
    <w:rsid w:val="00097A17"/>
    <w:rsid w:val="000A740E"/>
    <w:rsid w:val="000B1529"/>
    <w:rsid w:val="000B4E02"/>
    <w:rsid w:val="000B6843"/>
    <w:rsid w:val="000C3376"/>
    <w:rsid w:val="000D1BCC"/>
    <w:rsid w:val="000D31B9"/>
    <w:rsid w:val="000D5263"/>
    <w:rsid w:val="000D6CEA"/>
    <w:rsid w:val="000F248D"/>
    <w:rsid w:val="000F6E5D"/>
    <w:rsid w:val="00100C50"/>
    <w:rsid w:val="00113472"/>
    <w:rsid w:val="0011579D"/>
    <w:rsid w:val="00120BA6"/>
    <w:rsid w:val="00120BBF"/>
    <w:rsid w:val="00123BF8"/>
    <w:rsid w:val="00124A09"/>
    <w:rsid w:val="00126981"/>
    <w:rsid w:val="00140483"/>
    <w:rsid w:val="00140788"/>
    <w:rsid w:val="00143210"/>
    <w:rsid w:val="00150EBD"/>
    <w:rsid w:val="001517BB"/>
    <w:rsid w:val="00160FB4"/>
    <w:rsid w:val="00161D5D"/>
    <w:rsid w:val="00161F3C"/>
    <w:rsid w:val="0017015C"/>
    <w:rsid w:val="00170465"/>
    <w:rsid w:val="00172ACA"/>
    <w:rsid w:val="001738B0"/>
    <w:rsid w:val="00174E47"/>
    <w:rsid w:val="00175F14"/>
    <w:rsid w:val="00175F1C"/>
    <w:rsid w:val="001776B9"/>
    <w:rsid w:val="001779F8"/>
    <w:rsid w:val="00177EF6"/>
    <w:rsid w:val="00180F1A"/>
    <w:rsid w:val="001854D9"/>
    <w:rsid w:val="0018571F"/>
    <w:rsid w:val="001863EF"/>
    <w:rsid w:val="00191C5B"/>
    <w:rsid w:val="001974B6"/>
    <w:rsid w:val="001A0521"/>
    <w:rsid w:val="001A4154"/>
    <w:rsid w:val="001A5E87"/>
    <w:rsid w:val="001A6142"/>
    <w:rsid w:val="001B09EB"/>
    <w:rsid w:val="001B1ED4"/>
    <w:rsid w:val="001B20C6"/>
    <w:rsid w:val="001B4E2E"/>
    <w:rsid w:val="001C4BF9"/>
    <w:rsid w:val="001C590F"/>
    <w:rsid w:val="001D041D"/>
    <w:rsid w:val="001D219E"/>
    <w:rsid w:val="001D29D6"/>
    <w:rsid w:val="001D6B6F"/>
    <w:rsid w:val="001D6D52"/>
    <w:rsid w:val="001E1F93"/>
    <w:rsid w:val="001E7B8A"/>
    <w:rsid w:val="001F3650"/>
    <w:rsid w:val="001F5B78"/>
    <w:rsid w:val="002032B6"/>
    <w:rsid w:val="00207C7E"/>
    <w:rsid w:val="00207E4D"/>
    <w:rsid w:val="00211006"/>
    <w:rsid w:val="00213FCA"/>
    <w:rsid w:val="00214D99"/>
    <w:rsid w:val="00216CA5"/>
    <w:rsid w:val="00230084"/>
    <w:rsid w:val="00232BAF"/>
    <w:rsid w:val="00234287"/>
    <w:rsid w:val="002345BB"/>
    <w:rsid w:val="002404BB"/>
    <w:rsid w:val="002416ED"/>
    <w:rsid w:val="002420BA"/>
    <w:rsid w:val="00244AC1"/>
    <w:rsid w:val="00245CBD"/>
    <w:rsid w:val="00247FD8"/>
    <w:rsid w:val="0025176B"/>
    <w:rsid w:val="002525EA"/>
    <w:rsid w:val="00254305"/>
    <w:rsid w:val="002571BF"/>
    <w:rsid w:val="002617BE"/>
    <w:rsid w:val="002628E8"/>
    <w:rsid w:val="00265133"/>
    <w:rsid w:val="00267C0E"/>
    <w:rsid w:val="00270B9B"/>
    <w:rsid w:val="00270E8A"/>
    <w:rsid w:val="00274700"/>
    <w:rsid w:val="00274EF0"/>
    <w:rsid w:val="00274FFD"/>
    <w:rsid w:val="002774CA"/>
    <w:rsid w:val="002828A1"/>
    <w:rsid w:val="00293AAE"/>
    <w:rsid w:val="002A1199"/>
    <w:rsid w:val="002A2D2F"/>
    <w:rsid w:val="002A3D2A"/>
    <w:rsid w:val="002A4791"/>
    <w:rsid w:val="002A4F0E"/>
    <w:rsid w:val="002A5500"/>
    <w:rsid w:val="002A689E"/>
    <w:rsid w:val="002C1474"/>
    <w:rsid w:val="002C7B51"/>
    <w:rsid w:val="002D2A54"/>
    <w:rsid w:val="002D3165"/>
    <w:rsid w:val="002D33BD"/>
    <w:rsid w:val="002D4489"/>
    <w:rsid w:val="002D64D2"/>
    <w:rsid w:val="002D7C8E"/>
    <w:rsid w:val="002E02DA"/>
    <w:rsid w:val="002E23F8"/>
    <w:rsid w:val="002E2FB1"/>
    <w:rsid w:val="002E4FBD"/>
    <w:rsid w:val="002E6790"/>
    <w:rsid w:val="002F22B3"/>
    <w:rsid w:val="002F27F0"/>
    <w:rsid w:val="002F3C6D"/>
    <w:rsid w:val="002F480E"/>
    <w:rsid w:val="002F7A59"/>
    <w:rsid w:val="003007AC"/>
    <w:rsid w:val="00301170"/>
    <w:rsid w:val="00301816"/>
    <w:rsid w:val="0030362F"/>
    <w:rsid w:val="00303706"/>
    <w:rsid w:val="00306A01"/>
    <w:rsid w:val="00307EDE"/>
    <w:rsid w:val="003149D3"/>
    <w:rsid w:val="00314A07"/>
    <w:rsid w:val="00314DB6"/>
    <w:rsid w:val="00317CD0"/>
    <w:rsid w:val="00321595"/>
    <w:rsid w:val="00326D9A"/>
    <w:rsid w:val="003279E4"/>
    <w:rsid w:val="00331739"/>
    <w:rsid w:val="00337341"/>
    <w:rsid w:val="00337586"/>
    <w:rsid w:val="0034256E"/>
    <w:rsid w:val="00343EA8"/>
    <w:rsid w:val="00344D0A"/>
    <w:rsid w:val="00345352"/>
    <w:rsid w:val="003470CD"/>
    <w:rsid w:val="00352015"/>
    <w:rsid w:val="00354463"/>
    <w:rsid w:val="00357C0A"/>
    <w:rsid w:val="00357FDC"/>
    <w:rsid w:val="00360964"/>
    <w:rsid w:val="00361436"/>
    <w:rsid w:val="00366423"/>
    <w:rsid w:val="003709CD"/>
    <w:rsid w:val="00371B95"/>
    <w:rsid w:val="003728ED"/>
    <w:rsid w:val="00374EAE"/>
    <w:rsid w:val="0037611A"/>
    <w:rsid w:val="00383799"/>
    <w:rsid w:val="00387CC2"/>
    <w:rsid w:val="00390CEB"/>
    <w:rsid w:val="003962E8"/>
    <w:rsid w:val="003A097B"/>
    <w:rsid w:val="003A2C60"/>
    <w:rsid w:val="003A457C"/>
    <w:rsid w:val="003A7D07"/>
    <w:rsid w:val="003B49AE"/>
    <w:rsid w:val="003B6555"/>
    <w:rsid w:val="003B72F1"/>
    <w:rsid w:val="003C046A"/>
    <w:rsid w:val="003C32F3"/>
    <w:rsid w:val="003D48B1"/>
    <w:rsid w:val="003E0D3A"/>
    <w:rsid w:val="004003EA"/>
    <w:rsid w:val="00403DBC"/>
    <w:rsid w:val="00407AD4"/>
    <w:rsid w:val="0041556B"/>
    <w:rsid w:val="00415866"/>
    <w:rsid w:val="00415C9A"/>
    <w:rsid w:val="004227BD"/>
    <w:rsid w:val="00424386"/>
    <w:rsid w:val="00436458"/>
    <w:rsid w:val="0044016F"/>
    <w:rsid w:val="00447E79"/>
    <w:rsid w:val="0045448B"/>
    <w:rsid w:val="0045488A"/>
    <w:rsid w:val="004559A8"/>
    <w:rsid w:val="00463371"/>
    <w:rsid w:val="00463608"/>
    <w:rsid w:val="0046491D"/>
    <w:rsid w:val="00472AF8"/>
    <w:rsid w:val="00477F63"/>
    <w:rsid w:val="00484073"/>
    <w:rsid w:val="00487351"/>
    <w:rsid w:val="00497A66"/>
    <w:rsid w:val="004A251B"/>
    <w:rsid w:val="004B0B17"/>
    <w:rsid w:val="004B2A09"/>
    <w:rsid w:val="004B2A3D"/>
    <w:rsid w:val="004D0D4D"/>
    <w:rsid w:val="004D4B92"/>
    <w:rsid w:val="004D7266"/>
    <w:rsid w:val="004D79B8"/>
    <w:rsid w:val="004E11C2"/>
    <w:rsid w:val="004E1C3B"/>
    <w:rsid w:val="004E6116"/>
    <w:rsid w:val="004F409B"/>
    <w:rsid w:val="004F4ADC"/>
    <w:rsid w:val="004F5367"/>
    <w:rsid w:val="004F5BE7"/>
    <w:rsid w:val="0050027B"/>
    <w:rsid w:val="00501370"/>
    <w:rsid w:val="0050454F"/>
    <w:rsid w:val="00507252"/>
    <w:rsid w:val="00510380"/>
    <w:rsid w:val="00511553"/>
    <w:rsid w:val="005122C1"/>
    <w:rsid w:val="005130CE"/>
    <w:rsid w:val="0051409E"/>
    <w:rsid w:val="00514370"/>
    <w:rsid w:val="00514ACC"/>
    <w:rsid w:val="005162CF"/>
    <w:rsid w:val="005165AD"/>
    <w:rsid w:val="00520544"/>
    <w:rsid w:val="005207AF"/>
    <w:rsid w:val="00523E1A"/>
    <w:rsid w:val="005272F7"/>
    <w:rsid w:val="00527C2D"/>
    <w:rsid w:val="00537A9A"/>
    <w:rsid w:val="005406B2"/>
    <w:rsid w:val="00541F17"/>
    <w:rsid w:val="005462C7"/>
    <w:rsid w:val="005468BC"/>
    <w:rsid w:val="0055289F"/>
    <w:rsid w:val="0055509A"/>
    <w:rsid w:val="005554B7"/>
    <w:rsid w:val="00556816"/>
    <w:rsid w:val="005657E7"/>
    <w:rsid w:val="00565FB6"/>
    <w:rsid w:val="00567AD0"/>
    <w:rsid w:val="005716B1"/>
    <w:rsid w:val="00571AE7"/>
    <w:rsid w:val="0057594A"/>
    <w:rsid w:val="00577981"/>
    <w:rsid w:val="0058246B"/>
    <w:rsid w:val="005858FF"/>
    <w:rsid w:val="00590B88"/>
    <w:rsid w:val="00593C5F"/>
    <w:rsid w:val="00597857"/>
    <w:rsid w:val="005A2A17"/>
    <w:rsid w:val="005A5CF6"/>
    <w:rsid w:val="005A6599"/>
    <w:rsid w:val="005B2025"/>
    <w:rsid w:val="005C0C74"/>
    <w:rsid w:val="005C2786"/>
    <w:rsid w:val="005C469F"/>
    <w:rsid w:val="005D399E"/>
    <w:rsid w:val="005D5636"/>
    <w:rsid w:val="005D6330"/>
    <w:rsid w:val="005D71D4"/>
    <w:rsid w:val="005D7FE0"/>
    <w:rsid w:val="005E5E7C"/>
    <w:rsid w:val="005E6258"/>
    <w:rsid w:val="005F19AA"/>
    <w:rsid w:val="005F26E7"/>
    <w:rsid w:val="005F2CD5"/>
    <w:rsid w:val="005F4660"/>
    <w:rsid w:val="005F5932"/>
    <w:rsid w:val="005F5A3E"/>
    <w:rsid w:val="006033EC"/>
    <w:rsid w:val="00603B74"/>
    <w:rsid w:val="00613D09"/>
    <w:rsid w:val="0061633C"/>
    <w:rsid w:val="00626C23"/>
    <w:rsid w:val="006326B1"/>
    <w:rsid w:val="0063448C"/>
    <w:rsid w:val="006367B1"/>
    <w:rsid w:val="006419BA"/>
    <w:rsid w:val="00642644"/>
    <w:rsid w:val="006462A5"/>
    <w:rsid w:val="00654EF4"/>
    <w:rsid w:val="006638D6"/>
    <w:rsid w:val="0067171D"/>
    <w:rsid w:val="00672DA7"/>
    <w:rsid w:val="006777B6"/>
    <w:rsid w:val="00691FB1"/>
    <w:rsid w:val="00694417"/>
    <w:rsid w:val="00694AC0"/>
    <w:rsid w:val="00696AA9"/>
    <w:rsid w:val="006A18F4"/>
    <w:rsid w:val="006A4177"/>
    <w:rsid w:val="006A63B2"/>
    <w:rsid w:val="006B0DF1"/>
    <w:rsid w:val="006B0EF2"/>
    <w:rsid w:val="006B1189"/>
    <w:rsid w:val="006C6CBD"/>
    <w:rsid w:val="006C6FF0"/>
    <w:rsid w:val="006C7EFF"/>
    <w:rsid w:val="006D0727"/>
    <w:rsid w:val="006E501D"/>
    <w:rsid w:val="006E5EE2"/>
    <w:rsid w:val="006E7075"/>
    <w:rsid w:val="006F24D4"/>
    <w:rsid w:val="006F3BF8"/>
    <w:rsid w:val="006F70C6"/>
    <w:rsid w:val="007029C9"/>
    <w:rsid w:val="00704450"/>
    <w:rsid w:val="00704BC6"/>
    <w:rsid w:val="007122F0"/>
    <w:rsid w:val="00712736"/>
    <w:rsid w:val="007129D4"/>
    <w:rsid w:val="00714AC9"/>
    <w:rsid w:val="00715491"/>
    <w:rsid w:val="00727A42"/>
    <w:rsid w:val="00736618"/>
    <w:rsid w:val="0073739A"/>
    <w:rsid w:val="007409A2"/>
    <w:rsid w:val="007420D3"/>
    <w:rsid w:val="00742E6B"/>
    <w:rsid w:val="0074723B"/>
    <w:rsid w:val="0075000E"/>
    <w:rsid w:val="0075032A"/>
    <w:rsid w:val="0075103E"/>
    <w:rsid w:val="00756F20"/>
    <w:rsid w:val="007572A5"/>
    <w:rsid w:val="0076227B"/>
    <w:rsid w:val="00762FB6"/>
    <w:rsid w:val="0077114E"/>
    <w:rsid w:val="00773E1D"/>
    <w:rsid w:val="00774005"/>
    <w:rsid w:val="00776E57"/>
    <w:rsid w:val="00781489"/>
    <w:rsid w:val="00781C30"/>
    <w:rsid w:val="007828CB"/>
    <w:rsid w:val="007833C0"/>
    <w:rsid w:val="00783F4A"/>
    <w:rsid w:val="007857E3"/>
    <w:rsid w:val="00793591"/>
    <w:rsid w:val="007A175F"/>
    <w:rsid w:val="007A27FF"/>
    <w:rsid w:val="007A59CD"/>
    <w:rsid w:val="007B1131"/>
    <w:rsid w:val="007C04E1"/>
    <w:rsid w:val="007C0981"/>
    <w:rsid w:val="007C11B8"/>
    <w:rsid w:val="007C383C"/>
    <w:rsid w:val="007C3FFD"/>
    <w:rsid w:val="007D366A"/>
    <w:rsid w:val="007D4AD8"/>
    <w:rsid w:val="007D7D41"/>
    <w:rsid w:val="007E0DB4"/>
    <w:rsid w:val="007E10A1"/>
    <w:rsid w:val="007E3D28"/>
    <w:rsid w:val="007F35D9"/>
    <w:rsid w:val="007F4B88"/>
    <w:rsid w:val="007F4E35"/>
    <w:rsid w:val="0080564D"/>
    <w:rsid w:val="00807C93"/>
    <w:rsid w:val="00807CAC"/>
    <w:rsid w:val="00812804"/>
    <w:rsid w:val="00815C82"/>
    <w:rsid w:val="008172CE"/>
    <w:rsid w:val="00820CFA"/>
    <w:rsid w:val="00821C44"/>
    <w:rsid w:val="008221A9"/>
    <w:rsid w:val="0082220E"/>
    <w:rsid w:val="0083039E"/>
    <w:rsid w:val="00831322"/>
    <w:rsid w:val="00835126"/>
    <w:rsid w:val="008365ED"/>
    <w:rsid w:val="00836CE0"/>
    <w:rsid w:val="00837354"/>
    <w:rsid w:val="00837F0F"/>
    <w:rsid w:val="008402D5"/>
    <w:rsid w:val="008446AD"/>
    <w:rsid w:val="00850429"/>
    <w:rsid w:val="00851EB8"/>
    <w:rsid w:val="008540A0"/>
    <w:rsid w:val="00857296"/>
    <w:rsid w:val="00863AF6"/>
    <w:rsid w:val="00870E50"/>
    <w:rsid w:val="008711D2"/>
    <w:rsid w:val="00871479"/>
    <w:rsid w:val="00874A09"/>
    <w:rsid w:val="008758AF"/>
    <w:rsid w:val="0088114B"/>
    <w:rsid w:val="0088172F"/>
    <w:rsid w:val="00881D74"/>
    <w:rsid w:val="008835F0"/>
    <w:rsid w:val="0088395D"/>
    <w:rsid w:val="00890A45"/>
    <w:rsid w:val="008945AA"/>
    <w:rsid w:val="00894A49"/>
    <w:rsid w:val="008A1424"/>
    <w:rsid w:val="008A2667"/>
    <w:rsid w:val="008B0326"/>
    <w:rsid w:val="008B0B6D"/>
    <w:rsid w:val="008B25B7"/>
    <w:rsid w:val="008B4938"/>
    <w:rsid w:val="008B56C2"/>
    <w:rsid w:val="008B72C7"/>
    <w:rsid w:val="008C5D4A"/>
    <w:rsid w:val="008D2A61"/>
    <w:rsid w:val="008D36E7"/>
    <w:rsid w:val="008E1A20"/>
    <w:rsid w:val="008E33EE"/>
    <w:rsid w:val="008E7135"/>
    <w:rsid w:val="008F5767"/>
    <w:rsid w:val="009016A7"/>
    <w:rsid w:val="00901FC2"/>
    <w:rsid w:val="00905C68"/>
    <w:rsid w:val="009120C5"/>
    <w:rsid w:val="00913CE4"/>
    <w:rsid w:val="009161A1"/>
    <w:rsid w:val="009175FF"/>
    <w:rsid w:val="0092047F"/>
    <w:rsid w:val="00920EB8"/>
    <w:rsid w:val="00921011"/>
    <w:rsid w:val="00922E56"/>
    <w:rsid w:val="0093008F"/>
    <w:rsid w:val="00930392"/>
    <w:rsid w:val="009352DF"/>
    <w:rsid w:val="0094034F"/>
    <w:rsid w:val="009478FB"/>
    <w:rsid w:val="0096457F"/>
    <w:rsid w:val="00964741"/>
    <w:rsid w:val="00965E2E"/>
    <w:rsid w:val="009664F4"/>
    <w:rsid w:val="00967801"/>
    <w:rsid w:val="00970CCB"/>
    <w:rsid w:val="00973D15"/>
    <w:rsid w:val="00980ABC"/>
    <w:rsid w:val="00982129"/>
    <w:rsid w:val="0098594A"/>
    <w:rsid w:val="00996A85"/>
    <w:rsid w:val="00996E48"/>
    <w:rsid w:val="009A3F8C"/>
    <w:rsid w:val="009A66D6"/>
    <w:rsid w:val="009B0290"/>
    <w:rsid w:val="009B4BAE"/>
    <w:rsid w:val="009B6F36"/>
    <w:rsid w:val="009C48BF"/>
    <w:rsid w:val="009C4EBA"/>
    <w:rsid w:val="009D0A85"/>
    <w:rsid w:val="009D2D25"/>
    <w:rsid w:val="009D3ED8"/>
    <w:rsid w:val="009D7DEF"/>
    <w:rsid w:val="009E6DAE"/>
    <w:rsid w:val="009E7FE0"/>
    <w:rsid w:val="009F1D55"/>
    <w:rsid w:val="00A02453"/>
    <w:rsid w:val="00A02A40"/>
    <w:rsid w:val="00A03157"/>
    <w:rsid w:val="00A0529C"/>
    <w:rsid w:val="00A05922"/>
    <w:rsid w:val="00A06312"/>
    <w:rsid w:val="00A13243"/>
    <w:rsid w:val="00A1576E"/>
    <w:rsid w:val="00A16D2C"/>
    <w:rsid w:val="00A20AD0"/>
    <w:rsid w:val="00A30CC1"/>
    <w:rsid w:val="00A319AF"/>
    <w:rsid w:val="00A33A41"/>
    <w:rsid w:val="00A34C91"/>
    <w:rsid w:val="00A35430"/>
    <w:rsid w:val="00A41016"/>
    <w:rsid w:val="00A41E13"/>
    <w:rsid w:val="00A4314E"/>
    <w:rsid w:val="00A5541F"/>
    <w:rsid w:val="00A56F07"/>
    <w:rsid w:val="00A61C5D"/>
    <w:rsid w:val="00A65670"/>
    <w:rsid w:val="00A65A84"/>
    <w:rsid w:val="00A67F84"/>
    <w:rsid w:val="00A7580B"/>
    <w:rsid w:val="00A77AC7"/>
    <w:rsid w:val="00A81954"/>
    <w:rsid w:val="00A81A0A"/>
    <w:rsid w:val="00A81B05"/>
    <w:rsid w:val="00A84207"/>
    <w:rsid w:val="00A96631"/>
    <w:rsid w:val="00A978D1"/>
    <w:rsid w:val="00AA2D3E"/>
    <w:rsid w:val="00AA74CD"/>
    <w:rsid w:val="00AB5DB0"/>
    <w:rsid w:val="00AB715B"/>
    <w:rsid w:val="00AC087C"/>
    <w:rsid w:val="00AC1AA0"/>
    <w:rsid w:val="00AD296B"/>
    <w:rsid w:val="00AD6A65"/>
    <w:rsid w:val="00AD7943"/>
    <w:rsid w:val="00AE3D98"/>
    <w:rsid w:val="00AE7721"/>
    <w:rsid w:val="00AF462F"/>
    <w:rsid w:val="00AF6719"/>
    <w:rsid w:val="00AF67F2"/>
    <w:rsid w:val="00B11E93"/>
    <w:rsid w:val="00B20424"/>
    <w:rsid w:val="00B300BC"/>
    <w:rsid w:val="00B314CF"/>
    <w:rsid w:val="00B33651"/>
    <w:rsid w:val="00B36D6F"/>
    <w:rsid w:val="00B3787B"/>
    <w:rsid w:val="00B44C5E"/>
    <w:rsid w:val="00B47A1A"/>
    <w:rsid w:val="00B50E71"/>
    <w:rsid w:val="00B51677"/>
    <w:rsid w:val="00B54C8E"/>
    <w:rsid w:val="00B54E32"/>
    <w:rsid w:val="00B60883"/>
    <w:rsid w:val="00B60A2A"/>
    <w:rsid w:val="00B62927"/>
    <w:rsid w:val="00B7148C"/>
    <w:rsid w:val="00B75886"/>
    <w:rsid w:val="00B77D06"/>
    <w:rsid w:val="00B831AA"/>
    <w:rsid w:val="00B83860"/>
    <w:rsid w:val="00B900F5"/>
    <w:rsid w:val="00B93A79"/>
    <w:rsid w:val="00B93E6B"/>
    <w:rsid w:val="00BA2494"/>
    <w:rsid w:val="00BA3930"/>
    <w:rsid w:val="00BA7751"/>
    <w:rsid w:val="00BB0AE3"/>
    <w:rsid w:val="00BB0BEB"/>
    <w:rsid w:val="00BB250B"/>
    <w:rsid w:val="00BB417F"/>
    <w:rsid w:val="00BB47C0"/>
    <w:rsid w:val="00BB4B63"/>
    <w:rsid w:val="00BB5164"/>
    <w:rsid w:val="00BC44F7"/>
    <w:rsid w:val="00BC6E03"/>
    <w:rsid w:val="00BD1D5F"/>
    <w:rsid w:val="00BD2AEC"/>
    <w:rsid w:val="00BD3913"/>
    <w:rsid w:val="00BD64CD"/>
    <w:rsid w:val="00BE2912"/>
    <w:rsid w:val="00BE2BC8"/>
    <w:rsid w:val="00BE3126"/>
    <w:rsid w:val="00BE6E61"/>
    <w:rsid w:val="00BF323D"/>
    <w:rsid w:val="00BF51CA"/>
    <w:rsid w:val="00C002C7"/>
    <w:rsid w:val="00C02837"/>
    <w:rsid w:val="00C02BB8"/>
    <w:rsid w:val="00C11258"/>
    <w:rsid w:val="00C12635"/>
    <w:rsid w:val="00C25450"/>
    <w:rsid w:val="00C25C58"/>
    <w:rsid w:val="00C30299"/>
    <w:rsid w:val="00C44211"/>
    <w:rsid w:val="00C44776"/>
    <w:rsid w:val="00C44D58"/>
    <w:rsid w:val="00C55F68"/>
    <w:rsid w:val="00C61B71"/>
    <w:rsid w:val="00C62ACF"/>
    <w:rsid w:val="00C7188D"/>
    <w:rsid w:val="00C7465B"/>
    <w:rsid w:val="00C824C9"/>
    <w:rsid w:val="00C82F5D"/>
    <w:rsid w:val="00C8797A"/>
    <w:rsid w:val="00C927B2"/>
    <w:rsid w:val="00C94A7E"/>
    <w:rsid w:val="00C97696"/>
    <w:rsid w:val="00CA0EAD"/>
    <w:rsid w:val="00CA1419"/>
    <w:rsid w:val="00CA68C2"/>
    <w:rsid w:val="00CB1370"/>
    <w:rsid w:val="00CB24F7"/>
    <w:rsid w:val="00CB500E"/>
    <w:rsid w:val="00CB5564"/>
    <w:rsid w:val="00CB6D80"/>
    <w:rsid w:val="00CB76FF"/>
    <w:rsid w:val="00CC5EEE"/>
    <w:rsid w:val="00CC6F8B"/>
    <w:rsid w:val="00CD011F"/>
    <w:rsid w:val="00CD2B7B"/>
    <w:rsid w:val="00CD5B2F"/>
    <w:rsid w:val="00CE0FC6"/>
    <w:rsid w:val="00CE6DC3"/>
    <w:rsid w:val="00CE76C9"/>
    <w:rsid w:val="00CF1E43"/>
    <w:rsid w:val="00CF73B2"/>
    <w:rsid w:val="00D01EEC"/>
    <w:rsid w:val="00D050B1"/>
    <w:rsid w:val="00D126DD"/>
    <w:rsid w:val="00D136E7"/>
    <w:rsid w:val="00D17623"/>
    <w:rsid w:val="00D22CC0"/>
    <w:rsid w:val="00D33800"/>
    <w:rsid w:val="00D33AEE"/>
    <w:rsid w:val="00D34D4D"/>
    <w:rsid w:val="00D52263"/>
    <w:rsid w:val="00D6410A"/>
    <w:rsid w:val="00D67663"/>
    <w:rsid w:val="00D71163"/>
    <w:rsid w:val="00D73A94"/>
    <w:rsid w:val="00D75118"/>
    <w:rsid w:val="00D8505D"/>
    <w:rsid w:val="00D85FD6"/>
    <w:rsid w:val="00D909DC"/>
    <w:rsid w:val="00D95352"/>
    <w:rsid w:val="00DA7E63"/>
    <w:rsid w:val="00DB4903"/>
    <w:rsid w:val="00DB4AA1"/>
    <w:rsid w:val="00DB4BAB"/>
    <w:rsid w:val="00DB6888"/>
    <w:rsid w:val="00DB6AD6"/>
    <w:rsid w:val="00DB7A31"/>
    <w:rsid w:val="00DC0EA1"/>
    <w:rsid w:val="00DC3AA5"/>
    <w:rsid w:val="00DC3E40"/>
    <w:rsid w:val="00DC57A0"/>
    <w:rsid w:val="00DC71B5"/>
    <w:rsid w:val="00DD2753"/>
    <w:rsid w:val="00DD3AFB"/>
    <w:rsid w:val="00DD68C9"/>
    <w:rsid w:val="00DE40D3"/>
    <w:rsid w:val="00DE4207"/>
    <w:rsid w:val="00DF4B48"/>
    <w:rsid w:val="00DF536B"/>
    <w:rsid w:val="00DF7229"/>
    <w:rsid w:val="00E1211B"/>
    <w:rsid w:val="00E134D4"/>
    <w:rsid w:val="00E163F6"/>
    <w:rsid w:val="00E20A06"/>
    <w:rsid w:val="00E257B1"/>
    <w:rsid w:val="00E42DFC"/>
    <w:rsid w:val="00E43D4F"/>
    <w:rsid w:val="00E443B5"/>
    <w:rsid w:val="00E516E3"/>
    <w:rsid w:val="00E51EAD"/>
    <w:rsid w:val="00E55732"/>
    <w:rsid w:val="00E55D1B"/>
    <w:rsid w:val="00E56DEE"/>
    <w:rsid w:val="00E61B0C"/>
    <w:rsid w:val="00E636BC"/>
    <w:rsid w:val="00E72F31"/>
    <w:rsid w:val="00E750E7"/>
    <w:rsid w:val="00E7645A"/>
    <w:rsid w:val="00E77D47"/>
    <w:rsid w:val="00E814BF"/>
    <w:rsid w:val="00E81840"/>
    <w:rsid w:val="00E8235C"/>
    <w:rsid w:val="00E8352C"/>
    <w:rsid w:val="00E84ABA"/>
    <w:rsid w:val="00E85006"/>
    <w:rsid w:val="00EA5D73"/>
    <w:rsid w:val="00EB27D5"/>
    <w:rsid w:val="00EB2888"/>
    <w:rsid w:val="00EB2ED2"/>
    <w:rsid w:val="00EB35CF"/>
    <w:rsid w:val="00EB7C23"/>
    <w:rsid w:val="00EC1F49"/>
    <w:rsid w:val="00EC2712"/>
    <w:rsid w:val="00EC55D0"/>
    <w:rsid w:val="00EC57E9"/>
    <w:rsid w:val="00EC5A5D"/>
    <w:rsid w:val="00EC7659"/>
    <w:rsid w:val="00EC79A6"/>
    <w:rsid w:val="00EC7BB8"/>
    <w:rsid w:val="00ED1054"/>
    <w:rsid w:val="00ED3B5A"/>
    <w:rsid w:val="00ED5192"/>
    <w:rsid w:val="00ED7D1B"/>
    <w:rsid w:val="00EE2A3F"/>
    <w:rsid w:val="00EE2A5B"/>
    <w:rsid w:val="00EE321C"/>
    <w:rsid w:val="00EE5AD6"/>
    <w:rsid w:val="00EF352A"/>
    <w:rsid w:val="00EF6C8F"/>
    <w:rsid w:val="00F027B6"/>
    <w:rsid w:val="00F0387D"/>
    <w:rsid w:val="00F047E6"/>
    <w:rsid w:val="00F0716E"/>
    <w:rsid w:val="00F139DF"/>
    <w:rsid w:val="00F17933"/>
    <w:rsid w:val="00F20466"/>
    <w:rsid w:val="00F23401"/>
    <w:rsid w:val="00F23D64"/>
    <w:rsid w:val="00F263EE"/>
    <w:rsid w:val="00F26474"/>
    <w:rsid w:val="00F416EE"/>
    <w:rsid w:val="00F42486"/>
    <w:rsid w:val="00F42D25"/>
    <w:rsid w:val="00F462B3"/>
    <w:rsid w:val="00F47612"/>
    <w:rsid w:val="00F5268E"/>
    <w:rsid w:val="00F53C7B"/>
    <w:rsid w:val="00F61C0E"/>
    <w:rsid w:val="00F65A9F"/>
    <w:rsid w:val="00F73A50"/>
    <w:rsid w:val="00F77601"/>
    <w:rsid w:val="00F810B1"/>
    <w:rsid w:val="00F8418A"/>
    <w:rsid w:val="00F85C55"/>
    <w:rsid w:val="00F868C9"/>
    <w:rsid w:val="00F87B0B"/>
    <w:rsid w:val="00F90C48"/>
    <w:rsid w:val="00F95CF1"/>
    <w:rsid w:val="00FA2537"/>
    <w:rsid w:val="00FA6791"/>
    <w:rsid w:val="00FA7633"/>
    <w:rsid w:val="00FB05C9"/>
    <w:rsid w:val="00FB0B69"/>
    <w:rsid w:val="00FB1767"/>
    <w:rsid w:val="00FB7138"/>
    <w:rsid w:val="00FC0E63"/>
    <w:rsid w:val="00FD2120"/>
    <w:rsid w:val="00FD61B9"/>
    <w:rsid w:val="00FD62F0"/>
    <w:rsid w:val="00FD7DB4"/>
    <w:rsid w:val="00FE5AF8"/>
    <w:rsid w:val="00FE67E2"/>
    <w:rsid w:val="00FE7480"/>
    <w:rsid w:val="00FF369B"/>
    <w:rsid w:val="00FF3DAF"/>
    <w:rsid w:val="00FF6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2FEE21E-D214-4C54-A702-3CFF76A0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6DEE"/>
    <w:rPr>
      <w:rFonts w:ascii="Verdana" w:hAnsi="Verdana"/>
      <w:sz w:val="18"/>
      <w:szCs w:val="18"/>
    </w:rPr>
  </w:style>
  <w:style w:type="paragraph" w:styleId="Kop1">
    <w:name w:val="heading 1"/>
    <w:basedOn w:val="Standaard"/>
    <w:next w:val="Standaard"/>
    <w:link w:val="Kop1Char"/>
    <w:qFormat/>
    <w:rsid w:val="00E56DEE"/>
    <w:pPr>
      <w:keepNext/>
      <w:spacing w:before="240" w:after="60"/>
      <w:outlineLvl w:val="0"/>
    </w:pPr>
    <w:rPr>
      <w:rFonts w:ascii="Cambria" w:hAnsi="Cambria"/>
      <w:b/>
      <w:bCs/>
      <w:kern w:val="32"/>
      <w:sz w:val="32"/>
      <w:szCs w:val="32"/>
    </w:rPr>
  </w:style>
  <w:style w:type="paragraph" w:styleId="Kop2">
    <w:name w:val="heading 2"/>
    <w:basedOn w:val="Standaard"/>
    <w:next w:val="Standaard"/>
    <w:qFormat/>
    <w:rsid w:val="00E56DEE"/>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E56DEE"/>
    <w:pPr>
      <w:keepNext/>
      <w:spacing w:before="240" w:after="60"/>
      <w:outlineLvl w:val="2"/>
    </w:pPr>
    <w:rPr>
      <w:rFonts w:ascii="Arial" w:hAnsi="Arial" w:cs="Arial"/>
      <w:b/>
      <w:bCs/>
      <w:sz w:val="26"/>
      <w:szCs w:val="26"/>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customStyle="1" w:styleId="Kop1Char">
    <w:name w:val="Kop 1 Char"/>
    <w:basedOn w:val="Standaardalinea-lettertype"/>
    <w:link w:val="Kop1"/>
    <w:rsid w:val="00E56DEE"/>
    <w:rPr>
      <w:rFonts w:ascii="Cambria" w:hAnsi="Cambria"/>
      <w:b/>
      <w:bCs/>
      <w:kern w:val="32"/>
      <w:sz w:val="32"/>
      <w:szCs w:val="32"/>
      <w:lang w:val="nl-NL" w:eastAsia="nl-NL" w:bidi="ar-SA"/>
    </w:rPr>
  </w:style>
  <w:style w:type="paragraph" w:styleId="Koptekst">
    <w:name w:val="header"/>
    <w:basedOn w:val="Standaard"/>
    <w:rsid w:val="00E56DEE"/>
    <w:pPr>
      <w:tabs>
        <w:tab w:val="center" w:pos="4536"/>
        <w:tab w:val="right" w:pos="9072"/>
      </w:tabs>
    </w:pPr>
  </w:style>
  <w:style w:type="paragraph" w:styleId="Voettekst">
    <w:name w:val="footer"/>
    <w:basedOn w:val="Standaard"/>
    <w:rsid w:val="00E56DEE"/>
    <w:pPr>
      <w:tabs>
        <w:tab w:val="center" w:pos="4536"/>
        <w:tab w:val="right" w:pos="9072"/>
      </w:tabs>
    </w:pPr>
  </w:style>
  <w:style w:type="character" w:styleId="Paginanummer">
    <w:name w:val="page number"/>
    <w:basedOn w:val="Standaardalinea-lettertype"/>
    <w:rsid w:val="00E56DEE"/>
  </w:style>
  <w:style w:type="character" w:styleId="Hyperlink">
    <w:name w:val="Hyperlink"/>
    <w:basedOn w:val="Standaardalinea-lettertype"/>
    <w:rsid w:val="00E56DEE"/>
    <w:rPr>
      <w:color w:val="0000FF"/>
      <w:u w:val="single"/>
    </w:rPr>
  </w:style>
  <w:style w:type="paragraph" w:customStyle="1" w:styleId="AlineaNum">
    <w:name w:val="AlineaNum"/>
    <w:basedOn w:val="Standaard"/>
    <w:rsid w:val="00E56DEE"/>
    <w:pPr>
      <w:keepLines/>
      <w:tabs>
        <w:tab w:val="left" w:pos="720"/>
      </w:tabs>
      <w:spacing w:before="240" w:line="280" w:lineRule="atLeast"/>
    </w:pPr>
    <w:rPr>
      <w:rFonts w:ascii="Arial" w:hAnsi="Arial"/>
      <w:sz w:val="19"/>
      <w:szCs w:val="20"/>
      <w:lang w:eastAsia="en-US"/>
    </w:rPr>
  </w:style>
  <w:style w:type="paragraph" w:styleId="Inhopg1">
    <w:name w:val="toc 1"/>
    <w:basedOn w:val="Standaard"/>
    <w:next w:val="Standaard"/>
    <w:autoRedefine/>
    <w:rsid w:val="00E56DEE"/>
    <w:pPr>
      <w:tabs>
        <w:tab w:val="left" w:pos="180"/>
        <w:tab w:val="right" w:leader="dot" w:pos="9072"/>
      </w:tabs>
    </w:pPr>
    <w:rPr>
      <w:b/>
      <w:noProof/>
    </w:rPr>
  </w:style>
  <w:style w:type="paragraph" w:styleId="Inhopg2">
    <w:name w:val="toc 2"/>
    <w:basedOn w:val="Standaard"/>
    <w:next w:val="Standaard"/>
    <w:autoRedefine/>
    <w:rsid w:val="00E56DEE"/>
    <w:pPr>
      <w:tabs>
        <w:tab w:val="left" w:pos="180"/>
        <w:tab w:val="left" w:pos="720"/>
        <w:tab w:val="left" w:pos="880"/>
        <w:tab w:val="right" w:leader="dot" w:pos="9074"/>
      </w:tabs>
      <w:ind w:left="180"/>
    </w:pPr>
    <w:rPr>
      <w:noProof/>
    </w:rPr>
  </w:style>
  <w:style w:type="paragraph" w:customStyle="1" w:styleId="Briefkop">
    <w:name w:val="Briefkop"/>
    <w:basedOn w:val="Standaard"/>
    <w:rsid w:val="00E56DEE"/>
    <w:pPr>
      <w:framePr w:hSpace="142" w:vSpace="142" w:wrap="notBeside" w:vAnchor="page" w:hAnchor="page" w:x="1419" w:y="1844"/>
      <w:widowControl w:val="0"/>
      <w:numPr>
        <w:ilvl w:val="1"/>
        <w:numId w:val="20"/>
      </w:numPr>
      <w:tabs>
        <w:tab w:val="clear" w:pos="720"/>
      </w:tabs>
      <w:suppressAutoHyphens/>
      <w:spacing w:line="260" w:lineRule="exact"/>
      <w:ind w:left="0" w:firstLine="0"/>
    </w:pPr>
    <w:rPr>
      <w:rFonts w:ascii="Arial" w:hAnsi="Arial"/>
      <w:sz w:val="20"/>
      <w:szCs w:val="20"/>
    </w:rPr>
  </w:style>
  <w:style w:type="paragraph" w:customStyle="1" w:styleId="Kop10">
    <w:name w:val="Kop 10"/>
    <w:basedOn w:val="AlineaNum"/>
    <w:rsid w:val="00E56DEE"/>
    <w:pPr>
      <w:numPr>
        <w:ilvl w:val="1"/>
        <w:numId w:val="4"/>
      </w:numPr>
      <w:spacing w:before="0" w:line="240" w:lineRule="auto"/>
    </w:pPr>
    <w:rPr>
      <w:rFonts w:cs="Arial"/>
      <w:b/>
      <w:bCs/>
      <w:sz w:val="20"/>
    </w:rPr>
  </w:style>
  <w:style w:type="paragraph" w:styleId="Plattetekstinspringen">
    <w:name w:val="Body Text Indent"/>
    <w:basedOn w:val="Standaard"/>
    <w:rsid w:val="00E56DEE"/>
    <w:pPr>
      <w:widowControl w:val="0"/>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djustRightInd w:val="0"/>
      <w:ind w:left="2268"/>
      <w:jc w:val="both"/>
      <w:textAlignment w:val="baseline"/>
    </w:pPr>
    <w:rPr>
      <w:rFonts w:ascii="Univers" w:hAnsi="Univers"/>
      <w:sz w:val="20"/>
      <w:szCs w:val="20"/>
    </w:rPr>
  </w:style>
  <w:style w:type="paragraph" w:styleId="Ballontekst">
    <w:name w:val="Balloon Text"/>
    <w:basedOn w:val="Standaard"/>
    <w:link w:val="BallontekstChar"/>
    <w:rsid w:val="00E56DEE"/>
    <w:rPr>
      <w:rFonts w:ascii="Tahoma" w:hAnsi="Tahoma" w:cs="Tahoma"/>
      <w:sz w:val="16"/>
      <w:szCs w:val="16"/>
    </w:rPr>
  </w:style>
  <w:style w:type="character" w:customStyle="1" w:styleId="BallontekstChar">
    <w:name w:val="Ballontekst Char"/>
    <w:basedOn w:val="Standaardalinea-lettertype"/>
    <w:link w:val="Ballontekst"/>
    <w:rsid w:val="00E56DEE"/>
    <w:rPr>
      <w:rFonts w:ascii="Tahoma" w:hAnsi="Tahoma" w:cs="Tahoma"/>
      <w:sz w:val="16"/>
      <w:szCs w:val="16"/>
      <w:lang w:val="nl-NL" w:eastAsia="nl-NL" w:bidi="ar-SA"/>
    </w:rPr>
  </w:style>
  <w:style w:type="paragraph" w:styleId="Kopvaninhoudsopgave">
    <w:name w:val="TOC Heading"/>
    <w:basedOn w:val="Kop1"/>
    <w:next w:val="Standaard"/>
    <w:qFormat/>
    <w:rsid w:val="00E56DEE"/>
    <w:pPr>
      <w:keepLines/>
      <w:spacing w:before="480" w:after="0" w:line="276" w:lineRule="auto"/>
      <w:outlineLvl w:val="9"/>
    </w:pPr>
    <w:rPr>
      <w:color w:val="365F91"/>
      <w:kern w:val="0"/>
      <w:sz w:val="28"/>
      <w:szCs w:val="28"/>
      <w:lang w:eastAsia="en-US"/>
    </w:rPr>
  </w:style>
  <w:style w:type="paragraph" w:styleId="Documentstructuur">
    <w:name w:val="Document Map"/>
    <w:basedOn w:val="Standaard"/>
    <w:link w:val="DocumentstructuurChar"/>
    <w:rsid w:val="00E56DEE"/>
    <w:rPr>
      <w:rFonts w:ascii="Tahoma" w:hAnsi="Tahoma" w:cs="Tahoma"/>
      <w:sz w:val="16"/>
      <w:szCs w:val="16"/>
    </w:rPr>
  </w:style>
  <w:style w:type="character" w:customStyle="1" w:styleId="DocumentstructuurChar">
    <w:name w:val="Documentstructuur Char"/>
    <w:basedOn w:val="Standaardalinea-lettertype"/>
    <w:link w:val="Documentstructuur"/>
    <w:rsid w:val="00E56DEE"/>
    <w:rPr>
      <w:rFonts w:ascii="Tahoma" w:hAnsi="Tahoma" w:cs="Tahoma"/>
      <w:sz w:val="16"/>
      <w:szCs w:val="16"/>
      <w:lang w:val="nl-NL" w:eastAsia="nl-NL" w:bidi="ar-SA"/>
    </w:rPr>
  </w:style>
  <w:style w:type="paragraph" w:customStyle="1" w:styleId="kopnormalbold">
    <w:name w:val="kop normal bold"/>
    <w:basedOn w:val="Standaard"/>
    <w:autoRedefine/>
    <w:rsid w:val="00E56DEE"/>
    <w:pPr>
      <w:keepNext/>
      <w:tabs>
        <w:tab w:val="left" w:pos="972"/>
      </w:tabs>
      <w:spacing w:line="260" w:lineRule="exact"/>
      <w:outlineLvl w:val="1"/>
    </w:pPr>
    <w:rPr>
      <w:rFonts w:eastAsia="MS Mincho" w:cs="Arial"/>
      <w:bCs/>
      <w:szCs w:val="19"/>
    </w:rPr>
  </w:style>
  <w:style w:type="character" w:styleId="Verwijzingopmerking">
    <w:name w:val="annotation reference"/>
    <w:basedOn w:val="Standaardalinea-lettertype"/>
    <w:rsid w:val="00E56DEE"/>
    <w:rPr>
      <w:sz w:val="16"/>
      <w:szCs w:val="16"/>
    </w:rPr>
  </w:style>
  <w:style w:type="paragraph" w:styleId="Tekstopmerking">
    <w:name w:val="annotation text"/>
    <w:basedOn w:val="Standaard"/>
    <w:link w:val="TekstopmerkingChar"/>
    <w:rsid w:val="00E56DEE"/>
    <w:rPr>
      <w:sz w:val="20"/>
      <w:szCs w:val="20"/>
    </w:rPr>
  </w:style>
  <w:style w:type="character" w:customStyle="1" w:styleId="TekstopmerkingChar">
    <w:name w:val="Tekst opmerking Char"/>
    <w:basedOn w:val="Standaardalinea-lettertype"/>
    <w:link w:val="Tekstopmerking"/>
    <w:rsid w:val="00E56DEE"/>
    <w:rPr>
      <w:rFonts w:ascii="Verdana" w:hAnsi="Verdana"/>
      <w:lang w:val="nl-NL" w:eastAsia="nl-NL" w:bidi="ar-SA"/>
    </w:rPr>
  </w:style>
  <w:style w:type="paragraph" w:styleId="Onderwerpvanopmerking">
    <w:name w:val="annotation subject"/>
    <w:basedOn w:val="Tekstopmerking"/>
    <w:next w:val="Tekstopmerking"/>
    <w:link w:val="OnderwerpvanopmerkingChar"/>
    <w:rsid w:val="00E56DEE"/>
    <w:rPr>
      <w:b/>
      <w:bCs/>
    </w:rPr>
  </w:style>
  <w:style w:type="character" w:customStyle="1" w:styleId="OnderwerpvanopmerkingChar">
    <w:name w:val="Onderwerp van opmerking Char"/>
    <w:basedOn w:val="TekstopmerkingChar"/>
    <w:link w:val="Onderwerpvanopmerking"/>
    <w:rsid w:val="00E56DEE"/>
    <w:rPr>
      <w:rFonts w:ascii="Verdana" w:hAnsi="Verdana"/>
      <w:b/>
      <w:bCs/>
      <w:lang w:val="nl-NL" w:eastAsia="nl-NL" w:bidi="ar-SA"/>
    </w:rPr>
  </w:style>
  <w:style w:type="paragraph" w:styleId="Lijst">
    <w:name w:val="List"/>
    <w:basedOn w:val="Standaard"/>
    <w:autoRedefine/>
    <w:rsid w:val="00E56DEE"/>
    <w:pPr>
      <w:numPr>
        <w:numId w:val="49"/>
      </w:numPr>
      <w:spacing w:line="260" w:lineRule="exact"/>
    </w:pPr>
    <w:rPr>
      <w:rFonts w:ascii="Arial" w:eastAsia="MS Mincho" w:hAnsi="Arial" w:cs="Arial"/>
      <w:lang w:val="en-US"/>
    </w:rPr>
  </w:style>
  <w:style w:type="paragraph" w:styleId="Lijst2">
    <w:name w:val="List 2"/>
    <w:basedOn w:val="Standaard"/>
    <w:autoRedefine/>
    <w:rsid w:val="00E56DEE"/>
    <w:pPr>
      <w:numPr>
        <w:numId w:val="35"/>
      </w:numPr>
      <w:tabs>
        <w:tab w:val="clear" w:pos="1437"/>
        <w:tab w:val="left" w:pos="902"/>
      </w:tabs>
      <w:spacing w:line="260" w:lineRule="exact"/>
      <w:ind w:left="901" w:hanging="181"/>
    </w:pPr>
    <w:rPr>
      <w:rFonts w:ascii="Arial" w:eastAsia="MS Mincho" w:hAnsi="Arial" w:cs="Arial"/>
      <w:lang w:val="en-US"/>
    </w:rPr>
  </w:style>
  <w:style w:type="paragraph" w:styleId="Lijstopsomteken2">
    <w:name w:val="List Bullet 2"/>
    <w:aliases w:val="List Bullet 1"/>
    <w:basedOn w:val="Standaard"/>
    <w:autoRedefine/>
    <w:rsid w:val="00E56DEE"/>
    <w:pPr>
      <w:numPr>
        <w:numId w:val="39"/>
      </w:numPr>
      <w:spacing w:line="260" w:lineRule="exact"/>
    </w:pPr>
    <w:rPr>
      <w:rFonts w:ascii="Arial" w:eastAsia="MS Mincho" w:hAnsi="Arial" w:cs="Arial"/>
      <w:lang w:val="en-US"/>
    </w:rPr>
  </w:style>
  <w:style w:type="paragraph" w:customStyle="1" w:styleId="BijlageKop">
    <w:name w:val="Bijlage Kop"/>
    <w:basedOn w:val="Kop1"/>
    <w:next w:val="Standaard"/>
    <w:autoRedefine/>
    <w:rsid w:val="00E56DEE"/>
    <w:pPr>
      <w:pageBreakBefore/>
      <w:numPr>
        <w:numId w:val="43"/>
      </w:numPr>
      <w:spacing w:after="240" w:line="260" w:lineRule="exact"/>
      <w:outlineLvl w:val="9"/>
    </w:pPr>
    <w:rPr>
      <w:rFonts w:ascii="Arial" w:eastAsia="MS Mincho" w:hAnsi="Arial" w:cs="Arial"/>
      <w:sz w:val="20"/>
    </w:rPr>
  </w:style>
  <w:style w:type="paragraph" w:styleId="Normaalweb">
    <w:name w:val="Normal (Web)"/>
    <w:basedOn w:val="Standaard"/>
    <w:rsid w:val="00E56DEE"/>
    <w:pPr>
      <w:tabs>
        <w:tab w:val="left" w:pos="972"/>
      </w:tabs>
      <w:spacing w:before="100" w:beforeAutospacing="1" w:after="100" w:afterAutospacing="1" w:line="260" w:lineRule="exact"/>
    </w:pPr>
    <w:rPr>
      <w:rFonts w:ascii="Arial" w:hAnsi="Arial" w:cs="Arial"/>
      <w:lang w:val="en-US" w:eastAsia="en-US"/>
    </w:rPr>
  </w:style>
  <w:style w:type="paragraph" w:styleId="Plattetekstinspringen2">
    <w:name w:val="Body Text Indent 2"/>
    <w:basedOn w:val="Standaard"/>
    <w:rsid w:val="00E56DEE"/>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534876">
      <w:bodyDiv w:val="1"/>
      <w:marLeft w:val="0"/>
      <w:marRight w:val="0"/>
      <w:marTop w:val="0"/>
      <w:marBottom w:val="0"/>
      <w:divBdr>
        <w:top w:val="none" w:sz="0" w:space="0" w:color="auto"/>
        <w:left w:val="none" w:sz="0" w:space="0" w:color="auto"/>
        <w:bottom w:val="none" w:sz="0" w:space="0" w:color="auto"/>
        <w:right w:val="none" w:sz="0" w:space="0" w:color="auto"/>
      </w:divBdr>
    </w:div>
    <w:div w:id="1200778033">
      <w:bodyDiv w:val="1"/>
      <w:marLeft w:val="0"/>
      <w:marRight w:val="0"/>
      <w:marTop w:val="0"/>
      <w:marBottom w:val="0"/>
      <w:divBdr>
        <w:top w:val="none" w:sz="0" w:space="0" w:color="auto"/>
        <w:left w:val="none" w:sz="0" w:space="0" w:color="auto"/>
        <w:bottom w:val="none" w:sz="0" w:space="0" w:color="auto"/>
        <w:right w:val="none" w:sz="0" w:space="0" w:color="auto"/>
      </w:divBdr>
    </w:div>
    <w:div w:id="162669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3269</Words>
  <Characters>19444</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Bijlage 1: Formulier Standaardverklaring</vt:lpstr>
    </vt:vector>
  </TitlesOfParts>
  <Company>scolucas</Company>
  <LinksUpToDate>false</LinksUpToDate>
  <CharactersWithSpaces>22668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Formulier Standaardverklaring</dc:title>
  <dc:subject/>
  <dc:creator>dbribosia</dc:creator>
  <cp:keywords/>
  <dc:description/>
  <cp:lastModifiedBy>Marcia Luchtenberg-Bongers</cp:lastModifiedBy>
  <cp:revision>2</cp:revision>
  <cp:lastPrinted>2010-07-26T13:09:00Z</cp:lastPrinted>
  <dcterms:created xsi:type="dcterms:W3CDTF">2016-06-29T14:37:00Z</dcterms:created>
  <dcterms:modified xsi:type="dcterms:W3CDTF">2016-06-29T14:37:00Z</dcterms:modified>
</cp:coreProperties>
</file>