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35" w:rsidRDefault="002F6A35" w:rsidP="00CD60D7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b/>
          <w:sz w:val="20"/>
          <w:szCs w:val="20"/>
          <w:lang w:val="nl-NL"/>
        </w:rPr>
      </w:pPr>
      <w:r>
        <w:rPr>
          <w:noProof/>
          <w:lang w:val="nl-NL" w:eastAsia="nl-NL"/>
        </w:rPr>
        <w:drawing>
          <wp:inline distT="0" distB="0" distL="0" distR="0" wp14:anchorId="53529AC6" wp14:editId="23087EE4">
            <wp:extent cx="2266950" cy="590550"/>
            <wp:effectExtent l="0" t="0" r="0" b="0"/>
            <wp:docPr id="1" name="Afbeelding 1" descr="LU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M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35" w:rsidRDefault="002F6A35" w:rsidP="00CD60D7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b/>
          <w:sz w:val="20"/>
          <w:szCs w:val="20"/>
          <w:lang w:val="nl-NL"/>
        </w:rPr>
      </w:pPr>
    </w:p>
    <w:p w:rsidR="002F6A35" w:rsidRDefault="002F6A35" w:rsidP="00CD60D7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b/>
          <w:sz w:val="20"/>
          <w:szCs w:val="20"/>
          <w:lang w:val="nl-NL"/>
        </w:rPr>
      </w:pPr>
    </w:p>
    <w:p w:rsidR="00CD60D7" w:rsidRPr="00CD60D7" w:rsidRDefault="00CD60D7" w:rsidP="00CD60D7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b/>
          <w:sz w:val="20"/>
          <w:szCs w:val="20"/>
          <w:lang w:val="nl-NL"/>
        </w:rPr>
      </w:pPr>
      <w:r w:rsidRPr="00CD60D7">
        <w:rPr>
          <w:rFonts w:ascii="Verdana" w:hAnsi="Verdana" w:cs="Calibri-Light"/>
          <w:b/>
          <w:sz w:val="20"/>
          <w:szCs w:val="20"/>
          <w:lang w:val="nl-NL"/>
        </w:rPr>
        <w:t>Inleiding</w:t>
      </w:r>
    </w:p>
    <w:p w:rsidR="00957689" w:rsidRDefault="00CD60D7" w:rsidP="00CD60D7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>
        <w:rPr>
          <w:rFonts w:ascii="Verdana" w:hAnsi="Verdana" w:cs="Calibri-Light"/>
          <w:sz w:val="20"/>
          <w:szCs w:val="20"/>
          <w:lang w:val="nl-NL"/>
        </w:rPr>
        <w:t xml:space="preserve">Het LUMC is voornemens </w:t>
      </w:r>
      <w:r w:rsidR="00957689">
        <w:rPr>
          <w:rFonts w:ascii="Verdana" w:hAnsi="Verdana" w:cs="Calibri-Light"/>
          <w:sz w:val="20"/>
          <w:szCs w:val="20"/>
          <w:lang w:val="nl-NL"/>
        </w:rPr>
        <w:t xml:space="preserve">de levering van niet-oncologische implantaten Europees aan te besteden, waarbij gunning tot stand komt op basis van EMVI (Economisch </w:t>
      </w:r>
      <w:r w:rsidR="00957689" w:rsidRPr="00CD60D7">
        <w:rPr>
          <w:rFonts w:ascii="Verdana" w:hAnsi="Verdana" w:cs="Calibri-Light"/>
          <w:sz w:val="20"/>
          <w:szCs w:val="20"/>
          <w:lang w:val="nl-NL"/>
        </w:rPr>
        <w:t>Meest Voordelige Inschrijving)</w:t>
      </w:r>
      <w:r w:rsidR="00957689">
        <w:rPr>
          <w:rFonts w:ascii="Verdana" w:hAnsi="Verdana" w:cs="Calibri-Light"/>
          <w:sz w:val="20"/>
          <w:szCs w:val="20"/>
          <w:lang w:val="nl-NL"/>
        </w:rPr>
        <w:t>. Er zal worden gebruik gemaakt van de openbare procedure (selectie en gunning in één stap).</w:t>
      </w:r>
    </w:p>
    <w:p w:rsidR="00CD60D7" w:rsidRDefault="00957689" w:rsidP="00CD60D7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>
        <w:rPr>
          <w:rFonts w:ascii="Verdana" w:hAnsi="Verdana" w:cs="Calibri-Light"/>
          <w:sz w:val="20"/>
          <w:szCs w:val="20"/>
          <w:lang w:val="nl-NL"/>
        </w:rPr>
        <w:t>Het LUMC heeft een indeling gemaakt in vier (4) percelen, te weten schouder, heup, elleboog en knie</w:t>
      </w:r>
      <w:r w:rsidR="00EF6C83">
        <w:rPr>
          <w:rFonts w:ascii="Verdana" w:hAnsi="Verdana" w:cs="Calibri-Light"/>
          <w:sz w:val="20"/>
          <w:szCs w:val="20"/>
          <w:lang w:val="nl-NL"/>
        </w:rPr>
        <w:t xml:space="preserve"> en hiervoor vier (4) Programma’s van Eisen opgesteld</w:t>
      </w:r>
      <w:r>
        <w:rPr>
          <w:rFonts w:ascii="Verdana" w:hAnsi="Verdana" w:cs="Calibri-Light"/>
          <w:sz w:val="20"/>
          <w:szCs w:val="20"/>
          <w:lang w:val="nl-NL"/>
        </w:rPr>
        <w:t xml:space="preserve">. Het </w:t>
      </w:r>
      <w:r w:rsidR="00080788">
        <w:rPr>
          <w:rFonts w:ascii="Verdana" w:hAnsi="Verdana" w:cs="Calibri-Light"/>
          <w:sz w:val="20"/>
          <w:szCs w:val="20"/>
          <w:lang w:val="nl-NL"/>
        </w:rPr>
        <w:t xml:space="preserve">voorgenomen </w:t>
      </w:r>
      <w:r>
        <w:rPr>
          <w:rFonts w:ascii="Verdana" w:hAnsi="Verdana" w:cs="Calibri-Light"/>
          <w:sz w:val="20"/>
          <w:szCs w:val="20"/>
          <w:lang w:val="nl-NL"/>
        </w:rPr>
        <w:t xml:space="preserve">doel van de aanbesteding </w:t>
      </w:r>
      <w:r w:rsidR="00080788">
        <w:rPr>
          <w:rFonts w:ascii="Verdana" w:hAnsi="Verdana" w:cs="Calibri-Light"/>
          <w:sz w:val="20"/>
          <w:szCs w:val="20"/>
          <w:lang w:val="nl-NL"/>
        </w:rPr>
        <w:t>is</w:t>
      </w:r>
      <w:r>
        <w:rPr>
          <w:rFonts w:ascii="Verdana" w:hAnsi="Verdana" w:cs="Calibri-Light"/>
          <w:sz w:val="20"/>
          <w:szCs w:val="20"/>
          <w:lang w:val="nl-NL"/>
        </w:rPr>
        <w:t xml:space="preserve"> voor ieder perceel een raamovereenkomst te sluiten met één (1) leverancier voor de initiële duur van twee (2) jaar met twee (2) opt</w:t>
      </w:r>
      <w:r w:rsidR="0079223B">
        <w:rPr>
          <w:rFonts w:ascii="Verdana" w:hAnsi="Verdana" w:cs="Calibri-Light"/>
          <w:sz w:val="20"/>
          <w:szCs w:val="20"/>
          <w:lang w:val="nl-NL"/>
        </w:rPr>
        <w:t>ionele verlengingen van 1 jaar.</w:t>
      </w:r>
    </w:p>
    <w:p w:rsidR="00D826A6" w:rsidRDefault="00D826A6" w:rsidP="00CD60D7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</w:p>
    <w:p w:rsidR="00CD60D7" w:rsidRDefault="000149AA" w:rsidP="005C66B0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>
        <w:rPr>
          <w:rFonts w:ascii="Verdana" w:hAnsi="Verdana" w:cs="Calibri-Light"/>
          <w:sz w:val="20"/>
          <w:szCs w:val="20"/>
          <w:lang w:val="nl-NL"/>
        </w:rPr>
        <w:t xml:space="preserve">Per jaar </w:t>
      </w:r>
      <w:r w:rsidR="00D826A6">
        <w:rPr>
          <w:rFonts w:ascii="Verdana" w:hAnsi="Verdana" w:cs="Calibri-Light"/>
          <w:sz w:val="20"/>
          <w:szCs w:val="20"/>
          <w:lang w:val="nl-NL"/>
        </w:rPr>
        <w:t>verricht</w:t>
      </w:r>
      <w:r>
        <w:rPr>
          <w:rFonts w:ascii="Verdana" w:hAnsi="Verdana" w:cs="Calibri-Light"/>
          <w:sz w:val="20"/>
          <w:szCs w:val="20"/>
          <w:lang w:val="nl-NL"/>
        </w:rPr>
        <w:t xml:space="preserve"> het LUMC de onderstaande aantallen ingrepen:</w:t>
      </w:r>
    </w:p>
    <w:tbl>
      <w:tblPr>
        <w:tblStyle w:val="Tabelraster"/>
        <w:tblW w:w="9134" w:type="dxa"/>
        <w:tblInd w:w="108" w:type="dxa"/>
        <w:tblLook w:val="04A0" w:firstRow="1" w:lastRow="0" w:firstColumn="1" w:lastColumn="0" w:noHBand="0" w:noVBand="1"/>
      </w:tblPr>
      <w:tblGrid>
        <w:gridCol w:w="2175"/>
        <w:gridCol w:w="1052"/>
        <w:gridCol w:w="1113"/>
        <w:gridCol w:w="2483"/>
        <w:gridCol w:w="2311"/>
      </w:tblGrid>
      <w:tr w:rsidR="00B11483" w:rsidRPr="00BC1408" w:rsidTr="00BC1408">
        <w:tc>
          <w:tcPr>
            <w:tcW w:w="2175" w:type="dxa"/>
            <w:shd w:val="clear" w:color="auto" w:fill="C6D9F1" w:themeFill="text2" w:themeFillTint="33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 w:rsidRPr="00D826A6">
              <w:rPr>
                <w:rFonts w:ascii="Verdana" w:hAnsi="Verdana" w:cs="Calibri-Light"/>
                <w:sz w:val="20"/>
                <w:szCs w:val="20"/>
                <w:lang w:val="nl-NL"/>
              </w:rPr>
              <w:t>Gewricht</w:t>
            </w:r>
          </w:p>
        </w:tc>
        <w:tc>
          <w:tcPr>
            <w:tcW w:w="1052" w:type="dxa"/>
            <w:shd w:val="clear" w:color="auto" w:fill="C6D9F1" w:themeFill="text2" w:themeFillTint="33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Nieuw</w:t>
            </w:r>
          </w:p>
        </w:tc>
        <w:tc>
          <w:tcPr>
            <w:tcW w:w="1113" w:type="dxa"/>
            <w:shd w:val="clear" w:color="auto" w:fill="C6D9F1" w:themeFill="text2" w:themeFillTint="33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Revisie</w:t>
            </w:r>
          </w:p>
        </w:tc>
        <w:tc>
          <w:tcPr>
            <w:tcW w:w="2483" w:type="dxa"/>
            <w:shd w:val="clear" w:color="auto" w:fill="C6D9F1" w:themeFill="text2" w:themeFillTint="33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Percentage ingebrachte gesegmenteerde implantaten</w:t>
            </w:r>
          </w:p>
        </w:tc>
        <w:tc>
          <w:tcPr>
            <w:tcW w:w="2311" w:type="dxa"/>
            <w:shd w:val="clear" w:color="auto" w:fill="C6D9F1" w:themeFill="text2" w:themeFillTint="33"/>
          </w:tcPr>
          <w:p w:rsidR="00B11483" w:rsidDel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Percentage ingebrachte niet-gesegmenteerde implantaten</w:t>
            </w:r>
          </w:p>
        </w:tc>
      </w:tr>
      <w:tr w:rsidR="00B11483" w:rsidTr="00BC1408">
        <w:tc>
          <w:tcPr>
            <w:tcW w:w="2175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Knie</w:t>
            </w:r>
          </w:p>
        </w:tc>
        <w:tc>
          <w:tcPr>
            <w:tcW w:w="1052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60</w:t>
            </w:r>
          </w:p>
        </w:tc>
        <w:tc>
          <w:tcPr>
            <w:tcW w:w="1113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10</w:t>
            </w:r>
          </w:p>
        </w:tc>
        <w:tc>
          <w:tcPr>
            <w:tcW w:w="2483" w:type="dxa"/>
          </w:tcPr>
          <w:p w:rsidR="00B11483" w:rsidRDefault="00B11483" w:rsidP="00B11483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100% (type PS)</w:t>
            </w:r>
          </w:p>
        </w:tc>
        <w:tc>
          <w:tcPr>
            <w:tcW w:w="2311" w:type="dxa"/>
          </w:tcPr>
          <w:p w:rsidR="00B11483" w:rsidRDefault="00B11483" w:rsidP="00B11483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0%</w:t>
            </w:r>
          </w:p>
        </w:tc>
      </w:tr>
      <w:tr w:rsidR="00B11483" w:rsidTr="00BC1408">
        <w:tc>
          <w:tcPr>
            <w:tcW w:w="2175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Heup</w:t>
            </w:r>
          </w:p>
        </w:tc>
        <w:tc>
          <w:tcPr>
            <w:tcW w:w="1052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70</w:t>
            </w:r>
          </w:p>
        </w:tc>
        <w:tc>
          <w:tcPr>
            <w:tcW w:w="1113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10</w:t>
            </w:r>
          </w:p>
        </w:tc>
        <w:tc>
          <w:tcPr>
            <w:tcW w:w="2483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50%</w:t>
            </w:r>
          </w:p>
        </w:tc>
        <w:tc>
          <w:tcPr>
            <w:tcW w:w="2311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50%</w:t>
            </w:r>
          </w:p>
        </w:tc>
      </w:tr>
      <w:tr w:rsidR="00B11483" w:rsidTr="00BC1408">
        <w:tc>
          <w:tcPr>
            <w:tcW w:w="2175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Elleboog</w:t>
            </w:r>
          </w:p>
        </w:tc>
        <w:tc>
          <w:tcPr>
            <w:tcW w:w="1052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5</w:t>
            </w:r>
          </w:p>
        </w:tc>
        <w:tc>
          <w:tcPr>
            <w:tcW w:w="1113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5</w:t>
            </w:r>
          </w:p>
        </w:tc>
        <w:tc>
          <w:tcPr>
            <w:tcW w:w="2483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50%</w:t>
            </w:r>
          </w:p>
        </w:tc>
        <w:tc>
          <w:tcPr>
            <w:tcW w:w="2311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50%</w:t>
            </w:r>
          </w:p>
        </w:tc>
      </w:tr>
      <w:tr w:rsidR="00B11483" w:rsidTr="00BC1408">
        <w:tc>
          <w:tcPr>
            <w:tcW w:w="2175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Schouder</w:t>
            </w:r>
          </w:p>
        </w:tc>
        <w:tc>
          <w:tcPr>
            <w:tcW w:w="1052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15</w:t>
            </w:r>
          </w:p>
        </w:tc>
        <w:tc>
          <w:tcPr>
            <w:tcW w:w="1113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0</w:t>
            </w:r>
          </w:p>
        </w:tc>
        <w:tc>
          <w:tcPr>
            <w:tcW w:w="2483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0</w:t>
            </w:r>
          </w:p>
        </w:tc>
        <w:tc>
          <w:tcPr>
            <w:tcW w:w="2311" w:type="dxa"/>
          </w:tcPr>
          <w:p w:rsidR="00B11483" w:rsidRDefault="00B11483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100%</w:t>
            </w:r>
          </w:p>
        </w:tc>
      </w:tr>
    </w:tbl>
    <w:p w:rsidR="00D826A6" w:rsidRDefault="00D826A6" w:rsidP="005C66B0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</w:p>
    <w:p w:rsidR="00CD60D7" w:rsidRPr="00CD60D7" w:rsidRDefault="00CD60D7" w:rsidP="005C66B0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b/>
          <w:sz w:val="20"/>
          <w:szCs w:val="20"/>
          <w:lang w:val="nl-NL"/>
        </w:rPr>
      </w:pPr>
      <w:r w:rsidRPr="00CD60D7">
        <w:rPr>
          <w:rFonts w:ascii="Verdana" w:hAnsi="Verdana" w:cs="Calibri-Light"/>
          <w:b/>
          <w:sz w:val="20"/>
          <w:szCs w:val="20"/>
          <w:lang w:val="nl-NL"/>
        </w:rPr>
        <w:t>Marktconsultatie</w:t>
      </w:r>
    </w:p>
    <w:p w:rsidR="003D6D0B" w:rsidRDefault="00E24C7B" w:rsidP="005C66B0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 w:rsidRPr="00E24C7B">
        <w:rPr>
          <w:rFonts w:ascii="Verdana" w:hAnsi="Verdana" w:cs="Calibri-Light"/>
          <w:sz w:val="20"/>
          <w:szCs w:val="20"/>
          <w:lang w:val="nl-NL"/>
        </w:rPr>
        <w:t xml:space="preserve">Als onderdeel van de voorbereidingen voor </w:t>
      </w:r>
      <w:r w:rsidR="00CD60D7">
        <w:rPr>
          <w:rFonts w:ascii="Verdana" w:hAnsi="Verdana" w:cs="Calibri-Light"/>
          <w:sz w:val="20"/>
          <w:szCs w:val="20"/>
          <w:lang w:val="nl-NL"/>
        </w:rPr>
        <w:t xml:space="preserve">de </w:t>
      </w:r>
      <w:r w:rsidRPr="00E24C7B">
        <w:rPr>
          <w:rFonts w:ascii="Verdana" w:hAnsi="Verdana" w:cs="Calibri-Light"/>
          <w:sz w:val="20"/>
          <w:szCs w:val="20"/>
          <w:lang w:val="nl-NL"/>
        </w:rPr>
        <w:t xml:space="preserve">aanbesteding houdt LUMC een marktconsultatie. Deze marktconsultatie </w:t>
      </w:r>
      <w:r w:rsidR="003D6D0B" w:rsidRPr="0079223B">
        <w:rPr>
          <w:rFonts w:ascii="Verdana" w:hAnsi="Verdana" w:cs="Calibri-Light"/>
          <w:sz w:val="20"/>
          <w:szCs w:val="20"/>
          <w:lang w:val="nl-NL"/>
        </w:rPr>
        <w:t>is puur ter oriëntatie (</w:t>
      </w:r>
      <w:proofErr w:type="spellStart"/>
      <w:r w:rsidR="003D6D0B" w:rsidRPr="0079223B">
        <w:rPr>
          <w:rFonts w:ascii="Verdana" w:hAnsi="Verdana" w:cs="Calibri-Light"/>
          <w:sz w:val="20"/>
          <w:szCs w:val="20"/>
          <w:lang w:val="nl-NL"/>
        </w:rPr>
        <w:t>meso</w:t>
      </w:r>
      <w:proofErr w:type="spellEnd"/>
      <w:r w:rsidR="003D6D0B" w:rsidRPr="0079223B">
        <w:rPr>
          <w:rFonts w:ascii="Verdana" w:hAnsi="Verdana" w:cs="Calibri-Light"/>
          <w:sz w:val="20"/>
          <w:szCs w:val="20"/>
          <w:lang w:val="nl-NL"/>
        </w:rPr>
        <w:t>) voor het LUMC</w:t>
      </w:r>
      <w:r w:rsidR="00B11483">
        <w:rPr>
          <w:rFonts w:ascii="Verdana" w:hAnsi="Verdana" w:cs="Calibri-Light"/>
          <w:sz w:val="20"/>
          <w:szCs w:val="20"/>
          <w:lang w:val="nl-NL"/>
        </w:rPr>
        <w:t>,</w:t>
      </w:r>
      <w:r w:rsidR="003D6D0B" w:rsidRPr="0079223B">
        <w:rPr>
          <w:rFonts w:ascii="Verdana" w:hAnsi="Verdana" w:cs="Calibri-Light"/>
          <w:sz w:val="20"/>
          <w:szCs w:val="20"/>
          <w:lang w:val="nl-NL"/>
        </w:rPr>
        <w:t xml:space="preserve"> wederzijds vrijblijvend</w:t>
      </w:r>
      <w:r w:rsidR="00B11483">
        <w:rPr>
          <w:rFonts w:ascii="Verdana" w:hAnsi="Verdana" w:cs="Calibri-Light"/>
          <w:sz w:val="20"/>
          <w:szCs w:val="20"/>
          <w:lang w:val="nl-NL"/>
        </w:rPr>
        <w:t>,</w:t>
      </w:r>
      <w:r w:rsidR="003D6D0B" w:rsidRPr="0079223B">
        <w:rPr>
          <w:rFonts w:ascii="Verdana" w:hAnsi="Verdana" w:cs="Calibri-Light"/>
          <w:sz w:val="20"/>
          <w:szCs w:val="20"/>
          <w:lang w:val="nl-NL"/>
        </w:rPr>
        <w:t xml:space="preserve"> zonder verplichtingen</w:t>
      </w:r>
      <w:r w:rsidR="003D6D0B" w:rsidRPr="00E24C7B">
        <w:rPr>
          <w:rFonts w:ascii="Verdana" w:hAnsi="Verdana" w:cs="Calibri-Light"/>
          <w:sz w:val="20"/>
          <w:szCs w:val="20"/>
          <w:lang w:val="nl-NL"/>
        </w:rPr>
        <w:t xml:space="preserve"> </w:t>
      </w:r>
      <w:r w:rsidR="00B11483">
        <w:rPr>
          <w:rFonts w:ascii="Verdana" w:hAnsi="Verdana" w:cs="Calibri-Light"/>
          <w:sz w:val="20"/>
          <w:szCs w:val="20"/>
          <w:lang w:val="nl-NL"/>
        </w:rPr>
        <w:t xml:space="preserve">en </w:t>
      </w:r>
      <w:r w:rsidRPr="00E24C7B">
        <w:rPr>
          <w:rFonts w:ascii="Verdana" w:hAnsi="Verdana" w:cs="Calibri-Light"/>
          <w:sz w:val="20"/>
          <w:szCs w:val="20"/>
          <w:lang w:val="nl-NL"/>
        </w:rPr>
        <w:t>heeft als doel</w:t>
      </w:r>
    </w:p>
    <w:p w:rsidR="003D6D0B" w:rsidRDefault="003D6D0B" w:rsidP="003D6D0B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 w:rsidRPr="003D6D0B">
        <w:rPr>
          <w:rFonts w:ascii="Verdana" w:hAnsi="Verdana" w:cs="Calibri-Light"/>
          <w:sz w:val="20"/>
          <w:szCs w:val="20"/>
          <w:lang w:val="nl-NL"/>
        </w:rPr>
        <w:t>Vast te stellen of de markt kan voldoen aan de gestelde eisen en wensen;</w:t>
      </w:r>
    </w:p>
    <w:p w:rsidR="00EF6C83" w:rsidRDefault="00EF6C83" w:rsidP="003D6D0B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>
        <w:rPr>
          <w:rFonts w:ascii="Verdana" w:hAnsi="Verdana" w:cs="Calibri-Light"/>
          <w:sz w:val="20"/>
          <w:szCs w:val="20"/>
          <w:lang w:val="nl-NL"/>
        </w:rPr>
        <w:t>Vast te stellen of de voorgestelde strategie voor de aanbesteding de juiste is.</w:t>
      </w:r>
    </w:p>
    <w:p w:rsidR="00EF6C83" w:rsidRPr="00EF6C83" w:rsidRDefault="00EF6C83" w:rsidP="00EF6C83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 w:rsidRPr="00EF6C83">
        <w:rPr>
          <w:rFonts w:ascii="Verdana" w:hAnsi="Verdana" w:cs="Calibri-Light"/>
          <w:sz w:val="20"/>
          <w:szCs w:val="20"/>
          <w:lang w:val="nl-NL"/>
        </w:rPr>
        <w:t xml:space="preserve"> </w:t>
      </w:r>
    </w:p>
    <w:p w:rsidR="005A31FB" w:rsidRPr="005C66B0" w:rsidRDefault="0079223B" w:rsidP="005A31F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 w:rsidRPr="0079223B">
        <w:rPr>
          <w:rFonts w:ascii="Verdana" w:hAnsi="Verdana" w:cs="Calibri-Light"/>
          <w:sz w:val="20"/>
          <w:szCs w:val="20"/>
          <w:lang w:val="nl-NL"/>
        </w:rPr>
        <w:t>De ingekomen antwoorden dragen bij aan de besluitvorming van het LUMC hoe verder invulling wordt gegeven aan het verwervingsproces</w:t>
      </w:r>
      <w:r>
        <w:rPr>
          <w:rFonts w:ascii="Verdana" w:hAnsi="Verdana" w:cs="Calibri-Light"/>
          <w:sz w:val="20"/>
          <w:szCs w:val="20"/>
          <w:lang w:val="nl-NL"/>
        </w:rPr>
        <w:t>.</w:t>
      </w:r>
      <w:r w:rsidR="005A31FB" w:rsidRPr="005A31FB">
        <w:rPr>
          <w:rFonts w:ascii="Verdana" w:hAnsi="Verdana" w:cs="Calibri-Light"/>
          <w:sz w:val="20"/>
          <w:szCs w:val="20"/>
          <w:lang w:val="nl-NL"/>
        </w:rPr>
        <w:t xml:space="preserve"> </w:t>
      </w:r>
      <w:r w:rsidR="005A31FB" w:rsidRPr="005558E3">
        <w:rPr>
          <w:rFonts w:ascii="Verdana" w:hAnsi="Verdana" w:cs="Calibri-Light"/>
          <w:sz w:val="20"/>
          <w:szCs w:val="20"/>
          <w:lang w:val="nl-NL"/>
        </w:rPr>
        <w:t>De marktconsultatie is een separaat proces dat wordt uitgevoerd voorafgaand aan een</w:t>
      </w:r>
      <w:r w:rsidR="005A31FB">
        <w:rPr>
          <w:rFonts w:ascii="Verdana" w:hAnsi="Verdana" w:cs="Calibri-Light"/>
          <w:sz w:val="20"/>
          <w:szCs w:val="20"/>
          <w:lang w:val="nl-NL"/>
        </w:rPr>
        <w:t xml:space="preserve"> </w:t>
      </w:r>
      <w:r w:rsidR="005A31FB" w:rsidRPr="005558E3">
        <w:rPr>
          <w:rFonts w:ascii="Verdana" w:hAnsi="Verdana" w:cs="Calibri-Light"/>
          <w:sz w:val="20"/>
          <w:szCs w:val="20"/>
          <w:lang w:val="nl-NL"/>
        </w:rPr>
        <w:t>formeel aanbestedingsproces. De marktconsultatie is geen oproep tot deelname en maakt</w:t>
      </w:r>
      <w:r w:rsidR="005A31FB">
        <w:rPr>
          <w:rFonts w:ascii="Verdana" w:hAnsi="Verdana" w:cs="Calibri-Light"/>
          <w:sz w:val="20"/>
          <w:szCs w:val="20"/>
          <w:lang w:val="nl-NL"/>
        </w:rPr>
        <w:t xml:space="preserve"> </w:t>
      </w:r>
      <w:r w:rsidR="005A31FB" w:rsidRPr="005558E3">
        <w:rPr>
          <w:rFonts w:ascii="Verdana" w:hAnsi="Verdana" w:cs="Calibri-Light"/>
          <w:sz w:val="20"/>
          <w:szCs w:val="20"/>
          <w:lang w:val="nl-NL"/>
        </w:rPr>
        <w:t>geen deel uit van een pre-kwalificatie procedure. De informatie afkomstig uit de</w:t>
      </w:r>
      <w:r w:rsidR="00963F1E">
        <w:rPr>
          <w:rFonts w:ascii="Verdana" w:hAnsi="Verdana" w:cs="Calibri-Light"/>
          <w:sz w:val="20"/>
          <w:szCs w:val="20"/>
          <w:lang w:val="nl-NL"/>
        </w:rPr>
        <w:t xml:space="preserve"> </w:t>
      </w:r>
      <w:r w:rsidR="005A31FB" w:rsidRPr="005558E3">
        <w:rPr>
          <w:rFonts w:ascii="Verdana" w:hAnsi="Verdana" w:cs="Calibri-Light"/>
          <w:sz w:val="20"/>
          <w:szCs w:val="20"/>
          <w:lang w:val="nl-NL"/>
        </w:rPr>
        <w:t>marktconsultatie wordt gebruikt om een goed aanbestedingsproces te kunnen doorlopen. Door</w:t>
      </w:r>
      <w:r w:rsidR="005A31FB">
        <w:rPr>
          <w:rFonts w:ascii="Verdana" w:hAnsi="Verdana" w:cs="Calibri-Light"/>
          <w:sz w:val="20"/>
          <w:szCs w:val="20"/>
          <w:lang w:val="nl-NL"/>
        </w:rPr>
        <w:t xml:space="preserve"> </w:t>
      </w:r>
      <w:r w:rsidR="005A31FB" w:rsidRPr="005558E3">
        <w:rPr>
          <w:rFonts w:ascii="Verdana" w:hAnsi="Verdana" w:cs="Calibri-Light"/>
          <w:sz w:val="20"/>
          <w:szCs w:val="20"/>
          <w:lang w:val="nl-NL"/>
        </w:rPr>
        <w:t xml:space="preserve">middel van het doorlopen van een goed aanbestedingsproces is de kans voor </w:t>
      </w:r>
      <w:r w:rsidR="005A31FB">
        <w:rPr>
          <w:rFonts w:ascii="Verdana" w:hAnsi="Verdana" w:cs="Calibri-Light"/>
          <w:sz w:val="20"/>
          <w:szCs w:val="20"/>
          <w:lang w:val="nl-NL"/>
        </w:rPr>
        <w:t>LUMC</w:t>
      </w:r>
      <w:r w:rsidR="005A31FB" w:rsidRPr="005558E3">
        <w:rPr>
          <w:rFonts w:ascii="Verdana" w:hAnsi="Verdana" w:cs="Calibri-Light"/>
          <w:sz w:val="20"/>
          <w:szCs w:val="20"/>
          <w:lang w:val="nl-NL"/>
        </w:rPr>
        <w:t xml:space="preserve"> groter op een passende aanbieding.</w:t>
      </w:r>
    </w:p>
    <w:p w:rsidR="003D6D0B" w:rsidRPr="0079223B" w:rsidRDefault="003D6D0B" w:rsidP="0079223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</w:p>
    <w:p w:rsidR="0079223B" w:rsidRPr="0079223B" w:rsidRDefault="0079223B" w:rsidP="0079223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 w:rsidRPr="0079223B">
        <w:rPr>
          <w:rFonts w:ascii="Verdana" w:hAnsi="Verdana" w:cs="Calibri-Light"/>
          <w:sz w:val="20"/>
          <w:szCs w:val="20"/>
          <w:lang w:val="nl-NL"/>
        </w:rPr>
        <w:t xml:space="preserve">Het LUMC kiest ervoor de marktpartijen </w:t>
      </w:r>
      <w:r w:rsidR="005A31FB">
        <w:rPr>
          <w:rFonts w:ascii="Verdana" w:hAnsi="Verdana" w:cs="Calibri-Light"/>
          <w:sz w:val="20"/>
          <w:szCs w:val="20"/>
          <w:lang w:val="nl-NL"/>
        </w:rPr>
        <w:t xml:space="preserve">voor deze marktconsultatie </w:t>
      </w:r>
      <w:r w:rsidRPr="0079223B">
        <w:rPr>
          <w:rFonts w:ascii="Verdana" w:hAnsi="Verdana" w:cs="Calibri-Light"/>
          <w:sz w:val="20"/>
          <w:szCs w:val="20"/>
          <w:lang w:val="nl-NL"/>
        </w:rPr>
        <w:t>schriftelijk te benaderen met een beperkt aantal vragen</w:t>
      </w:r>
      <w:r w:rsidR="0032397F">
        <w:rPr>
          <w:rFonts w:ascii="Verdana" w:hAnsi="Verdana" w:cs="Calibri-Light"/>
          <w:sz w:val="20"/>
          <w:szCs w:val="20"/>
          <w:lang w:val="nl-NL"/>
        </w:rPr>
        <w:t xml:space="preserve"> door middel van een oproep in het publicatieblad (Europees gepubliceerd via www.TenderNed.nl)</w:t>
      </w:r>
      <w:r w:rsidRPr="0079223B">
        <w:rPr>
          <w:rFonts w:ascii="Verdana" w:hAnsi="Verdana" w:cs="Calibri-Light"/>
          <w:sz w:val="20"/>
          <w:szCs w:val="20"/>
          <w:lang w:val="nl-NL"/>
        </w:rPr>
        <w:t>.</w:t>
      </w:r>
    </w:p>
    <w:p w:rsidR="00E24C7B" w:rsidRDefault="005A31FB" w:rsidP="0079223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>
        <w:rPr>
          <w:rFonts w:ascii="Verdana" w:hAnsi="Verdana" w:cs="Calibri-Light"/>
          <w:sz w:val="20"/>
          <w:szCs w:val="20"/>
          <w:lang w:val="nl-NL"/>
        </w:rPr>
        <w:t>Het is evenwel mogelijk dat het</w:t>
      </w:r>
      <w:r w:rsidR="0079223B" w:rsidRPr="0079223B">
        <w:rPr>
          <w:rFonts w:ascii="Verdana" w:hAnsi="Verdana" w:cs="Calibri-Light"/>
          <w:sz w:val="20"/>
          <w:szCs w:val="20"/>
          <w:lang w:val="nl-NL"/>
        </w:rPr>
        <w:t xml:space="preserve"> LUMC naar aanleiding van de ingediende reacties toch aanvullende vragen heeft of een toelichting noodzakelijk acht</w:t>
      </w:r>
      <w:r>
        <w:rPr>
          <w:rFonts w:ascii="Verdana" w:hAnsi="Verdana" w:cs="Calibri-Light"/>
          <w:sz w:val="20"/>
          <w:szCs w:val="20"/>
          <w:lang w:val="nl-NL"/>
        </w:rPr>
        <w:t>. Mogelijk zullen wij u uitnodigen een schriftelijke toelichting te geven, of wij zullen één of meerdere partijen uitnodigen voor een toelichtingsgesprek. Wanneer dit zo is, dan</w:t>
      </w:r>
      <w:r w:rsidR="0079223B" w:rsidRPr="0079223B">
        <w:rPr>
          <w:rFonts w:ascii="Verdana" w:hAnsi="Verdana" w:cs="Calibri-Light"/>
          <w:sz w:val="20"/>
          <w:szCs w:val="20"/>
          <w:lang w:val="nl-NL"/>
        </w:rPr>
        <w:t xml:space="preserve"> zal het LUMC dit zo spoedig mogelijk </w:t>
      </w:r>
      <w:r>
        <w:rPr>
          <w:rFonts w:ascii="Verdana" w:hAnsi="Verdana" w:cs="Calibri-Light"/>
          <w:sz w:val="20"/>
          <w:szCs w:val="20"/>
          <w:lang w:val="nl-NL"/>
        </w:rPr>
        <w:t xml:space="preserve">aan u </w:t>
      </w:r>
      <w:r w:rsidR="0079223B" w:rsidRPr="0079223B">
        <w:rPr>
          <w:rFonts w:ascii="Verdana" w:hAnsi="Verdana" w:cs="Calibri-Light"/>
          <w:sz w:val="20"/>
          <w:szCs w:val="20"/>
          <w:lang w:val="nl-NL"/>
        </w:rPr>
        <w:t xml:space="preserve">bekend maken. </w:t>
      </w:r>
      <w:r w:rsidR="00DA2475" w:rsidRPr="0079223B">
        <w:rPr>
          <w:rFonts w:ascii="Verdana" w:hAnsi="Verdana" w:cs="Calibri-Light"/>
          <w:sz w:val="20"/>
          <w:szCs w:val="20"/>
          <w:lang w:val="nl-NL"/>
        </w:rPr>
        <w:t xml:space="preserve">Gesprekken zullen dan </w:t>
      </w:r>
      <w:r w:rsidR="00DA2475" w:rsidRPr="00DA2475">
        <w:rPr>
          <w:rFonts w:ascii="Verdana" w:hAnsi="Verdana" w:cs="Calibri-Light"/>
          <w:sz w:val="20"/>
          <w:szCs w:val="20"/>
          <w:lang w:val="nl-NL"/>
        </w:rPr>
        <w:t xml:space="preserve">in week 27 of 28 </w:t>
      </w:r>
      <w:r w:rsidR="00963F1E">
        <w:rPr>
          <w:rFonts w:ascii="Verdana" w:hAnsi="Verdana" w:cs="Calibri-Light"/>
          <w:sz w:val="20"/>
          <w:szCs w:val="20"/>
          <w:lang w:val="nl-NL"/>
        </w:rPr>
        <w:t xml:space="preserve">van </w:t>
      </w:r>
      <w:r w:rsidR="00DA2475" w:rsidRPr="00DA2475">
        <w:rPr>
          <w:rFonts w:ascii="Verdana" w:hAnsi="Verdana" w:cs="Calibri-Light"/>
          <w:sz w:val="20"/>
          <w:szCs w:val="20"/>
          <w:lang w:val="nl-NL"/>
        </w:rPr>
        <w:t>2016</w:t>
      </w:r>
      <w:r w:rsidR="00DA2475" w:rsidRPr="0079223B">
        <w:rPr>
          <w:rFonts w:ascii="Verdana" w:hAnsi="Verdana" w:cs="Calibri-Light"/>
          <w:sz w:val="20"/>
          <w:szCs w:val="20"/>
          <w:lang w:val="nl-NL"/>
        </w:rPr>
        <w:t xml:space="preserve"> plaatsvinden.</w:t>
      </w:r>
    </w:p>
    <w:p w:rsidR="00E24C7B" w:rsidRDefault="00E24C7B" w:rsidP="00E24C7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</w:p>
    <w:p w:rsidR="00963F1E" w:rsidRDefault="00963F1E">
      <w:pPr>
        <w:rPr>
          <w:rFonts w:ascii="Verdana" w:hAnsi="Verdana" w:cs="Calibri-Light"/>
          <w:sz w:val="20"/>
          <w:szCs w:val="20"/>
          <w:u w:val="single"/>
          <w:lang w:val="nl-NL"/>
        </w:rPr>
      </w:pPr>
      <w:r>
        <w:rPr>
          <w:rFonts w:ascii="Verdana" w:hAnsi="Verdana" w:cs="Calibri-Light"/>
          <w:sz w:val="20"/>
          <w:szCs w:val="20"/>
          <w:u w:val="single"/>
          <w:lang w:val="nl-NL"/>
        </w:rPr>
        <w:br w:type="page"/>
      </w:r>
    </w:p>
    <w:p w:rsidR="00E24C7B" w:rsidRPr="00E24C7B" w:rsidRDefault="00E24C7B" w:rsidP="00E24C7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u w:val="single"/>
          <w:lang w:val="nl-NL"/>
        </w:rPr>
      </w:pPr>
      <w:r>
        <w:rPr>
          <w:rFonts w:ascii="Verdana" w:hAnsi="Verdana" w:cs="Calibri-Light"/>
          <w:sz w:val="20"/>
          <w:szCs w:val="20"/>
          <w:u w:val="single"/>
          <w:lang w:val="nl-NL"/>
        </w:rPr>
        <w:lastRenderedPageBreak/>
        <w:t>S</w:t>
      </w:r>
      <w:r w:rsidRPr="00E24C7B">
        <w:rPr>
          <w:rFonts w:ascii="Verdana" w:hAnsi="Verdana" w:cs="Calibri-Light"/>
          <w:sz w:val="20"/>
          <w:szCs w:val="20"/>
          <w:u w:val="single"/>
          <w:lang w:val="nl-NL"/>
        </w:rPr>
        <w:t>chriftelijke reactie</w:t>
      </w:r>
    </w:p>
    <w:p w:rsidR="000C5FAD" w:rsidRPr="003D6D0B" w:rsidRDefault="005A31FB" w:rsidP="003D6D0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>
        <w:rPr>
          <w:rFonts w:ascii="Verdana" w:hAnsi="Verdana" w:cs="Calibri-Light"/>
          <w:sz w:val="20"/>
          <w:szCs w:val="20"/>
          <w:lang w:val="nl-NL"/>
        </w:rPr>
        <w:t xml:space="preserve">De </w:t>
      </w:r>
      <w:r w:rsidR="00B95CA7">
        <w:rPr>
          <w:rFonts w:ascii="Verdana" w:hAnsi="Verdana" w:cs="Calibri-Light"/>
          <w:sz w:val="20"/>
          <w:szCs w:val="20"/>
          <w:lang w:val="nl-NL"/>
        </w:rPr>
        <w:t>LUMC</w:t>
      </w:r>
      <w:r w:rsidR="00E24C7B">
        <w:rPr>
          <w:rFonts w:ascii="Verdana" w:hAnsi="Verdana" w:cs="Calibri-Light"/>
          <w:sz w:val="20"/>
          <w:szCs w:val="20"/>
          <w:lang w:val="nl-NL"/>
        </w:rPr>
        <w:t xml:space="preserve"> projectgroep verzoekt u </w:t>
      </w:r>
      <w:r>
        <w:rPr>
          <w:rFonts w:ascii="Verdana" w:hAnsi="Verdana" w:cs="Calibri-Light"/>
          <w:sz w:val="20"/>
          <w:szCs w:val="20"/>
          <w:lang w:val="nl-NL"/>
        </w:rPr>
        <w:t xml:space="preserve">de vragen op de volgende pagina(‘s) </w:t>
      </w:r>
      <w:r w:rsidR="00E24C7B">
        <w:rPr>
          <w:rFonts w:ascii="Verdana" w:hAnsi="Verdana" w:cs="Calibri-Light"/>
          <w:sz w:val="20"/>
          <w:szCs w:val="20"/>
          <w:lang w:val="nl-NL"/>
        </w:rPr>
        <w:t xml:space="preserve">schriftelijk te beantwoorden. </w:t>
      </w:r>
      <w:r>
        <w:rPr>
          <w:rFonts w:ascii="Verdana" w:hAnsi="Verdana" w:cs="Calibri-Light"/>
          <w:sz w:val="20"/>
          <w:szCs w:val="20"/>
          <w:lang w:val="nl-NL"/>
        </w:rPr>
        <w:t>U dient</w:t>
      </w:r>
      <w:r w:rsidR="00E24C7B">
        <w:rPr>
          <w:rFonts w:ascii="Verdana" w:hAnsi="Verdana" w:cs="Calibri-Light"/>
          <w:sz w:val="20"/>
          <w:szCs w:val="20"/>
          <w:lang w:val="nl-NL"/>
        </w:rPr>
        <w:t xml:space="preserve"> uw reactie uiterlijk </w:t>
      </w:r>
      <w:r w:rsidR="00DA2475">
        <w:rPr>
          <w:rFonts w:ascii="Verdana" w:hAnsi="Verdana" w:cs="Calibri-Light"/>
          <w:sz w:val="20"/>
          <w:szCs w:val="20"/>
          <w:lang w:val="nl-NL"/>
        </w:rPr>
        <w:t>30</w:t>
      </w:r>
      <w:r w:rsidR="0079223B" w:rsidRPr="003D6D0B">
        <w:rPr>
          <w:rFonts w:ascii="Verdana" w:hAnsi="Verdana" w:cs="Calibri-Light"/>
          <w:sz w:val="20"/>
          <w:szCs w:val="20"/>
          <w:lang w:val="nl-NL"/>
        </w:rPr>
        <w:t xml:space="preserve"> juni</w:t>
      </w:r>
      <w:r w:rsidR="00E24C7B" w:rsidRPr="003D6D0B">
        <w:rPr>
          <w:rFonts w:ascii="Verdana" w:hAnsi="Verdana" w:cs="Calibri-Light"/>
          <w:sz w:val="20"/>
          <w:szCs w:val="20"/>
          <w:lang w:val="nl-NL"/>
        </w:rPr>
        <w:t xml:space="preserve"> 2016</w:t>
      </w:r>
      <w:r w:rsidR="00E24C7B">
        <w:rPr>
          <w:rFonts w:ascii="Verdana" w:hAnsi="Verdana" w:cs="Calibri-Light"/>
          <w:sz w:val="20"/>
          <w:szCs w:val="20"/>
          <w:lang w:val="nl-NL"/>
        </w:rPr>
        <w:t xml:space="preserve"> via e-mail in te zenden naar de afdeling Inkoop. </w:t>
      </w:r>
      <w:r w:rsidR="000C15D7">
        <w:rPr>
          <w:rFonts w:ascii="Verdana" w:hAnsi="Verdana" w:cs="Calibri-Light"/>
          <w:sz w:val="20"/>
          <w:szCs w:val="20"/>
          <w:lang w:val="nl-NL"/>
        </w:rPr>
        <w:t xml:space="preserve">Het </w:t>
      </w:r>
      <w:r w:rsidR="000C5FAD">
        <w:rPr>
          <w:rFonts w:ascii="Verdana" w:hAnsi="Verdana" w:cs="Calibri-Light"/>
          <w:sz w:val="20"/>
          <w:szCs w:val="20"/>
          <w:lang w:val="nl-NL"/>
        </w:rPr>
        <w:t>e-</w:t>
      </w:r>
      <w:r w:rsidR="00E24C7B">
        <w:rPr>
          <w:rFonts w:ascii="Verdana" w:hAnsi="Verdana" w:cs="Calibri-Light"/>
          <w:sz w:val="20"/>
          <w:szCs w:val="20"/>
          <w:lang w:val="nl-NL"/>
        </w:rPr>
        <w:t xml:space="preserve">mail </w:t>
      </w:r>
      <w:r w:rsidR="000C15D7">
        <w:rPr>
          <w:rFonts w:ascii="Verdana" w:hAnsi="Verdana" w:cs="Calibri-Light"/>
          <w:sz w:val="20"/>
          <w:szCs w:val="20"/>
          <w:lang w:val="nl-NL"/>
        </w:rPr>
        <w:t xml:space="preserve">adres is: </w:t>
      </w:r>
      <w:hyperlink r:id="rId7" w:history="1">
        <w:r w:rsidR="0079223B" w:rsidRPr="003D6D0B">
          <w:rPr>
            <w:rFonts w:ascii="Verdana" w:hAnsi="Verdana" w:cs="Calibri-Light"/>
            <w:sz w:val="20"/>
            <w:szCs w:val="20"/>
            <w:lang w:val="nl-NL"/>
          </w:rPr>
          <w:t>aanbestedingen@lumc.nl</w:t>
        </w:r>
      </w:hyperlink>
      <w:r w:rsidR="003D6D0B" w:rsidRPr="003D6D0B">
        <w:rPr>
          <w:rFonts w:ascii="Verdana" w:hAnsi="Verdana" w:cs="Calibri-Light"/>
          <w:sz w:val="20"/>
          <w:szCs w:val="20"/>
          <w:lang w:val="nl-NL"/>
        </w:rPr>
        <w:t>.</w:t>
      </w:r>
    </w:p>
    <w:p w:rsidR="005A31FB" w:rsidRDefault="005A31FB" w:rsidP="003D6D0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</w:p>
    <w:p w:rsidR="005A31FB" w:rsidRPr="0032397F" w:rsidRDefault="005A31FB" w:rsidP="003D6D0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u w:val="single"/>
          <w:lang w:val="nl-NL"/>
        </w:rPr>
      </w:pPr>
      <w:r w:rsidRPr="0032397F">
        <w:rPr>
          <w:rFonts w:ascii="Verdana" w:hAnsi="Verdana" w:cs="Calibri-Light"/>
          <w:sz w:val="20"/>
          <w:szCs w:val="20"/>
          <w:u w:val="single"/>
          <w:lang w:val="nl-NL"/>
        </w:rPr>
        <w:t>Vragen over deze marktconsultatieprocedure</w:t>
      </w:r>
    </w:p>
    <w:p w:rsidR="003D6D0B" w:rsidRPr="003D6D0B" w:rsidRDefault="003D6D0B" w:rsidP="003D6D0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>
        <w:rPr>
          <w:rFonts w:ascii="Verdana" w:hAnsi="Verdana" w:cs="Calibri-Light"/>
          <w:sz w:val="20"/>
          <w:szCs w:val="20"/>
          <w:lang w:val="nl-NL"/>
        </w:rPr>
        <w:t xml:space="preserve">Eventuele </w:t>
      </w:r>
      <w:r w:rsidR="005A31FB">
        <w:rPr>
          <w:rFonts w:ascii="Verdana" w:hAnsi="Verdana" w:cs="Calibri-Light"/>
          <w:sz w:val="20"/>
          <w:szCs w:val="20"/>
          <w:lang w:val="nl-NL"/>
        </w:rPr>
        <w:t xml:space="preserve">verduidelijkende </w:t>
      </w:r>
      <w:r>
        <w:rPr>
          <w:rFonts w:ascii="Verdana" w:hAnsi="Verdana" w:cs="Calibri-Light"/>
          <w:sz w:val="20"/>
          <w:szCs w:val="20"/>
          <w:lang w:val="nl-NL"/>
        </w:rPr>
        <w:t>vragen kunt u stellen aan de heer R.L. (Ruud) Verkijk</w:t>
      </w:r>
      <w:r w:rsidR="005A31FB">
        <w:rPr>
          <w:rFonts w:ascii="Verdana" w:hAnsi="Verdana" w:cs="Calibri-Light"/>
          <w:sz w:val="20"/>
          <w:szCs w:val="20"/>
          <w:lang w:val="nl-NL"/>
        </w:rPr>
        <w:t xml:space="preserve">, Senior Inkoper, per mail: </w:t>
      </w:r>
      <w:hyperlink r:id="rId8" w:history="1">
        <w:r w:rsidR="00DA2475" w:rsidRPr="003D6D0B">
          <w:rPr>
            <w:rFonts w:ascii="Verdana" w:hAnsi="Verdana" w:cs="Calibri-Light"/>
            <w:sz w:val="20"/>
            <w:szCs w:val="20"/>
            <w:lang w:val="nl-NL"/>
          </w:rPr>
          <w:t>aanbestedingen@lumc.nl</w:t>
        </w:r>
      </w:hyperlink>
      <w:r w:rsidR="00DA2475" w:rsidRPr="003D6D0B">
        <w:rPr>
          <w:rFonts w:ascii="Verdana" w:hAnsi="Verdana" w:cs="Calibri-Light"/>
          <w:sz w:val="20"/>
          <w:szCs w:val="20"/>
          <w:lang w:val="nl-NL"/>
        </w:rPr>
        <w:t>.</w:t>
      </w:r>
    </w:p>
    <w:p w:rsidR="002E37F0" w:rsidRDefault="002E37F0">
      <w:pPr>
        <w:rPr>
          <w:rFonts w:ascii="Verdana" w:hAnsi="Verdana" w:cs="Calibri-Light"/>
          <w:sz w:val="20"/>
          <w:szCs w:val="20"/>
          <w:lang w:val="nl-NL"/>
        </w:rPr>
      </w:pPr>
    </w:p>
    <w:p w:rsidR="00DC1552" w:rsidRDefault="002E37F0">
      <w:pPr>
        <w:rPr>
          <w:rFonts w:ascii="Verdana" w:hAnsi="Verdana" w:cs="Calibri-Light"/>
          <w:sz w:val="20"/>
          <w:szCs w:val="20"/>
          <w:lang w:val="nl-NL"/>
        </w:rPr>
      </w:pPr>
      <w:r>
        <w:rPr>
          <w:rFonts w:ascii="Verdana" w:hAnsi="Verdana" w:cs="Calibri-Light"/>
          <w:sz w:val="20"/>
          <w:szCs w:val="20"/>
          <w:lang w:val="nl-NL"/>
        </w:rPr>
        <w:t>Wij danken u in ieder geval hartelijk voor de moeite die u neemt om onze vragen te beantwoorden.</w:t>
      </w:r>
    </w:p>
    <w:p w:rsidR="00DC1552" w:rsidRDefault="00DC1552" w:rsidP="00DC1552">
      <w:pPr>
        <w:spacing w:after="0"/>
        <w:rPr>
          <w:rFonts w:ascii="Verdana" w:hAnsi="Verdana" w:cs="Calibri-Light"/>
          <w:sz w:val="20"/>
          <w:szCs w:val="20"/>
          <w:lang w:val="nl-NL"/>
        </w:rPr>
      </w:pPr>
      <w:r>
        <w:rPr>
          <w:rFonts w:ascii="Verdana" w:hAnsi="Verdana" w:cs="Calibri-Light"/>
          <w:sz w:val="20"/>
          <w:szCs w:val="20"/>
          <w:lang w:val="nl-NL"/>
        </w:rPr>
        <w:t>Met vriendelijke groet,</w:t>
      </w:r>
    </w:p>
    <w:p w:rsidR="00DC1552" w:rsidRDefault="00DC1552" w:rsidP="00DC1552">
      <w:pPr>
        <w:spacing w:after="0"/>
        <w:rPr>
          <w:rFonts w:ascii="Verdana" w:hAnsi="Verdana" w:cs="Calibri-Light"/>
          <w:sz w:val="20"/>
          <w:szCs w:val="20"/>
          <w:lang w:val="nl-NL"/>
        </w:rPr>
      </w:pPr>
      <w:r>
        <w:rPr>
          <w:rFonts w:ascii="Verdana" w:hAnsi="Verdana" w:cs="Calibri-Light"/>
          <w:sz w:val="20"/>
          <w:szCs w:val="20"/>
          <w:lang w:val="nl-NL"/>
        </w:rPr>
        <w:t>Ruud Verkijk,</w:t>
      </w:r>
    </w:p>
    <w:p w:rsidR="005A31FB" w:rsidRDefault="00DC1552" w:rsidP="00DC1552">
      <w:pPr>
        <w:spacing w:after="0"/>
        <w:rPr>
          <w:rFonts w:ascii="Verdana" w:hAnsi="Verdana" w:cs="Calibri-Light"/>
          <w:sz w:val="20"/>
          <w:szCs w:val="20"/>
          <w:lang w:val="nl-NL"/>
        </w:rPr>
      </w:pPr>
      <w:r>
        <w:rPr>
          <w:rFonts w:ascii="Verdana" w:hAnsi="Verdana" w:cs="Calibri-Light"/>
          <w:sz w:val="20"/>
          <w:szCs w:val="20"/>
          <w:lang w:val="nl-NL"/>
        </w:rPr>
        <w:t>Senior inkoper</w:t>
      </w:r>
      <w:r w:rsidR="005A31FB">
        <w:rPr>
          <w:rFonts w:ascii="Verdana" w:hAnsi="Verdana" w:cs="Calibri-Light"/>
          <w:sz w:val="20"/>
          <w:szCs w:val="20"/>
          <w:lang w:val="nl-NL"/>
        </w:rPr>
        <w:br w:type="page"/>
      </w:r>
    </w:p>
    <w:p w:rsidR="00E24C7B" w:rsidRDefault="00E24C7B" w:rsidP="00E24C7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</w:p>
    <w:p w:rsidR="009C5542" w:rsidRPr="00080788" w:rsidRDefault="005C66B0" w:rsidP="005C66B0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b/>
          <w:sz w:val="20"/>
          <w:szCs w:val="20"/>
          <w:lang w:val="nl-NL"/>
        </w:rPr>
      </w:pPr>
      <w:r w:rsidRPr="00080788">
        <w:rPr>
          <w:rFonts w:ascii="Verdana" w:hAnsi="Verdana" w:cs="Calibri-Light"/>
          <w:b/>
          <w:sz w:val="20"/>
          <w:szCs w:val="20"/>
          <w:lang w:val="nl-NL"/>
        </w:rPr>
        <w:t xml:space="preserve">Vragen marktconsultatie </w:t>
      </w:r>
      <w:r w:rsidR="0079223B" w:rsidRPr="00080788">
        <w:rPr>
          <w:rFonts w:ascii="Verdana" w:hAnsi="Verdana" w:cs="Calibri-Light"/>
          <w:b/>
          <w:sz w:val="20"/>
          <w:szCs w:val="20"/>
          <w:lang w:val="nl-NL"/>
        </w:rPr>
        <w:t>niet-oncologische implantaten</w:t>
      </w:r>
    </w:p>
    <w:p w:rsidR="005C66B0" w:rsidRDefault="005C66B0" w:rsidP="005C66B0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</w:p>
    <w:p w:rsidR="00750973" w:rsidRDefault="00750973" w:rsidP="005C66B0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46"/>
        <w:gridCol w:w="3993"/>
      </w:tblGrid>
      <w:tr w:rsidR="008203C9" w:rsidTr="00DA2475">
        <w:tc>
          <w:tcPr>
            <w:tcW w:w="5046" w:type="dxa"/>
          </w:tcPr>
          <w:p w:rsidR="008203C9" w:rsidRPr="0032397F" w:rsidRDefault="008203C9" w:rsidP="005C66B0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-Light"/>
                <w:b/>
                <w:sz w:val="20"/>
                <w:szCs w:val="20"/>
                <w:lang w:val="nl-NL"/>
              </w:rPr>
            </w:pPr>
            <w:r w:rsidRPr="0032397F">
              <w:rPr>
                <w:rFonts w:ascii="Verdana" w:hAnsi="Verdana" w:cs="Calibri-Light"/>
                <w:b/>
                <w:sz w:val="20"/>
                <w:szCs w:val="20"/>
                <w:lang w:val="nl-NL"/>
              </w:rPr>
              <w:t>Vraag</w:t>
            </w:r>
          </w:p>
        </w:tc>
        <w:tc>
          <w:tcPr>
            <w:tcW w:w="3993" w:type="dxa"/>
          </w:tcPr>
          <w:p w:rsidR="008203C9" w:rsidRPr="0032397F" w:rsidRDefault="008203C9" w:rsidP="005C66B0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-Light"/>
                <w:b/>
                <w:sz w:val="20"/>
                <w:szCs w:val="20"/>
                <w:lang w:val="nl-NL"/>
              </w:rPr>
            </w:pPr>
            <w:r w:rsidRPr="0032397F">
              <w:rPr>
                <w:rFonts w:ascii="Verdana" w:hAnsi="Verdana" w:cs="Calibri-Light"/>
                <w:b/>
                <w:sz w:val="20"/>
                <w:szCs w:val="20"/>
                <w:lang w:val="nl-NL"/>
              </w:rPr>
              <w:t>Uw antwoord</w:t>
            </w:r>
          </w:p>
        </w:tc>
      </w:tr>
      <w:tr w:rsidR="008203C9" w:rsidRPr="00BC1408" w:rsidTr="00DA2475">
        <w:tc>
          <w:tcPr>
            <w:tcW w:w="5046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Wilt u op het bijgevoegde </w:t>
            </w:r>
            <w:proofErr w:type="spellStart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PvE</w:t>
            </w:r>
            <w:proofErr w:type="spellEnd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in de daartoe aangebrachte kolommen per eis/wens aangeven of u kunt voldoen aan de eisen en wensen uit het </w:t>
            </w:r>
            <w:proofErr w:type="spellStart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PvE</w:t>
            </w:r>
            <w:proofErr w:type="spellEnd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?</w:t>
            </w:r>
          </w:p>
        </w:tc>
        <w:tc>
          <w:tcPr>
            <w:tcW w:w="3993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Dien het </w:t>
            </w:r>
            <w:proofErr w:type="spellStart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PvE</w:t>
            </w:r>
            <w:proofErr w:type="spellEnd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(voor ieder perceel) in met uw antwoorden</w:t>
            </w:r>
          </w:p>
        </w:tc>
      </w:tr>
      <w:tr w:rsidR="008203C9" w:rsidRPr="00BC1408" w:rsidTr="00DA2475">
        <w:tc>
          <w:tcPr>
            <w:tcW w:w="5046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Het LUMC is voornemens de aanbesteding in de volgende percelen op te delen:</w:t>
            </w:r>
          </w:p>
          <w:p w:rsidR="008203C9" w:rsidRDefault="008203C9" w:rsidP="0032397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 w:rsidRPr="0032397F"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schouder, </w:t>
            </w:r>
          </w:p>
          <w:p w:rsidR="008203C9" w:rsidRDefault="008203C9" w:rsidP="0032397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 w:rsidRPr="0032397F"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heup, </w:t>
            </w:r>
          </w:p>
          <w:p w:rsidR="008203C9" w:rsidRDefault="008203C9" w:rsidP="0032397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 w:rsidRPr="0032397F"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elleboog en </w:t>
            </w:r>
          </w:p>
          <w:p w:rsidR="008203C9" w:rsidRDefault="008203C9" w:rsidP="0032397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 w:rsidRPr="0032397F">
              <w:rPr>
                <w:rFonts w:ascii="Verdana" w:hAnsi="Verdana" w:cs="Calibri-Light"/>
                <w:sz w:val="20"/>
                <w:szCs w:val="20"/>
                <w:lang w:val="nl-NL"/>
              </w:rPr>
              <w:t>knie</w:t>
            </w:r>
          </w:p>
          <w:p w:rsidR="008203C9" w:rsidRDefault="008203C9" w:rsidP="00750973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  <w:p w:rsidR="008203C9" w:rsidRPr="0032397F" w:rsidRDefault="008203C9" w:rsidP="00750973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Op welke van deze percelen kunt en wilt u inschrijven?</w:t>
            </w:r>
          </w:p>
        </w:tc>
        <w:tc>
          <w:tcPr>
            <w:tcW w:w="3993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2E37F0" w:rsidRPr="00BC1408" w:rsidTr="00DA2475">
        <w:tc>
          <w:tcPr>
            <w:tcW w:w="5046" w:type="dxa"/>
          </w:tcPr>
          <w:p w:rsidR="002E37F0" w:rsidRDefault="002E37F0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Bent u van mening dat het LUMC percelen zou moeten samenvoegen en waarom?</w:t>
            </w:r>
          </w:p>
        </w:tc>
        <w:tc>
          <w:tcPr>
            <w:tcW w:w="3993" w:type="dxa"/>
          </w:tcPr>
          <w:p w:rsidR="002E37F0" w:rsidRDefault="002E37F0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8203C9" w:rsidRPr="00BC1408" w:rsidTr="00DA2475">
        <w:tc>
          <w:tcPr>
            <w:tcW w:w="5046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Geeft u </w:t>
            </w:r>
            <w:proofErr w:type="spellStart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aub</w:t>
            </w:r>
            <w:proofErr w:type="spellEnd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aan per perceel op welke punten u zich onderscheid</w:t>
            </w:r>
            <w:r w:rsidR="002E37F0">
              <w:rPr>
                <w:rFonts w:ascii="Verdana" w:hAnsi="Verdana" w:cs="Calibri-Light"/>
                <w:sz w:val="20"/>
                <w:szCs w:val="20"/>
                <w:lang w:val="nl-NL"/>
              </w:rPr>
              <w:t>t</w:t>
            </w: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ten opzichte van uw concurrenten:</w:t>
            </w:r>
          </w:p>
        </w:tc>
        <w:tc>
          <w:tcPr>
            <w:tcW w:w="3993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8203C9" w:rsidTr="00DA2475">
        <w:tc>
          <w:tcPr>
            <w:tcW w:w="5046" w:type="dxa"/>
          </w:tcPr>
          <w:p w:rsidR="008203C9" w:rsidRDefault="00963F1E" w:rsidP="0032397F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O</w:t>
            </w:r>
            <w:r w:rsidR="008203C9">
              <w:rPr>
                <w:rFonts w:ascii="Verdana" w:hAnsi="Verdana" w:cs="Calibri-Light"/>
                <w:sz w:val="20"/>
                <w:szCs w:val="20"/>
                <w:lang w:val="nl-NL"/>
              </w:rPr>
              <w:t>nderscheidend schouder</w:t>
            </w:r>
          </w:p>
          <w:p w:rsidR="008203C9" w:rsidRPr="0032397F" w:rsidRDefault="008203C9" w:rsidP="0032397F">
            <w:pPr>
              <w:pStyle w:val="Lijstalinea"/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  <w:tc>
          <w:tcPr>
            <w:tcW w:w="3993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8203C9" w:rsidTr="00DA2475">
        <w:tc>
          <w:tcPr>
            <w:tcW w:w="5046" w:type="dxa"/>
          </w:tcPr>
          <w:p w:rsidR="008203C9" w:rsidRDefault="00963F1E" w:rsidP="00750973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O</w:t>
            </w:r>
            <w:r w:rsidR="008203C9">
              <w:rPr>
                <w:rFonts w:ascii="Verdana" w:hAnsi="Verdana" w:cs="Calibri-Light"/>
                <w:sz w:val="20"/>
                <w:szCs w:val="20"/>
                <w:lang w:val="nl-NL"/>
              </w:rPr>
              <w:t>nderscheidend heup</w:t>
            </w:r>
          </w:p>
          <w:p w:rsidR="008203C9" w:rsidRPr="0032397F" w:rsidRDefault="008203C9" w:rsidP="0032397F">
            <w:pPr>
              <w:autoSpaceDE w:val="0"/>
              <w:autoSpaceDN w:val="0"/>
              <w:adjustRightInd w:val="0"/>
              <w:ind w:left="36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  <w:tc>
          <w:tcPr>
            <w:tcW w:w="3993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8203C9" w:rsidTr="00DA2475">
        <w:tc>
          <w:tcPr>
            <w:tcW w:w="5046" w:type="dxa"/>
          </w:tcPr>
          <w:p w:rsidR="008203C9" w:rsidRDefault="008203C9" w:rsidP="00750973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Onderscheidend elleboog</w:t>
            </w:r>
          </w:p>
          <w:p w:rsidR="008203C9" w:rsidRPr="0032397F" w:rsidRDefault="008203C9" w:rsidP="0032397F">
            <w:pPr>
              <w:autoSpaceDE w:val="0"/>
              <w:autoSpaceDN w:val="0"/>
              <w:adjustRightInd w:val="0"/>
              <w:ind w:left="36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  <w:tc>
          <w:tcPr>
            <w:tcW w:w="3993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8203C9" w:rsidTr="00DA2475">
        <w:tc>
          <w:tcPr>
            <w:tcW w:w="5046" w:type="dxa"/>
          </w:tcPr>
          <w:p w:rsidR="008203C9" w:rsidRDefault="008203C9" w:rsidP="00750973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Onderscheidend knie</w:t>
            </w: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br/>
            </w:r>
          </w:p>
        </w:tc>
        <w:tc>
          <w:tcPr>
            <w:tcW w:w="3993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2E37F0" w:rsidRPr="00BC1408" w:rsidTr="00DA2475">
        <w:tc>
          <w:tcPr>
            <w:tcW w:w="5046" w:type="dxa"/>
          </w:tcPr>
          <w:p w:rsidR="002E37F0" w:rsidRDefault="002E37F0" w:rsidP="008203C9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Hoe onderscheidt uw firma zich ten opzichte van de concurrenten op het gebied van scholing?</w:t>
            </w:r>
          </w:p>
        </w:tc>
        <w:tc>
          <w:tcPr>
            <w:tcW w:w="3993" w:type="dxa"/>
          </w:tcPr>
          <w:p w:rsidR="002E37F0" w:rsidRDefault="002E37F0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8203C9" w:rsidRPr="00BC1408" w:rsidTr="00DA2475">
        <w:tc>
          <w:tcPr>
            <w:tcW w:w="5046" w:type="dxa"/>
          </w:tcPr>
          <w:p w:rsidR="008203C9" w:rsidRDefault="008203C9" w:rsidP="008203C9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Zijn er daarnaast nog andere aspecten waarop uw firma zich van de concurrenten onderscheidt, bijv. op logistiek of service gebied en kunt u dit toelichten?</w:t>
            </w:r>
          </w:p>
        </w:tc>
        <w:tc>
          <w:tcPr>
            <w:tcW w:w="3993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8203C9" w:rsidRPr="00BC1408" w:rsidTr="00DA2475">
        <w:tc>
          <w:tcPr>
            <w:tcW w:w="5046" w:type="dxa"/>
          </w:tcPr>
          <w:p w:rsidR="008203C9" w:rsidRPr="0032397F" w:rsidRDefault="008203C9" w:rsidP="0032397F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Welke nieuwe ontwikkelingen op het gebied van implantaten kan uw firma bieden? Het kan gaan om ontwikkelingen van de implantaten of materialen zelf, maar ook om logistieke of andere ontwikkelingen.</w:t>
            </w:r>
          </w:p>
        </w:tc>
        <w:tc>
          <w:tcPr>
            <w:tcW w:w="3993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8203C9" w:rsidRPr="00BC1408" w:rsidTr="00DA2475">
        <w:tc>
          <w:tcPr>
            <w:tcW w:w="5046" w:type="dxa"/>
          </w:tcPr>
          <w:p w:rsidR="008203C9" w:rsidRDefault="008203C9" w:rsidP="00750973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Behoudens het </w:t>
            </w:r>
            <w:proofErr w:type="spellStart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PvE</w:t>
            </w:r>
            <w:proofErr w:type="spellEnd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en de gebruikscijfers: welke informatie heeft u van LUMC nodig om een passende aanbieding te kunnen doen?</w:t>
            </w:r>
          </w:p>
        </w:tc>
        <w:tc>
          <w:tcPr>
            <w:tcW w:w="3993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8203C9" w:rsidRPr="00BC1408" w:rsidTr="00DA2475">
        <w:tc>
          <w:tcPr>
            <w:tcW w:w="5046" w:type="dxa"/>
          </w:tcPr>
          <w:p w:rsidR="008203C9" w:rsidRDefault="008203C9" w:rsidP="00750973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Zoals u weet vervangt het LUMC bij patiënten ook (delen van) bestaande implantaten, die mogelijk van een ander merk zijn dan het uwe. Welke afspraken bent u gewend om te maken met uw klantziekenhuizen om vervangende implantaten van andere merken ter beschikking te stellen? Speelt u als firma daar een actieve rol in, bijvoorbeeld op het gebied </w:t>
            </w: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lastRenderedPageBreak/>
              <w:t>van logistiek?</w:t>
            </w:r>
          </w:p>
        </w:tc>
        <w:tc>
          <w:tcPr>
            <w:tcW w:w="3993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8203C9" w:rsidRPr="00BC1408" w:rsidTr="00DA2475">
        <w:tc>
          <w:tcPr>
            <w:tcW w:w="5046" w:type="dxa"/>
          </w:tcPr>
          <w:p w:rsidR="008203C9" w:rsidRDefault="008203C9" w:rsidP="00750973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highlight w:val="yellow"/>
                <w:lang w:val="nl-NL"/>
              </w:rPr>
            </w:pPr>
          </w:p>
          <w:p w:rsidR="00963F1E" w:rsidRPr="00DA2475" w:rsidRDefault="00963F1E" w:rsidP="00862C34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highlight w:val="yellow"/>
                <w:lang w:val="nl-NL"/>
              </w:rPr>
            </w:pPr>
            <w:r w:rsidRPr="00BC1408"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Wat is uw voorkeur </w:t>
            </w:r>
            <w:r w:rsidR="00862C34" w:rsidRPr="00BC1408">
              <w:rPr>
                <w:rFonts w:ascii="Verdana" w:hAnsi="Verdana" w:cs="Calibri-Light"/>
                <w:sz w:val="20"/>
                <w:szCs w:val="20"/>
                <w:lang w:val="nl-NL"/>
              </w:rPr>
              <w:t>voor het logistieke proces rondom</w:t>
            </w:r>
            <w:r w:rsidRPr="00BC1408"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instrumentarium dat bij de ingrepen </w:t>
            </w:r>
            <w:r w:rsidR="00862C34" w:rsidRPr="00BC1408">
              <w:rPr>
                <w:rFonts w:ascii="Verdana" w:hAnsi="Verdana" w:cs="Calibri-Light"/>
                <w:sz w:val="20"/>
                <w:szCs w:val="20"/>
                <w:lang w:val="nl-NL"/>
              </w:rPr>
              <w:t>gebruikt</w:t>
            </w:r>
            <w:r w:rsidRPr="00BC1408"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wordt? </w:t>
            </w:r>
            <w:r w:rsidR="00862C34" w:rsidRPr="00BC1408">
              <w:rPr>
                <w:rFonts w:ascii="Verdana" w:hAnsi="Verdana" w:cs="Calibri-Light"/>
                <w:sz w:val="20"/>
                <w:szCs w:val="20"/>
                <w:lang w:val="nl-NL"/>
              </w:rPr>
              <w:t>Legt u instrumentarium in consignatie of levert u instrumentarium (wel/niet</w:t>
            </w:r>
            <w:r w:rsidRPr="00BC1408"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steriel</w:t>
            </w:r>
            <w:r w:rsidR="00862C34" w:rsidRPr="00BC1408">
              <w:rPr>
                <w:rFonts w:ascii="Verdana" w:hAnsi="Verdana" w:cs="Calibri-Light"/>
                <w:sz w:val="20"/>
                <w:szCs w:val="20"/>
                <w:lang w:val="nl-NL"/>
              </w:rPr>
              <w:t>) aan per ingreep, of heeft u andere voorkeuren?</w:t>
            </w:r>
            <w:r w:rsidRPr="00BC1408"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993" w:type="dxa"/>
          </w:tcPr>
          <w:p w:rsidR="008203C9" w:rsidRPr="00DA2475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highlight w:val="yellow"/>
                <w:lang w:val="nl-NL"/>
              </w:rPr>
            </w:pPr>
          </w:p>
        </w:tc>
      </w:tr>
      <w:tr w:rsidR="002A152A" w:rsidRPr="00BC1408" w:rsidTr="00DA2475">
        <w:tc>
          <w:tcPr>
            <w:tcW w:w="5046" w:type="dxa"/>
          </w:tcPr>
          <w:p w:rsidR="002A152A" w:rsidRDefault="002A152A" w:rsidP="00750973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Bij het LUMC wordt tracking &amp; </w:t>
            </w:r>
            <w:proofErr w:type="spellStart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tracing</w:t>
            </w:r>
            <w:proofErr w:type="spellEnd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van implantaten toegepast.</w:t>
            </w:r>
            <w:r w:rsidRPr="002A152A">
              <w:rPr>
                <w:lang w:val="nl-NL"/>
              </w:rPr>
              <w:t xml:space="preserve"> </w:t>
            </w:r>
            <w:r w:rsidRPr="002A152A"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Per product (stuks) dient </w:t>
            </w:r>
            <w:r w:rsidR="00862C34"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minimaal </w:t>
            </w:r>
            <w:r w:rsidRPr="002A152A">
              <w:rPr>
                <w:rFonts w:ascii="Verdana" w:hAnsi="Verdana" w:cs="Calibri-Light"/>
                <w:sz w:val="20"/>
                <w:szCs w:val="20"/>
                <w:lang w:val="nl-NL"/>
              </w:rPr>
              <w:t>een GSI barcode te zijn aangebracht.</w:t>
            </w: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Indien u niet beschikt over GSI volstaat HIBC.</w:t>
            </w:r>
          </w:p>
          <w:p w:rsidR="002A152A" w:rsidRDefault="002A152A" w:rsidP="00750973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Op welke wijze kunt aan tracking &amp; </w:t>
            </w:r>
            <w:proofErr w:type="spellStart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tracing</w:t>
            </w:r>
            <w:proofErr w:type="spellEnd"/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invulling geven?</w:t>
            </w:r>
            <w:r w:rsidR="00862C34">
              <w:rPr>
                <w:rFonts w:ascii="Verdana" w:hAnsi="Verdana" w:cs="Calibri-Light"/>
                <w:sz w:val="20"/>
                <w:szCs w:val="20"/>
                <w:lang w:val="nl-NL"/>
              </w:rPr>
              <w:t xml:space="preserve"> En wat zijn uw gedachten over nieuwe ontwikkelingen op dit gebied?</w:t>
            </w:r>
          </w:p>
        </w:tc>
        <w:tc>
          <w:tcPr>
            <w:tcW w:w="3993" w:type="dxa"/>
          </w:tcPr>
          <w:p w:rsidR="002A152A" w:rsidRDefault="002A152A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  <w:tr w:rsidR="008203C9" w:rsidRPr="00BC1408" w:rsidTr="00DA2475">
        <w:tc>
          <w:tcPr>
            <w:tcW w:w="5046" w:type="dxa"/>
          </w:tcPr>
          <w:p w:rsidR="008203C9" w:rsidRDefault="002E37F0" w:rsidP="00750973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  <w:r>
              <w:rPr>
                <w:rFonts w:ascii="Verdana" w:hAnsi="Verdana" w:cs="Calibri-Light"/>
                <w:sz w:val="20"/>
                <w:szCs w:val="20"/>
                <w:lang w:val="nl-NL"/>
              </w:rPr>
              <w:t>Welke andere adviezen heeft u voor het LUMC met betrekking tot deze aanbesteding?</w:t>
            </w:r>
          </w:p>
        </w:tc>
        <w:tc>
          <w:tcPr>
            <w:tcW w:w="3993" w:type="dxa"/>
          </w:tcPr>
          <w:p w:rsidR="008203C9" w:rsidRDefault="008203C9" w:rsidP="005C66B0">
            <w:pPr>
              <w:autoSpaceDE w:val="0"/>
              <w:autoSpaceDN w:val="0"/>
              <w:adjustRightInd w:val="0"/>
              <w:rPr>
                <w:rFonts w:ascii="Verdana" w:hAnsi="Verdana" w:cs="Calibri-Light"/>
                <w:sz w:val="20"/>
                <w:szCs w:val="20"/>
                <w:lang w:val="nl-NL"/>
              </w:rPr>
            </w:pPr>
          </w:p>
        </w:tc>
      </w:tr>
    </w:tbl>
    <w:p w:rsidR="00750973" w:rsidRDefault="00750973" w:rsidP="005C66B0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</w:p>
    <w:p w:rsidR="00750973" w:rsidRDefault="00750973" w:rsidP="005C66B0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</w:p>
    <w:p w:rsidR="00750973" w:rsidRDefault="00967099" w:rsidP="005C66B0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r>
        <w:rPr>
          <w:rFonts w:ascii="Verdana" w:hAnsi="Verdana" w:cs="Calibri-Light"/>
          <w:sz w:val="20"/>
          <w:szCs w:val="20"/>
          <w:lang w:val="nl-NL"/>
        </w:rPr>
        <w:t>Bijlage: Programma van Eisen</w:t>
      </w:r>
    </w:p>
    <w:p w:rsidR="005558E3" w:rsidRDefault="005558E3" w:rsidP="005558E3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</w:p>
    <w:p w:rsidR="005558E3" w:rsidRPr="005C66B0" w:rsidRDefault="005558E3" w:rsidP="005A31FB">
      <w:pPr>
        <w:autoSpaceDE w:val="0"/>
        <w:autoSpaceDN w:val="0"/>
        <w:adjustRightInd w:val="0"/>
        <w:spacing w:after="0" w:line="240" w:lineRule="auto"/>
        <w:rPr>
          <w:rFonts w:ascii="Verdana" w:hAnsi="Verdana" w:cs="Calibri-Light"/>
          <w:sz w:val="20"/>
          <w:szCs w:val="20"/>
          <w:lang w:val="nl-NL"/>
        </w:rPr>
      </w:pPr>
      <w:bookmarkStart w:id="0" w:name="_GoBack"/>
      <w:bookmarkEnd w:id="0"/>
    </w:p>
    <w:sectPr w:rsidR="005558E3" w:rsidRPr="005C6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1AE7"/>
    <w:multiLevelType w:val="hybridMultilevel"/>
    <w:tmpl w:val="49BE5632"/>
    <w:lvl w:ilvl="0" w:tplc="06ECF94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77FDB"/>
    <w:multiLevelType w:val="hybridMultilevel"/>
    <w:tmpl w:val="80A854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F5A6E"/>
    <w:multiLevelType w:val="hybridMultilevel"/>
    <w:tmpl w:val="4C582F2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47D153A"/>
    <w:multiLevelType w:val="hybridMultilevel"/>
    <w:tmpl w:val="5F4AF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E6918"/>
    <w:multiLevelType w:val="hybridMultilevel"/>
    <w:tmpl w:val="F20A1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222ED"/>
    <w:multiLevelType w:val="hybridMultilevel"/>
    <w:tmpl w:val="DE248A70"/>
    <w:lvl w:ilvl="0" w:tplc="CF42BD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B0"/>
    <w:rsid w:val="000149AA"/>
    <w:rsid w:val="00080788"/>
    <w:rsid w:val="00082AFB"/>
    <w:rsid w:val="000C15D7"/>
    <w:rsid w:val="000C5FAD"/>
    <w:rsid w:val="00127209"/>
    <w:rsid w:val="002A152A"/>
    <w:rsid w:val="002E37F0"/>
    <w:rsid w:val="002F6A35"/>
    <w:rsid w:val="0032397F"/>
    <w:rsid w:val="003D6D0B"/>
    <w:rsid w:val="005558E3"/>
    <w:rsid w:val="005A31FB"/>
    <w:rsid w:val="005C66B0"/>
    <w:rsid w:val="006974EE"/>
    <w:rsid w:val="00750973"/>
    <w:rsid w:val="0079223B"/>
    <w:rsid w:val="007A0CFE"/>
    <w:rsid w:val="008203C9"/>
    <w:rsid w:val="00862C34"/>
    <w:rsid w:val="00957689"/>
    <w:rsid w:val="00963F1E"/>
    <w:rsid w:val="00967099"/>
    <w:rsid w:val="009C5542"/>
    <w:rsid w:val="009F1601"/>
    <w:rsid w:val="009F7488"/>
    <w:rsid w:val="00B11483"/>
    <w:rsid w:val="00B34B99"/>
    <w:rsid w:val="00B95CA7"/>
    <w:rsid w:val="00B95FED"/>
    <w:rsid w:val="00BC1408"/>
    <w:rsid w:val="00CD60D7"/>
    <w:rsid w:val="00D826A6"/>
    <w:rsid w:val="00DA2475"/>
    <w:rsid w:val="00DC06CD"/>
    <w:rsid w:val="00DC1552"/>
    <w:rsid w:val="00E24C7B"/>
    <w:rsid w:val="00EF6C83"/>
    <w:rsid w:val="00F22C5C"/>
    <w:rsid w:val="00F36473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C66B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24C7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6A3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0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63F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3F1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3F1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3F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3F1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C66B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24C7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6A3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0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63F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3F1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3F1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3F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3F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bestedingen@lumc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anbestedingen@lumc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EA32C8CD</Template>
  <TotalTime>2</TotalTime>
  <Pages>4</Pages>
  <Words>860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LUMC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Voskuil, R.J.M. (INFRA)</dc:creator>
  <cp:lastModifiedBy>Verkijk, R.L. (INKO)</cp:lastModifiedBy>
  <cp:revision>3</cp:revision>
  <cp:lastPrinted>2016-05-03T13:20:00Z</cp:lastPrinted>
  <dcterms:created xsi:type="dcterms:W3CDTF">2016-06-09T06:58:00Z</dcterms:created>
  <dcterms:modified xsi:type="dcterms:W3CDTF">2016-06-09T06:59:00Z</dcterms:modified>
</cp:coreProperties>
</file>