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DE8" w:rsidRDefault="002E3DE8">
      <w:pPr>
        <w:spacing w:line="270" w:lineRule="exact"/>
      </w:pPr>
      <w:bookmarkStart w:id="0" w:name="_GoBack"/>
      <w:bookmarkEnd w:id="0"/>
    </w:p>
    <w:p w:rsidR="002E3DE8" w:rsidRDefault="002E3DE8">
      <w:pPr>
        <w:spacing w:line="270" w:lineRule="exact"/>
      </w:pPr>
      <w:bookmarkStart w:id="1" w:name="_Ref280195725"/>
      <w:bookmarkEnd w:id="1"/>
    </w:p>
    <w:p w:rsidR="002E3DE8" w:rsidRDefault="002E3DE8">
      <w:pPr>
        <w:spacing w:line="270" w:lineRule="exact"/>
      </w:pPr>
    </w:p>
    <w:p w:rsidR="002E3DE8" w:rsidRDefault="002E3DE8">
      <w:pPr>
        <w:pStyle w:val="Kop3"/>
        <w:spacing w:line="270" w:lineRule="exact"/>
        <w:rPr>
          <w:rFonts w:ascii="Times New Roman" w:hAnsi="Times New Roman" w:cs="Times New Roman"/>
          <w:sz w:val="24"/>
        </w:rPr>
      </w:pPr>
      <w:r>
        <w:rPr>
          <w:rFonts w:ascii="Times New Roman" w:hAnsi="Times New Roman" w:cs="Times New Roman"/>
          <w:sz w:val="24"/>
        </w:rPr>
        <w:t>MODELSOURCINGOVEREENKOMST v1.0</w:t>
      </w: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Cs/>
        </w:rPr>
      </w:pPr>
      <w:r>
        <w:rPr>
          <w:bCs/>
        </w:rPr>
        <w:t>tussen</w:t>
      </w:r>
    </w:p>
    <w:p w:rsidR="002E3DE8" w:rsidRDefault="002E3DE8">
      <w:pPr>
        <w:spacing w:line="270" w:lineRule="exact"/>
        <w:jc w:val="center"/>
        <w:rPr>
          <w:bCs/>
        </w:rPr>
      </w:pPr>
    </w:p>
    <w:p w:rsidR="002E3DE8" w:rsidRDefault="002E3DE8">
      <w:pPr>
        <w:spacing w:line="270" w:lineRule="exact"/>
        <w:jc w:val="center"/>
        <w:rPr>
          <w:bCs/>
        </w:rPr>
      </w:pPr>
    </w:p>
    <w:p w:rsidR="002E3DE8" w:rsidRDefault="002E3DE8">
      <w:pPr>
        <w:spacing w:line="270" w:lineRule="exact"/>
        <w:jc w:val="center"/>
        <w:rPr>
          <w:b/>
        </w:rPr>
      </w:pPr>
      <w:r>
        <w:rPr>
          <w:b/>
        </w:rPr>
        <w:t>[…]</w:t>
      </w: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Cs/>
        </w:rPr>
      </w:pPr>
      <w:r>
        <w:rPr>
          <w:bCs/>
        </w:rPr>
        <w:t>en</w:t>
      </w: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
        </w:rPr>
      </w:pPr>
      <w:r>
        <w:rPr>
          <w:b/>
        </w:rPr>
        <w:t>[…]</w:t>
      </w:r>
    </w:p>
    <w:p w:rsidR="002E3DE8" w:rsidRDefault="002E3DE8">
      <w:pPr>
        <w:spacing w:line="270" w:lineRule="exact"/>
        <w:jc w:val="center"/>
        <w:rPr>
          <w:b/>
        </w:rPr>
      </w:pPr>
    </w:p>
    <w:p w:rsidR="002E3DE8" w:rsidRDefault="002E3DE8">
      <w:pPr>
        <w:spacing w:line="270" w:lineRule="exact"/>
        <w:jc w:val="center"/>
        <w:rPr>
          <w:b/>
        </w:rPr>
      </w:pPr>
    </w:p>
    <w:p w:rsidR="002E3DE8" w:rsidRDefault="002E3DE8">
      <w:pPr>
        <w:spacing w:line="270" w:lineRule="exact"/>
        <w:jc w:val="center"/>
        <w:rPr>
          <w:b/>
        </w:rPr>
      </w:pPr>
    </w:p>
    <w:p w:rsidR="002E3DE8" w:rsidRDefault="002E3DE8">
      <w:pPr>
        <w:widowControl w:val="0"/>
        <w:spacing w:line="270" w:lineRule="exact"/>
        <w:rPr>
          <w:b/>
          <w:bCs/>
          <w:caps/>
        </w:rPr>
      </w:pPr>
      <w:r>
        <w:br w:type="page"/>
      </w:r>
      <w:r>
        <w:rPr>
          <w:b/>
          <w:bCs/>
          <w:caps/>
        </w:rPr>
        <w:lastRenderedPageBreak/>
        <w:t>Inhoudsopgave</w:t>
      </w:r>
    </w:p>
    <w:p w:rsidR="002E3DE8" w:rsidRDefault="002E3DE8">
      <w:pPr>
        <w:widowControl w:val="0"/>
        <w:spacing w:line="270" w:lineRule="exact"/>
        <w:rPr>
          <w:b/>
        </w:rPr>
      </w:pPr>
    </w:p>
    <w:p w:rsidR="002E3DE8" w:rsidRDefault="002E3DE8">
      <w:pPr>
        <w:widowControl w:val="0"/>
        <w:spacing w:line="270" w:lineRule="exact"/>
        <w:rPr>
          <w:b/>
        </w:rPr>
      </w:pPr>
      <w:r>
        <w:rPr>
          <w:b/>
        </w:rPr>
        <w:t>Contractblad</w:t>
      </w:r>
    </w:p>
    <w:p w:rsidR="002E3DE8" w:rsidRDefault="002E3DE8">
      <w:pPr>
        <w:pStyle w:val="Kop6"/>
        <w:widowControl w:val="0"/>
        <w:numPr>
          <w:ilvl w:val="0"/>
          <w:numId w:val="0"/>
        </w:numPr>
        <w:spacing w:line="270" w:lineRule="exact"/>
        <w:rPr>
          <w:sz w:val="24"/>
        </w:rPr>
      </w:pPr>
    </w:p>
    <w:p w:rsidR="002E3DE8" w:rsidRDefault="002E3DE8">
      <w:pPr>
        <w:widowControl w:val="0"/>
        <w:spacing w:line="270" w:lineRule="exact"/>
        <w:rPr>
          <w:bCs/>
        </w:rPr>
      </w:pPr>
      <w:r>
        <w:rPr>
          <w:bCs/>
        </w:rPr>
        <w:t>Bijlage 1: Juridische voorwaarden</w:t>
      </w:r>
    </w:p>
    <w:p w:rsidR="002E3DE8" w:rsidRDefault="002E3DE8">
      <w:pPr>
        <w:widowControl w:val="0"/>
        <w:spacing w:line="270" w:lineRule="exact"/>
        <w:rPr>
          <w:bCs/>
        </w:rPr>
      </w:pPr>
      <w:r>
        <w:rPr>
          <w:bCs/>
        </w:rPr>
        <w:t>Bijlage 2: Definities</w:t>
      </w:r>
    </w:p>
    <w:p w:rsidR="002E3DE8" w:rsidRDefault="002E3DE8">
      <w:pPr>
        <w:widowControl w:val="0"/>
        <w:spacing w:line="270" w:lineRule="exact"/>
        <w:rPr>
          <w:bCs/>
        </w:rPr>
      </w:pPr>
      <w:r>
        <w:rPr>
          <w:bCs/>
        </w:rPr>
        <w:t>Etc.</w:t>
      </w:r>
      <w:r>
        <w:rPr>
          <w:rStyle w:val="Voetnootmarkering"/>
          <w:bCs/>
        </w:rPr>
        <w:footnoteReference w:id="1"/>
      </w:r>
    </w:p>
    <w:p w:rsidR="002E3DE8" w:rsidRDefault="002E3DE8">
      <w:pPr>
        <w:spacing w:line="270" w:lineRule="exact"/>
      </w:pPr>
    </w:p>
    <w:p w:rsidR="002E3DE8" w:rsidRDefault="002E3DE8">
      <w:pPr>
        <w:widowControl w:val="0"/>
        <w:spacing w:line="270" w:lineRule="exact"/>
        <w:rPr>
          <w:b/>
          <w:bCs/>
        </w:rPr>
      </w:pPr>
    </w:p>
    <w:p w:rsidR="002E3DE8" w:rsidRDefault="002E3DE8">
      <w:pPr>
        <w:widowControl w:val="0"/>
        <w:spacing w:line="270" w:lineRule="exact"/>
        <w:rPr>
          <w:b/>
          <w:bCs/>
        </w:rPr>
      </w:pPr>
    </w:p>
    <w:p w:rsidR="002E3DE8" w:rsidRDefault="002E3DE8">
      <w:pPr>
        <w:widowControl w:val="0"/>
        <w:spacing w:line="270" w:lineRule="exact"/>
        <w:rPr>
          <w:b/>
          <w:bCs/>
        </w:rPr>
      </w:pPr>
    </w:p>
    <w:p w:rsidR="002E3DE8" w:rsidRDefault="002E3DE8">
      <w:pPr>
        <w:widowControl w:val="0"/>
        <w:spacing w:line="270" w:lineRule="exact"/>
        <w:rPr>
          <w:b/>
          <w:bCs/>
        </w:rPr>
      </w:pPr>
    </w:p>
    <w:p w:rsidR="002E3DE8" w:rsidRDefault="002E3DE8">
      <w:pPr>
        <w:widowControl w:val="0"/>
        <w:spacing w:line="270" w:lineRule="exact"/>
        <w:rPr>
          <w:b/>
          <w:bCs/>
        </w:rPr>
      </w:pPr>
      <w:r>
        <w:rPr>
          <w:b/>
          <w:bCs/>
        </w:rPr>
        <w:t>Juridische informatie:</w:t>
      </w:r>
    </w:p>
    <w:p w:rsidR="002E3DE8" w:rsidRDefault="002E3DE8">
      <w:pPr>
        <w:widowControl w:val="0"/>
        <w:spacing w:line="270" w:lineRule="exact"/>
      </w:pPr>
    </w:p>
    <w:p w:rsidR="002E3DE8" w:rsidRDefault="002E3DE8">
      <w:pPr>
        <w:widowControl w:val="0"/>
        <w:spacing w:line="270" w:lineRule="exact"/>
      </w:pPr>
      <w:r>
        <w:t>Dit modelsourcingcontract is opgesteld door de Werkgroep PON-Sourcingcontract van de vereniging Platform Outsourcing Nederland (www.platformoutsourcing.nl). Deelnemers aan de werkgroep waren: Polo van der Putt (Vondst Advocaten, voorzitter), Jan Aernout (Philips), Gert Jaap Das (PGGM), Hans van Dijk (UWV), Erwin van der Heijden (Quion), Louis Jonker (Van Doorne), Ad Kuus (Rabobank), Maaike Nijensikkens (Logica), Liselore Sauer (KPMG), Joop Schuilenburg (Emtio), Marco van der Vet (Capgemini), Eliane de Vilder (Brinkhof), Marjo Wildvank (Software Improvement Group), Michiel de Vries (ING) en Dennis Zieren (Ploum Lodder Princen). Leden van de werkgroep hebben op persoonlijke titel deelgenomen. Het modelcontract geeft niet noodzakelijkerwijs de mening weer van de individuele leden van de werkgroep of hun werkgevers.</w:t>
      </w:r>
    </w:p>
    <w:p w:rsidR="002E3DE8" w:rsidRDefault="002E3DE8">
      <w:pPr>
        <w:widowControl w:val="0"/>
        <w:spacing w:line="270" w:lineRule="exact"/>
      </w:pPr>
    </w:p>
    <w:p w:rsidR="002E3DE8" w:rsidRDefault="002E3DE8">
      <w:pPr>
        <w:widowControl w:val="0"/>
        <w:spacing w:line="270" w:lineRule="exact"/>
      </w:pPr>
      <w:r>
        <w:t xml:space="preserve">Vanuit de community van Platform Outsourcing Nederland is herhaaldelijk verzocht om een modelcontract voor een sourcingtransactie dat als voorbeeld/inspiratiebron kan dienen voor eigen contracten. Doel van dit modelcontract is om aan die behoefte tegemoet te komen. </w:t>
      </w:r>
    </w:p>
    <w:p w:rsidR="002E3DE8" w:rsidRDefault="002E3DE8">
      <w:pPr>
        <w:widowControl w:val="0"/>
        <w:spacing w:line="270" w:lineRule="exact"/>
      </w:pPr>
    </w:p>
    <w:p w:rsidR="002E3DE8" w:rsidRDefault="002E3DE8">
      <w:pPr>
        <w:widowControl w:val="0"/>
        <w:spacing w:line="270" w:lineRule="exact"/>
      </w:pPr>
      <w:r>
        <w:t>Het contract is geschreven voor outsourcingtransacties met een grote IT-component. Het contract is geschikt voor zowel het MKB als voor grotere bedrijven, al zal bij kleinere deals sneller worden gewerkt op basis van de standaardovereenkomst van de Leverancier (en in enkel geval de Klant) en is er doorgaans minder ruimte (en budget) voor uitgebreide onderhandelingen. De overeenkomst gaat uit van twee Nederlandse partijen die contracteren naar Nederlands recht, maar is ook bruikbaar in internationale context, al zal dan wel extra aandacht moeten worden gegeven aan bijv. exportbeperkingen (denk aan persoonsgegevens) en de procedure voor geschillenbeslechting (bevoegde rechter of alternatieve geschillenbeslechting zoals arbitrage).</w:t>
      </w:r>
    </w:p>
    <w:p w:rsidR="002E3DE8" w:rsidRDefault="002E3DE8">
      <w:pPr>
        <w:widowControl w:val="0"/>
        <w:spacing w:line="270" w:lineRule="exact"/>
      </w:pPr>
    </w:p>
    <w:p w:rsidR="002E3DE8" w:rsidRDefault="002E3DE8">
      <w:pPr>
        <w:widowControl w:val="0"/>
        <w:spacing w:line="270" w:lineRule="exact"/>
      </w:pPr>
      <w:r>
        <w:t xml:space="preserve">Het contract is gebaseerd op best practices en gaat uit van een volwassen klant en leverancier. Getracht is om het contract niet overwegend in het voordeel van een der partijen te schrijven. De auteurs beseffen dat de modelbepalingen altijd enige mate van willekeur in zich zullen houden. Vaak zijn er voor bepaalde formuleringen of contractuele oplossingen adequate alternatieven voorhanden. De praktijk vraagt echter om één voorbeeld als referentie, niet om een catalogus met (alternatieve) contractbepalingen waar de lezer zelf een satépen door moet steken. Met deze uitgangspunten is het onderhavige model tot stand gekomen. </w:t>
      </w:r>
    </w:p>
    <w:p w:rsidR="002E3DE8" w:rsidRDefault="002E3DE8">
      <w:pPr>
        <w:widowControl w:val="0"/>
        <w:spacing w:line="270" w:lineRule="exact"/>
      </w:pPr>
    </w:p>
    <w:p w:rsidR="002E3DE8" w:rsidRDefault="002E3DE8">
      <w:pPr>
        <w:widowControl w:val="0"/>
        <w:spacing w:line="270" w:lineRule="exact"/>
      </w:pPr>
      <w:r>
        <w:t>Iedere transactie heeft zijn eigen bijzonderheden die in het contract verdisconteerd dienen te worden. Modelcontracten zijn naar hun aard zelden geschikt om 1-op-1 toe te worden gepast in de praktijk, de meeste projecten vragen om maatwerk (onder meer afhankelijk van het onderwerp, de volwassenheid van partijen, het budget (ook voor contractvorming), branche-specifieke regelgeving- en/of voorwaarden en geografische scope). Het onderhavige model dient dan ook als vertrekpunt voor een sourcingcontract en het kan niet gelijk worden gesteld met een uitonderhandeld contract voor elke willekeurige transactie.</w:t>
      </w:r>
    </w:p>
    <w:p w:rsidR="002E3DE8" w:rsidRDefault="002E3DE8">
      <w:pPr>
        <w:widowControl w:val="0"/>
        <w:spacing w:line="270" w:lineRule="exact"/>
      </w:pPr>
    </w:p>
    <w:p w:rsidR="002E3DE8" w:rsidRDefault="002E3DE8">
      <w:pPr>
        <w:spacing w:line="270" w:lineRule="exact"/>
        <w:sectPr w:rsidR="002E3DE8">
          <w:footerReference w:type="default" r:id="rId8"/>
          <w:pgSz w:w="11907" w:h="16840" w:code="9"/>
          <w:pgMar w:top="1418" w:right="1418" w:bottom="1418" w:left="1418" w:header="709" w:footer="709" w:gutter="0"/>
          <w:pgNumType w:start="1"/>
          <w:cols w:space="720"/>
          <w:noEndnote/>
          <w:docGrid w:linePitch="299"/>
        </w:sectPr>
      </w:pPr>
      <w:r>
        <w:t>Gebruik van dit voorbeeld is voor eigen rekening en risico. Platform Outsourcing Nederland, de werkgroep PON-Sourcingcontract, de individuele leden van de werkgroep en hun werkgevers aanvaarden terzake van dit contract geen enkele aansprakelijkheid.</w:t>
      </w:r>
    </w:p>
    <w:p w:rsidR="002E3DE8" w:rsidRDefault="002E3DE8">
      <w:pPr>
        <w:spacing w:line="270" w:lineRule="exact"/>
        <w:sectPr w:rsidR="002E3DE8">
          <w:pgSz w:w="11907" w:h="16840" w:code="9"/>
          <w:pgMar w:top="1418" w:right="1418" w:bottom="1418" w:left="1418" w:header="709" w:footer="709" w:gutter="0"/>
          <w:pgNumType w:start="1"/>
          <w:cols w:space="720"/>
          <w:noEndnote/>
          <w:docGrid w:linePitch="299"/>
        </w:sectPr>
      </w:pPr>
    </w:p>
    <w:p w:rsidR="002E3DE8" w:rsidRDefault="002E3DE8">
      <w:pPr>
        <w:spacing w:line="270" w:lineRule="exact"/>
      </w:pPr>
    </w:p>
    <w:p w:rsidR="002E3DE8" w:rsidRDefault="002E3DE8">
      <w:pPr>
        <w:spacing w:line="270" w:lineRule="exact"/>
        <w:jc w:val="center"/>
        <w:rPr>
          <w:b/>
        </w:rPr>
      </w:pPr>
      <w:r>
        <w:rPr>
          <w:b/>
        </w:rPr>
        <w:t>Contractblad</w:t>
      </w:r>
    </w:p>
    <w:p w:rsidR="002E3DE8" w:rsidRDefault="002E3DE8">
      <w:pPr>
        <w:spacing w:line="270" w:lineRule="exact"/>
        <w:jc w:val="center"/>
        <w:rPr>
          <w:bCs/>
        </w:rPr>
      </w:pPr>
    </w:p>
    <w:p w:rsidR="002E3DE8" w:rsidRDefault="002E3DE8">
      <w:pPr>
        <w:spacing w:line="270" w:lineRule="exact"/>
        <w:rPr>
          <w:bCs/>
        </w:rPr>
      </w:pPr>
    </w:p>
    <w:p w:rsidR="002E3DE8" w:rsidRDefault="002E3DE8">
      <w:pPr>
        <w:spacing w:line="270" w:lineRule="exact"/>
        <w:rPr>
          <w:b/>
        </w:rPr>
      </w:pPr>
      <w:r>
        <w:rPr>
          <w:b/>
        </w:rPr>
        <w:t>De ondergetekenden:</w:t>
      </w:r>
    </w:p>
    <w:p w:rsidR="002E3DE8" w:rsidRDefault="002E3DE8">
      <w:pPr>
        <w:spacing w:line="270" w:lineRule="exact"/>
        <w:rPr>
          <w:b/>
        </w:rPr>
      </w:pPr>
    </w:p>
    <w:p w:rsidR="002E3DE8" w:rsidRDefault="002E3DE8">
      <w:pPr>
        <w:numPr>
          <w:ilvl w:val="0"/>
          <w:numId w:val="2"/>
        </w:numPr>
        <w:spacing w:line="270" w:lineRule="exact"/>
      </w:pPr>
      <w:bookmarkStart w:id="2" w:name="_Toc266787663"/>
      <w:bookmarkStart w:id="3" w:name="_Toc266947941"/>
      <w:bookmarkStart w:id="4" w:name="_Toc266967316"/>
      <w:r>
        <w:t>[…], kantoorhoudende aan de […], […] […], hierin vertegenwoordigd door haar directeur […], (</w:t>
      </w:r>
      <w:r>
        <w:rPr>
          <w:b/>
          <w:bCs/>
        </w:rPr>
        <w:t>"Klant"</w:t>
      </w:r>
      <w:r>
        <w:t>)</w:t>
      </w:r>
      <w:bookmarkEnd w:id="2"/>
      <w:bookmarkEnd w:id="3"/>
      <w:bookmarkEnd w:id="4"/>
    </w:p>
    <w:p w:rsidR="002E3DE8" w:rsidRDefault="002E3DE8">
      <w:pPr>
        <w:spacing w:line="270" w:lineRule="exact"/>
        <w:ind w:left="709"/>
      </w:pPr>
    </w:p>
    <w:p w:rsidR="002E3DE8" w:rsidRDefault="002E3DE8">
      <w:pPr>
        <w:spacing w:line="270" w:lineRule="exact"/>
        <w:ind w:left="709"/>
      </w:pPr>
      <w:r>
        <w:t>en</w:t>
      </w:r>
    </w:p>
    <w:p w:rsidR="002E3DE8" w:rsidRDefault="002E3DE8">
      <w:pPr>
        <w:spacing w:line="270" w:lineRule="exact"/>
        <w:ind w:left="709" w:hanging="709"/>
      </w:pPr>
    </w:p>
    <w:p w:rsidR="002E3DE8" w:rsidRDefault="002E3DE8">
      <w:pPr>
        <w:numPr>
          <w:ilvl w:val="0"/>
          <w:numId w:val="2"/>
        </w:numPr>
        <w:spacing w:line="270" w:lineRule="exact"/>
        <w:rPr>
          <w:b/>
        </w:rPr>
      </w:pPr>
      <w:r>
        <w:t>[…], kantoorhoudende aan de […], […] […], hierin vertegenwoordigd door haar directeur […], (</w:t>
      </w:r>
      <w:r>
        <w:rPr>
          <w:b/>
          <w:bCs/>
        </w:rPr>
        <w:t>"Leverancier"</w:t>
      </w:r>
      <w:r>
        <w:t>)</w:t>
      </w:r>
    </w:p>
    <w:p w:rsidR="002E3DE8" w:rsidRDefault="002E3DE8">
      <w:pPr>
        <w:spacing w:line="270" w:lineRule="exact"/>
        <w:ind w:left="709" w:hanging="709"/>
        <w:rPr>
          <w:b/>
        </w:rPr>
      </w:pPr>
    </w:p>
    <w:p w:rsidR="002E3DE8" w:rsidRDefault="002E3DE8">
      <w:pPr>
        <w:spacing w:line="270" w:lineRule="exact"/>
        <w:ind w:left="709" w:hanging="709"/>
        <w:rPr>
          <w:b/>
        </w:rPr>
      </w:pPr>
    </w:p>
    <w:p w:rsidR="002E3DE8" w:rsidRDefault="002E3DE8">
      <w:pPr>
        <w:spacing w:line="270" w:lineRule="exact"/>
        <w:ind w:left="709" w:hanging="709"/>
        <w:rPr>
          <w:b/>
        </w:rPr>
      </w:pPr>
    </w:p>
    <w:p w:rsidR="002E3DE8" w:rsidRDefault="002E3DE8">
      <w:pPr>
        <w:spacing w:line="270" w:lineRule="exact"/>
        <w:ind w:left="709" w:hanging="709"/>
        <w:rPr>
          <w:b/>
        </w:rPr>
      </w:pPr>
      <w:r>
        <w:rPr>
          <w:b/>
        </w:rPr>
        <w:t>Nemen het navolgende in overweging:</w:t>
      </w:r>
    </w:p>
    <w:p w:rsidR="002E3DE8" w:rsidRDefault="002E3DE8">
      <w:pPr>
        <w:spacing w:line="270" w:lineRule="exact"/>
        <w:ind w:left="709" w:hanging="709"/>
      </w:pPr>
    </w:p>
    <w:p w:rsidR="002E3DE8" w:rsidRDefault="002E3DE8">
      <w:pPr>
        <w:pStyle w:val="ListParagraph"/>
        <w:numPr>
          <w:ilvl w:val="0"/>
          <w:numId w:val="3"/>
        </w:numPr>
        <w:rPr>
          <w:rFonts w:ascii="Times New Roman" w:hAnsi="Times New Roman" w:cs="Times New Roman"/>
          <w:sz w:val="24"/>
        </w:rPr>
      </w:pPr>
      <w:r>
        <w:rPr>
          <w:rFonts w:ascii="Times New Roman" w:hAnsi="Times New Roman" w:cs="Times New Roman"/>
          <w:sz w:val="24"/>
        </w:rPr>
        <w:t>Klant houdt zich bezig met […].</w:t>
      </w:r>
    </w:p>
    <w:p w:rsidR="002E3DE8" w:rsidRDefault="002E3DE8">
      <w:pPr>
        <w:pStyle w:val="ListParagraph"/>
        <w:numPr>
          <w:ilvl w:val="0"/>
          <w:numId w:val="3"/>
        </w:numPr>
        <w:ind w:hanging="720"/>
        <w:rPr>
          <w:rFonts w:ascii="Times New Roman" w:hAnsi="Times New Roman" w:cs="Times New Roman"/>
          <w:sz w:val="24"/>
        </w:rPr>
      </w:pPr>
      <w:r>
        <w:rPr>
          <w:rFonts w:ascii="Times New Roman" w:hAnsi="Times New Roman" w:cs="Times New Roman"/>
          <w:sz w:val="24"/>
        </w:rPr>
        <w:t>Leverancier houdt zich bezig met […].</w:t>
      </w:r>
    </w:p>
    <w:p w:rsidR="002E3DE8" w:rsidRDefault="002E3DE8">
      <w:pPr>
        <w:pStyle w:val="ListParagraph"/>
        <w:numPr>
          <w:ilvl w:val="0"/>
          <w:numId w:val="3"/>
        </w:numPr>
        <w:ind w:hanging="720"/>
        <w:rPr>
          <w:rFonts w:ascii="Times New Roman" w:hAnsi="Times New Roman" w:cs="Times New Roman"/>
          <w:sz w:val="24"/>
        </w:rPr>
      </w:pPr>
      <w:r>
        <w:rPr>
          <w:rFonts w:ascii="Times New Roman" w:hAnsi="Times New Roman" w:cs="Times New Roman"/>
          <w:sz w:val="24"/>
        </w:rPr>
        <w:t>Klant heeft door middel van het Request for Proposal d.d. […] met als onderwerp […] aan Leverancier verzocht om Klant een aanbieding te doen voor het leveren van de in het Request for Proposal bedoelde diensten. Leverancier heeft het Request for Proposal beantwoord met de offerte d.d. […] met referentie […].</w:t>
      </w:r>
      <w:r>
        <w:rPr>
          <w:rStyle w:val="Voetnootmarkering"/>
          <w:rFonts w:ascii="Times New Roman" w:hAnsi="Times New Roman" w:cs="Times New Roman"/>
          <w:sz w:val="24"/>
        </w:rPr>
        <w:footnoteReference w:id="2"/>
      </w:r>
    </w:p>
    <w:p w:rsidR="002E3DE8" w:rsidRDefault="002E3DE8">
      <w:pPr>
        <w:pStyle w:val="ListParagraph"/>
        <w:numPr>
          <w:ilvl w:val="0"/>
          <w:numId w:val="3"/>
        </w:numPr>
        <w:ind w:hanging="720"/>
        <w:rPr>
          <w:rFonts w:ascii="Times New Roman" w:hAnsi="Times New Roman" w:cs="Times New Roman"/>
          <w:sz w:val="24"/>
        </w:rPr>
      </w:pPr>
      <w:r>
        <w:rPr>
          <w:rFonts w:ascii="Times New Roman" w:hAnsi="Times New Roman" w:cs="Times New Roman"/>
          <w:sz w:val="24"/>
        </w:rPr>
        <w:t>Vervolgens zijn partijen in overleg getreden en hebben over en weer due diligence onderzoeken uitgevoerd.</w:t>
      </w:r>
      <w:r>
        <w:rPr>
          <w:rStyle w:val="Voetnootmarkering"/>
          <w:rFonts w:ascii="Times New Roman" w:hAnsi="Times New Roman" w:cs="Times New Roman"/>
          <w:sz w:val="24"/>
        </w:rPr>
        <w:footnoteReference w:id="3"/>
      </w:r>
    </w:p>
    <w:p w:rsidR="002E3DE8" w:rsidRDefault="002E3DE8">
      <w:pPr>
        <w:pStyle w:val="ListParagraph"/>
        <w:numPr>
          <w:ilvl w:val="0"/>
          <w:numId w:val="3"/>
        </w:numPr>
        <w:ind w:hanging="720"/>
        <w:rPr>
          <w:rFonts w:ascii="Times New Roman" w:hAnsi="Times New Roman" w:cs="Times New Roman"/>
          <w:sz w:val="24"/>
        </w:rPr>
      </w:pPr>
      <w:r>
        <w:rPr>
          <w:rFonts w:ascii="Times New Roman" w:hAnsi="Times New Roman" w:cs="Times New Roman"/>
          <w:sz w:val="24"/>
        </w:rPr>
        <w:t>Leverancier heeft een Best and Final Offer uitgebracht d.d. […] met kenmerk […].</w:t>
      </w:r>
    </w:p>
    <w:p w:rsidR="002E3DE8" w:rsidRDefault="002E3DE8">
      <w:pPr>
        <w:pStyle w:val="ListParagraph"/>
        <w:numPr>
          <w:ilvl w:val="0"/>
          <w:numId w:val="3"/>
        </w:numPr>
        <w:ind w:hanging="720"/>
        <w:rPr>
          <w:rFonts w:ascii="Times New Roman" w:hAnsi="Times New Roman" w:cs="Times New Roman"/>
          <w:sz w:val="24"/>
        </w:rPr>
      </w:pPr>
      <w:r>
        <w:rPr>
          <w:rFonts w:ascii="Times New Roman" w:hAnsi="Times New Roman" w:cs="Times New Roman"/>
          <w:sz w:val="24"/>
        </w:rPr>
        <w:t>Partijen zijn op basis daarvan tot overeenstemming gekomen en wensen een sourcingcontract aan te gaan onder de volgende voorwaarden.</w:t>
      </w:r>
      <w:r>
        <w:rPr>
          <w:rStyle w:val="Voetnootmarkering"/>
          <w:rFonts w:ascii="Times New Roman" w:hAnsi="Times New Roman" w:cs="Times New Roman"/>
          <w:sz w:val="24"/>
        </w:rPr>
        <w:footnoteReference w:id="4"/>
      </w:r>
    </w:p>
    <w:p w:rsidR="002E3DE8" w:rsidRDefault="002E3DE8">
      <w:pPr>
        <w:spacing w:line="270" w:lineRule="exact"/>
        <w:rPr>
          <w:b/>
        </w:rPr>
      </w:pPr>
      <w:r>
        <w:rPr>
          <w:b/>
        </w:rPr>
        <w:t>En zijn overeengekomen als volgt:</w:t>
      </w:r>
    </w:p>
    <w:p w:rsidR="002E3DE8" w:rsidRDefault="002E3DE8">
      <w:pPr>
        <w:spacing w:line="270" w:lineRule="exact"/>
        <w:rPr>
          <w:szCs w:val="21"/>
          <w:lang w:eastAsia="en-US"/>
        </w:rPr>
      </w:pPr>
    </w:p>
    <w:p w:rsidR="002E3DE8" w:rsidRDefault="002E3DE8">
      <w:pPr>
        <w:pStyle w:val="ListParagraph"/>
        <w:numPr>
          <w:ilvl w:val="0"/>
          <w:numId w:val="4"/>
        </w:numPr>
        <w:rPr>
          <w:rFonts w:ascii="Times New Roman" w:hAnsi="Times New Roman" w:cs="Times New Roman"/>
          <w:sz w:val="24"/>
        </w:rPr>
      </w:pPr>
      <w:r>
        <w:rPr>
          <w:rFonts w:ascii="Times New Roman" w:hAnsi="Times New Roman" w:cs="Times New Roman"/>
          <w:sz w:val="24"/>
        </w:rPr>
        <w:t>Partijen gaan hierbij een sourcingcontract aan waarbij Leverancier diensten verleent aan Klant op het gebied van [werkplekbeheer, applicatiebeheer, hosting, klantenadministratie, softwareontwikkeling etc.].</w:t>
      </w:r>
    </w:p>
    <w:p w:rsidR="002E3DE8" w:rsidRDefault="002E3DE8">
      <w:pPr>
        <w:pStyle w:val="ListParagraph"/>
        <w:numPr>
          <w:ilvl w:val="0"/>
          <w:numId w:val="4"/>
        </w:numPr>
        <w:rPr>
          <w:rFonts w:ascii="Times New Roman" w:hAnsi="Times New Roman" w:cs="Times New Roman"/>
          <w:sz w:val="24"/>
        </w:rPr>
      </w:pPr>
      <w:r>
        <w:rPr>
          <w:rFonts w:ascii="Times New Roman" w:hAnsi="Times New Roman" w:cs="Times New Roman"/>
          <w:sz w:val="24"/>
        </w:rPr>
        <w:lastRenderedPageBreak/>
        <w:t>Dit sourcingcontract gaat in op […] en is aangegaan voor de duur van […] jaar.</w:t>
      </w:r>
    </w:p>
    <w:p w:rsidR="002E3DE8" w:rsidRDefault="002E3DE8">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De rechten en verplichten van partijen blijken uit de bijlagen bij dit Contractblad, waarbij </w:t>
      </w:r>
      <w:r>
        <w:rPr>
          <w:rFonts w:ascii="Times New Roman" w:hAnsi="Times New Roman" w:cs="Times New Roman"/>
          <w:b/>
          <w:bCs/>
          <w:sz w:val="24"/>
        </w:rPr>
        <w:t>Bijlage 1</w:t>
      </w:r>
      <w:r>
        <w:rPr>
          <w:rFonts w:ascii="Times New Roman" w:hAnsi="Times New Roman" w:cs="Times New Roman"/>
          <w:sz w:val="24"/>
        </w:rPr>
        <w:t xml:space="preserve"> </w:t>
      </w:r>
      <w:r>
        <w:rPr>
          <w:rFonts w:ascii="Times New Roman" w:hAnsi="Times New Roman" w:cs="Times New Roman"/>
          <w:b/>
          <w:bCs/>
          <w:sz w:val="24"/>
        </w:rPr>
        <w:t>(Juridische Voorwaarden)</w:t>
      </w:r>
      <w:r>
        <w:rPr>
          <w:rFonts w:ascii="Times New Roman" w:hAnsi="Times New Roman" w:cs="Times New Roman"/>
          <w:sz w:val="24"/>
        </w:rPr>
        <w:t xml:space="preserve"> inclusief de daarin vermelde rangorderegeling prevaleert.</w:t>
      </w:r>
    </w:p>
    <w:p w:rsidR="002E3DE8" w:rsidRDefault="002E3DE8">
      <w:pPr>
        <w:pStyle w:val="ListParagraph"/>
        <w:ind w:left="0"/>
        <w:rPr>
          <w:rFonts w:ascii="Times New Roman" w:hAnsi="Times New Roman" w:cs="Times New Roman"/>
          <w:sz w:val="24"/>
        </w:rPr>
      </w:pPr>
    </w:p>
    <w:p w:rsidR="002E3DE8" w:rsidRDefault="002E3DE8">
      <w:pPr>
        <w:spacing w:line="270" w:lineRule="exact"/>
      </w:pPr>
      <w:r>
        <w:rPr>
          <w:b/>
        </w:rPr>
        <w:t>Aldus overeengekomen en ondertekend in tweevoud:</w:t>
      </w:r>
    </w:p>
    <w:p w:rsidR="002E3DE8" w:rsidRDefault="002E3DE8">
      <w:pPr>
        <w:spacing w:line="270" w:lineRule="exact"/>
      </w:pPr>
    </w:p>
    <w:p w:rsidR="002E3DE8" w:rsidRDefault="002E3DE8">
      <w:pPr>
        <w:spacing w:line="270" w:lineRule="exact"/>
      </w:pPr>
    </w:p>
    <w:p w:rsidR="002E3DE8" w:rsidRDefault="002E3DE8">
      <w:pPr>
        <w:spacing w:line="270" w:lineRule="exact"/>
      </w:pPr>
    </w:p>
    <w:p w:rsidR="002E3DE8" w:rsidRDefault="002E3DE8">
      <w:pPr>
        <w:spacing w:line="270" w:lineRule="exact"/>
        <w:rPr>
          <w:b/>
        </w:rPr>
      </w:pPr>
      <w:r>
        <w:rPr>
          <w:b/>
        </w:rPr>
        <w:t>[Klant]</w:t>
      </w:r>
      <w:r>
        <w:rPr>
          <w:b/>
        </w:rPr>
        <w:tab/>
      </w:r>
      <w:r>
        <w:rPr>
          <w:b/>
        </w:rPr>
        <w:tab/>
      </w:r>
      <w:r>
        <w:rPr>
          <w:b/>
        </w:rPr>
        <w:tab/>
      </w:r>
      <w:r>
        <w:rPr>
          <w:b/>
        </w:rPr>
        <w:tab/>
      </w:r>
      <w:r>
        <w:rPr>
          <w:b/>
        </w:rPr>
        <w:tab/>
      </w:r>
      <w:r>
        <w:rPr>
          <w:b/>
        </w:rPr>
        <w:tab/>
      </w:r>
      <w:r>
        <w:rPr>
          <w:b/>
        </w:rPr>
        <w:tab/>
        <w:t>[Leverancier]</w:t>
      </w:r>
    </w:p>
    <w:p w:rsidR="002E3DE8" w:rsidRDefault="002E3DE8">
      <w:pPr>
        <w:spacing w:line="270" w:lineRule="exact"/>
      </w:pPr>
    </w:p>
    <w:p w:rsidR="002E3DE8" w:rsidRDefault="002E3DE8">
      <w:pPr>
        <w:spacing w:line="270" w:lineRule="exact"/>
      </w:pPr>
    </w:p>
    <w:p w:rsidR="002E3DE8" w:rsidRDefault="002E3DE8">
      <w:pPr>
        <w:spacing w:line="270" w:lineRule="exact"/>
      </w:pPr>
    </w:p>
    <w:p w:rsidR="002E3DE8" w:rsidRDefault="002E3DE8">
      <w:pPr>
        <w:spacing w:line="270" w:lineRule="exact"/>
      </w:pPr>
    </w:p>
    <w:p w:rsidR="002E3DE8" w:rsidRDefault="002E3DE8">
      <w:pPr>
        <w:spacing w:line="270" w:lineRule="exact"/>
      </w:pPr>
      <w:r>
        <w:rPr>
          <w:u w:val="single"/>
        </w:rPr>
        <w:tab/>
      </w:r>
      <w:r>
        <w:rPr>
          <w:u w:val="single"/>
        </w:rPr>
        <w:tab/>
      </w:r>
      <w:r>
        <w:rPr>
          <w:u w:val="single"/>
        </w:rPr>
        <w:tab/>
      </w:r>
      <w:r>
        <w:rPr>
          <w:u w:val="single"/>
        </w:rPr>
        <w:tab/>
      </w:r>
      <w:r>
        <w:tab/>
      </w:r>
      <w:r>
        <w:tab/>
      </w:r>
      <w:r>
        <w:tab/>
      </w:r>
      <w:r>
        <w:tab/>
      </w:r>
      <w:r>
        <w:rPr>
          <w:u w:val="single"/>
        </w:rPr>
        <w:tab/>
      </w:r>
      <w:r>
        <w:rPr>
          <w:u w:val="single"/>
        </w:rPr>
        <w:tab/>
      </w:r>
      <w:r>
        <w:rPr>
          <w:u w:val="single"/>
        </w:rPr>
        <w:tab/>
      </w:r>
      <w:r>
        <w:rPr>
          <w:u w:val="single"/>
        </w:rPr>
        <w:tab/>
      </w:r>
    </w:p>
    <w:p w:rsidR="002E3DE8" w:rsidRDefault="002E3DE8">
      <w:pPr>
        <w:spacing w:line="270" w:lineRule="exact"/>
      </w:pPr>
      <w:r>
        <w:t>Door:</w:t>
      </w:r>
      <w:r>
        <w:tab/>
      </w:r>
      <w:r>
        <w:tab/>
      </w:r>
      <w:r>
        <w:tab/>
      </w:r>
      <w:r>
        <w:tab/>
      </w:r>
      <w:r>
        <w:tab/>
      </w:r>
      <w:r>
        <w:tab/>
      </w:r>
      <w:r>
        <w:tab/>
      </w:r>
      <w:r>
        <w:tab/>
        <w:t>Door:</w:t>
      </w:r>
    </w:p>
    <w:p w:rsidR="002E3DE8" w:rsidRDefault="002E3DE8">
      <w:pPr>
        <w:spacing w:line="270" w:lineRule="exact"/>
      </w:pPr>
      <w:r>
        <w:t>Te:</w:t>
      </w:r>
      <w:r>
        <w:tab/>
      </w:r>
      <w:r>
        <w:tab/>
      </w:r>
      <w:r>
        <w:tab/>
      </w:r>
      <w:r>
        <w:tab/>
      </w:r>
      <w:r>
        <w:tab/>
      </w:r>
      <w:r>
        <w:tab/>
      </w:r>
      <w:r>
        <w:tab/>
      </w:r>
      <w:r>
        <w:tab/>
        <w:t>Te:</w:t>
      </w:r>
    </w:p>
    <w:p w:rsidR="002E3DE8" w:rsidRDefault="002E3DE8">
      <w:pPr>
        <w:spacing w:line="270" w:lineRule="exact"/>
      </w:pPr>
      <w:r>
        <w:t>Datum:</w:t>
      </w:r>
      <w:r>
        <w:tab/>
      </w:r>
      <w:r>
        <w:tab/>
      </w:r>
      <w:r>
        <w:tab/>
      </w:r>
      <w:r>
        <w:tab/>
      </w:r>
      <w:r>
        <w:tab/>
      </w:r>
      <w:r>
        <w:tab/>
      </w:r>
      <w:r>
        <w:tab/>
        <w:t>Datum:</w:t>
      </w:r>
    </w:p>
    <w:p w:rsidR="002E3DE8" w:rsidRDefault="002E3DE8">
      <w:pPr>
        <w:spacing w:line="270" w:lineRule="exact"/>
      </w:pPr>
    </w:p>
    <w:p w:rsidR="002E3DE8" w:rsidRDefault="002E3DE8">
      <w:pPr>
        <w:spacing w:line="270" w:lineRule="exact"/>
      </w:pPr>
      <w:r>
        <w:tab/>
      </w:r>
    </w:p>
    <w:p w:rsidR="002E3DE8" w:rsidRDefault="002E3DE8">
      <w:pPr>
        <w:spacing w:line="270" w:lineRule="exact"/>
        <w:rPr>
          <w:b/>
        </w:rPr>
        <w:sectPr w:rsidR="002E3DE8">
          <w:footerReference w:type="default" r:id="rId9"/>
          <w:type w:val="continuous"/>
          <w:pgSz w:w="11907" w:h="16840" w:code="9"/>
          <w:pgMar w:top="1418" w:right="1418" w:bottom="1418" w:left="1418" w:header="709" w:footer="709" w:gutter="0"/>
          <w:pgNumType w:start="1"/>
          <w:cols w:space="720"/>
          <w:noEndnote/>
          <w:docGrid w:linePitch="299"/>
        </w:sectPr>
      </w:pPr>
    </w:p>
    <w:p w:rsidR="002E3DE8" w:rsidRDefault="002E3DE8">
      <w:pPr>
        <w:spacing w:line="270" w:lineRule="exact"/>
        <w:rPr>
          <w:b/>
        </w:rPr>
      </w:pPr>
      <w:r>
        <w:rPr>
          <w:b/>
        </w:rPr>
        <w:lastRenderedPageBreak/>
        <w:t>BIJLAGE 1.</w:t>
      </w:r>
      <w:r>
        <w:rPr>
          <w:b/>
        </w:rPr>
        <w:tab/>
        <w:t>Juridische voorwaarden</w:t>
      </w:r>
    </w:p>
    <w:p w:rsidR="002E3DE8" w:rsidRDefault="002E3DE8">
      <w:pPr>
        <w:spacing w:line="270" w:lineRule="exact"/>
        <w:rPr>
          <w:b/>
        </w:rPr>
      </w:pPr>
    </w:p>
    <w:p w:rsidR="002E3DE8" w:rsidRDefault="002E3DE8">
      <w:pPr>
        <w:pStyle w:val="Kop7"/>
        <w:spacing w:line="270" w:lineRule="exact"/>
      </w:pPr>
      <w:r>
        <w:t>Inhoudsopgave</w:t>
      </w:r>
    </w:p>
    <w:p w:rsidR="002E3DE8" w:rsidRDefault="002E3DE8">
      <w:pPr>
        <w:spacing w:line="270" w:lineRule="exact"/>
        <w:rPr>
          <w:b/>
        </w:rPr>
      </w:pPr>
    </w:p>
    <w:p w:rsidR="002E3DE8" w:rsidRDefault="002E3DE8">
      <w:pPr>
        <w:pStyle w:val="Inhopg1"/>
        <w:tabs>
          <w:tab w:val="clear" w:pos="630"/>
          <w:tab w:val="left" w:pos="480"/>
        </w:tabs>
        <w:rPr>
          <w:sz w:val="24"/>
        </w:rPr>
      </w:pPr>
      <w:r>
        <w:rPr>
          <w:b/>
          <w:sz w:val="24"/>
        </w:rPr>
        <w:fldChar w:fldCharType="begin"/>
      </w:r>
      <w:r>
        <w:rPr>
          <w:b/>
          <w:sz w:val="24"/>
        </w:rPr>
        <w:instrText xml:space="preserve"> TOC \h \z \t "Kop 1;1;Level 1;1;Sourcingcontract level 1;1" </w:instrText>
      </w:r>
      <w:r>
        <w:rPr>
          <w:b/>
          <w:sz w:val="24"/>
        </w:rPr>
        <w:fldChar w:fldCharType="separate"/>
      </w:r>
      <w:hyperlink w:anchor="_Toc281924997" w:history="1">
        <w:r>
          <w:rPr>
            <w:rStyle w:val="Hyperlink"/>
            <w:szCs w:val="21"/>
          </w:rPr>
          <w:t>I.</w:t>
        </w:r>
        <w:r>
          <w:rPr>
            <w:sz w:val="24"/>
          </w:rPr>
          <w:tab/>
        </w:r>
        <w:r>
          <w:rPr>
            <w:rStyle w:val="Hyperlink"/>
            <w:szCs w:val="21"/>
          </w:rPr>
          <w:t>DEFINITIES</w:t>
        </w:r>
        <w:r>
          <w:rPr>
            <w:webHidden/>
          </w:rPr>
          <w:tab/>
        </w:r>
        <w:r>
          <w:rPr>
            <w:webHidden/>
          </w:rPr>
          <w:fldChar w:fldCharType="begin"/>
        </w:r>
        <w:r>
          <w:rPr>
            <w:webHidden/>
          </w:rPr>
          <w:instrText xml:space="preserve"> PAGEREF _Toc281924997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4998" w:history="1">
        <w:r>
          <w:rPr>
            <w:rStyle w:val="Hyperlink"/>
            <w:bCs/>
          </w:rPr>
          <w:t>1.</w:t>
        </w:r>
        <w:r>
          <w:rPr>
            <w:sz w:val="24"/>
          </w:rPr>
          <w:tab/>
        </w:r>
        <w:r>
          <w:rPr>
            <w:rStyle w:val="Hyperlink"/>
            <w:b/>
            <w:bCs/>
          </w:rPr>
          <w:t>Definities</w:t>
        </w:r>
        <w:r>
          <w:rPr>
            <w:webHidden/>
          </w:rPr>
          <w:tab/>
        </w:r>
        <w:r>
          <w:rPr>
            <w:webHidden/>
          </w:rPr>
          <w:fldChar w:fldCharType="begin"/>
        </w:r>
        <w:r>
          <w:rPr>
            <w:webHidden/>
          </w:rPr>
          <w:instrText xml:space="preserve"> PAGEREF _Toc281924998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4999" w:history="1">
        <w:r>
          <w:rPr>
            <w:rStyle w:val="Hyperlink"/>
            <w:szCs w:val="21"/>
          </w:rPr>
          <w:t>II.</w:t>
        </w:r>
        <w:r>
          <w:rPr>
            <w:sz w:val="24"/>
          </w:rPr>
          <w:tab/>
        </w:r>
        <w:r>
          <w:rPr>
            <w:rStyle w:val="Hyperlink"/>
            <w:szCs w:val="21"/>
          </w:rPr>
          <w:t>OVERNAME</w:t>
        </w:r>
        <w:r>
          <w:rPr>
            <w:webHidden/>
          </w:rPr>
          <w:tab/>
        </w:r>
        <w:r>
          <w:rPr>
            <w:webHidden/>
          </w:rPr>
          <w:fldChar w:fldCharType="begin"/>
        </w:r>
        <w:r>
          <w:rPr>
            <w:webHidden/>
          </w:rPr>
          <w:instrText xml:space="preserve"> PAGEREF _Toc281924999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5000" w:history="1">
        <w:r>
          <w:rPr>
            <w:rStyle w:val="Hyperlink"/>
            <w:bCs/>
          </w:rPr>
          <w:t>2.</w:t>
        </w:r>
        <w:r>
          <w:rPr>
            <w:sz w:val="24"/>
          </w:rPr>
          <w:tab/>
        </w:r>
        <w:r>
          <w:rPr>
            <w:rStyle w:val="Hyperlink"/>
            <w:b/>
            <w:bCs/>
          </w:rPr>
          <w:t>Overname</w:t>
        </w:r>
        <w:r>
          <w:rPr>
            <w:webHidden/>
          </w:rPr>
          <w:tab/>
        </w:r>
        <w:r>
          <w:rPr>
            <w:webHidden/>
          </w:rPr>
          <w:fldChar w:fldCharType="begin"/>
        </w:r>
        <w:r>
          <w:rPr>
            <w:webHidden/>
          </w:rPr>
          <w:instrText xml:space="preserve"> PAGEREF _Toc281925000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5001" w:history="1">
        <w:r>
          <w:rPr>
            <w:rStyle w:val="Hyperlink"/>
            <w:szCs w:val="21"/>
          </w:rPr>
          <w:t>III.</w:t>
        </w:r>
        <w:r>
          <w:rPr>
            <w:sz w:val="24"/>
          </w:rPr>
          <w:tab/>
        </w:r>
        <w:r>
          <w:rPr>
            <w:rStyle w:val="Hyperlink"/>
            <w:szCs w:val="21"/>
          </w:rPr>
          <w:t>TRANSITIE EN TRANSFORMATIE</w:t>
        </w:r>
        <w:r>
          <w:rPr>
            <w:webHidden/>
          </w:rPr>
          <w:tab/>
        </w:r>
        <w:r>
          <w:rPr>
            <w:webHidden/>
          </w:rPr>
          <w:fldChar w:fldCharType="begin"/>
        </w:r>
        <w:r>
          <w:rPr>
            <w:webHidden/>
          </w:rPr>
          <w:instrText xml:space="preserve"> PAGEREF _Toc281925001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5002" w:history="1">
        <w:r>
          <w:rPr>
            <w:rStyle w:val="Hyperlink"/>
            <w:bCs/>
          </w:rPr>
          <w:t>3.</w:t>
        </w:r>
        <w:r>
          <w:rPr>
            <w:sz w:val="24"/>
          </w:rPr>
          <w:tab/>
        </w:r>
        <w:r>
          <w:rPr>
            <w:rStyle w:val="Hyperlink"/>
            <w:b/>
            <w:bCs/>
          </w:rPr>
          <w:t>Transitie en Transformatie</w:t>
        </w:r>
        <w:r>
          <w:rPr>
            <w:webHidden/>
          </w:rPr>
          <w:tab/>
        </w:r>
        <w:r>
          <w:rPr>
            <w:webHidden/>
          </w:rPr>
          <w:fldChar w:fldCharType="begin"/>
        </w:r>
        <w:r>
          <w:rPr>
            <w:webHidden/>
          </w:rPr>
          <w:instrText xml:space="preserve"> PAGEREF _Toc281925002 \h </w:instrText>
        </w:r>
        <w:r>
          <w:rPr>
            <w:webHidden/>
          </w:rPr>
          <w:fldChar w:fldCharType="separate"/>
        </w:r>
        <w:r>
          <w:rPr>
            <w:webHidden/>
          </w:rPr>
          <w:t>2</w:t>
        </w:r>
        <w:r>
          <w:rPr>
            <w:webHidden/>
          </w:rPr>
          <w:fldChar w:fldCharType="end"/>
        </w:r>
      </w:hyperlink>
    </w:p>
    <w:p w:rsidR="002E3DE8" w:rsidRDefault="002E3DE8">
      <w:pPr>
        <w:pStyle w:val="Inhopg1"/>
        <w:tabs>
          <w:tab w:val="left" w:pos="480"/>
        </w:tabs>
        <w:rPr>
          <w:sz w:val="24"/>
        </w:rPr>
      </w:pPr>
      <w:hyperlink w:anchor="_Toc281925003" w:history="1">
        <w:r>
          <w:rPr>
            <w:rStyle w:val="Hyperlink"/>
            <w:szCs w:val="21"/>
          </w:rPr>
          <w:t>IV.</w:t>
        </w:r>
        <w:r>
          <w:rPr>
            <w:sz w:val="24"/>
          </w:rPr>
          <w:tab/>
        </w:r>
        <w:r>
          <w:rPr>
            <w:rStyle w:val="Hyperlink"/>
            <w:szCs w:val="21"/>
          </w:rPr>
          <w:t>DIENSTVERLENING</w:t>
        </w:r>
        <w:r>
          <w:rPr>
            <w:webHidden/>
          </w:rPr>
          <w:tab/>
        </w:r>
        <w:r>
          <w:rPr>
            <w:webHidden/>
          </w:rPr>
          <w:fldChar w:fldCharType="begin"/>
        </w:r>
        <w:r>
          <w:rPr>
            <w:webHidden/>
          </w:rPr>
          <w:instrText xml:space="preserve"> PAGEREF _Toc281925003 \h </w:instrText>
        </w:r>
        <w:r>
          <w:rPr>
            <w:webHidden/>
          </w:rPr>
          <w:fldChar w:fldCharType="separate"/>
        </w:r>
        <w:r>
          <w:rPr>
            <w:webHidden/>
          </w:rPr>
          <w:t>3</w:t>
        </w:r>
        <w:r>
          <w:rPr>
            <w:webHidden/>
          </w:rPr>
          <w:fldChar w:fldCharType="end"/>
        </w:r>
      </w:hyperlink>
    </w:p>
    <w:p w:rsidR="002E3DE8" w:rsidRDefault="002E3DE8">
      <w:pPr>
        <w:pStyle w:val="Inhopg1"/>
        <w:tabs>
          <w:tab w:val="left" w:pos="480"/>
        </w:tabs>
        <w:rPr>
          <w:sz w:val="24"/>
        </w:rPr>
      </w:pPr>
      <w:hyperlink w:anchor="_Toc281925004" w:history="1">
        <w:r>
          <w:rPr>
            <w:rStyle w:val="Hyperlink"/>
            <w:bCs/>
          </w:rPr>
          <w:t>4.</w:t>
        </w:r>
        <w:r>
          <w:rPr>
            <w:sz w:val="24"/>
          </w:rPr>
          <w:tab/>
        </w:r>
        <w:r>
          <w:rPr>
            <w:rStyle w:val="Hyperlink"/>
            <w:b/>
            <w:bCs/>
          </w:rPr>
          <w:t>Algemene verplichtingen Leverancier</w:t>
        </w:r>
        <w:r>
          <w:rPr>
            <w:webHidden/>
          </w:rPr>
          <w:tab/>
        </w:r>
        <w:r>
          <w:rPr>
            <w:webHidden/>
          </w:rPr>
          <w:fldChar w:fldCharType="begin"/>
        </w:r>
        <w:r>
          <w:rPr>
            <w:webHidden/>
          </w:rPr>
          <w:instrText xml:space="preserve"> PAGEREF _Toc281925004 \h </w:instrText>
        </w:r>
        <w:r>
          <w:rPr>
            <w:webHidden/>
          </w:rPr>
          <w:fldChar w:fldCharType="separate"/>
        </w:r>
        <w:r>
          <w:rPr>
            <w:webHidden/>
          </w:rPr>
          <w:t>3</w:t>
        </w:r>
        <w:r>
          <w:rPr>
            <w:webHidden/>
          </w:rPr>
          <w:fldChar w:fldCharType="end"/>
        </w:r>
      </w:hyperlink>
    </w:p>
    <w:p w:rsidR="002E3DE8" w:rsidRDefault="002E3DE8">
      <w:pPr>
        <w:pStyle w:val="Inhopg1"/>
        <w:tabs>
          <w:tab w:val="left" w:pos="480"/>
        </w:tabs>
        <w:rPr>
          <w:sz w:val="24"/>
        </w:rPr>
      </w:pPr>
      <w:hyperlink w:anchor="_Toc281925005" w:history="1">
        <w:r>
          <w:rPr>
            <w:rStyle w:val="Hyperlink"/>
            <w:bCs/>
          </w:rPr>
          <w:t>5.</w:t>
        </w:r>
        <w:r>
          <w:rPr>
            <w:sz w:val="24"/>
          </w:rPr>
          <w:tab/>
        </w:r>
        <w:r>
          <w:rPr>
            <w:rStyle w:val="Hyperlink"/>
            <w:b/>
            <w:bCs/>
          </w:rPr>
          <w:t>Algemene verplichtingen Klant</w:t>
        </w:r>
        <w:r>
          <w:rPr>
            <w:webHidden/>
          </w:rPr>
          <w:tab/>
        </w:r>
        <w:r>
          <w:rPr>
            <w:webHidden/>
          </w:rPr>
          <w:fldChar w:fldCharType="begin"/>
        </w:r>
        <w:r>
          <w:rPr>
            <w:webHidden/>
          </w:rPr>
          <w:instrText xml:space="preserve"> PAGEREF _Toc281925005 \h </w:instrText>
        </w:r>
        <w:r>
          <w:rPr>
            <w:webHidden/>
          </w:rPr>
          <w:fldChar w:fldCharType="separate"/>
        </w:r>
        <w:r>
          <w:rPr>
            <w:webHidden/>
          </w:rPr>
          <w:t>4</w:t>
        </w:r>
        <w:r>
          <w:rPr>
            <w:webHidden/>
          </w:rPr>
          <w:fldChar w:fldCharType="end"/>
        </w:r>
      </w:hyperlink>
    </w:p>
    <w:p w:rsidR="002E3DE8" w:rsidRDefault="002E3DE8">
      <w:pPr>
        <w:pStyle w:val="Inhopg1"/>
        <w:tabs>
          <w:tab w:val="left" w:pos="480"/>
        </w:tabs>
        <w:rPr>
          <w:sz w:val="24"/>
        </w:rPr>
      </w:pPr>
      <w:hyperlink w:anchor="_Toc281925006" w:history="1">
        <w:r>
          <w:rPr>
            <w:rStyle w:val="Hyperlink"/>
            <w:bCs/>
          </w:rPr>
          <w:t>6.</w:t>
        </w:r>
        <w:r>
          <w:rPr>
            <w:sz w:val="24"/>
          </w:rPr>
          <w:tab/>
        </w:r>
        <w:r>
          <w:rPr>
            <w:rStyle w:val="Hyperlink"/>
            <w:b/>
            <w:bCs/>
          </w:rPr>
          <w:t>Verplichtingen ten aanzien van hardware en software</w:t>
        </w:r>
        <w:r>
          <w:rPr>
            <w:webHidden/>
          </w:rPr>
          <w:tab/>
        </w:r>
        <w:r>
          <w:rPr>
            <w:webHidden/>
          </w:rPr>
          <w:fldChar w:fldCharType="begin"/>
        </w:r>
        <w:r>
          <w:rPr>
            <w:webHidden/>
          </w:rPr>
          <w:instrText xml:space="preserve"> PAGEREF _Toc281925006 \h </w:instrText>
        </w:r>
        <w:r>
          <w:rPr>
            <w:webHidden/>
          </w:rPr>
          <w:fldChar w:fldCharType="separate"/>
        </w:r>
        <w:r>
          <w:rPr>
            <w:webHidden/>
          </w:rPr>
          <w:t>4</w:t>
        </w:r>
        <w:r>
          <w:rPr>
            <w:webHidden/>
          </w:rPr>
          <w:fldChar w:fldCharType="end"/>
        </w:r>
      </w:hyperlink>
    </w:p>
    <w:p w:rsidR="002E3DE8" w:rsidRDefault="002E3DE8">
      <w:pPr>
        <w:pStyle w:val="Inhopg1"/>
        <w:tabs>
          <w:tab w:val="left" w:pos="480"/>
        </w:tabs>
        <w:rPr>
          <w:sz w:val="24"/>
        </w:rPr>
      </w:pPr>
      <w:hyperlink w:anchor="_Toc281925007" w:history="1">
        <w:r>
          <w:rPr>
            <w:rStyle w:val="Hyperlink"/>
            <w:bCs/>
          </w:rPr>
          <w:t>7.</w:t>
        </w:r>
        <w:r>
          <w:rPr>
            <w:sz w:val="24"/>
          </w:rPr>
          <w:tab/>
        </w:r>
        <w:r>
          <w:rPr>
            <w:rStyle w:val="Hyperlink"/>
            <w:b/>
            <w:bCs/>
          </w:rPr>
          <w:t>Innovaties</w:t>
        </w:r>
        <w:r>
          <w:rPr>
            <w:webHidden/>
          </w:rPr>
          <w:tab/>
        </w:r>
        <w:r>
          <w:rPr>
            <w:webHidden/>
          </w:rPr>
          <w:fldChar w:fldCharType="begin"/>
        </w:r>
        <w:r>
          <w:rPr>
            <w:webHidden/>
          </w:rPr>
          <w:instrText xml:space="preserve"> PAGEREF _Toc281925007 \h </w:instrText>
        </w:r>
        <w:r>
          <w:rPr>
            <w:webHidden/>
          </w:rPr>
          <w:fldChar w:fldCharType="separate"/>
        </w:r>
        <w:r>
          <w:rPr>
            <w:webHidden/>
          </w:rPr>
          <w:t>6</w:t>
        </w:r>
        <w:r>
          <w:rPr>
            <w:webHidden/>
          </w:rPr>
          <w:fldChar w:fldCharType="end"/>
        </w:r>
      </w:hyperlink>
    </w:p>
    <w:p w:rsidR="002E3DE8" w:rsidRDefault="002E3DE8">
      <w:pPr>
        <w:pStyle w:val="Inhopg1"/>
        <w:tabs>
          <w:tab w:val="left" w:pos="480"/>
        </w:tabs>
        <w:rPr>
          <w:sz w:val="24"/>
        </w:rPr>
      </w:pPr>
      <w:hyperlink w:anchor="_Toc281925008" w:history="1">
        <w:r>
          <w:rPr>
            <w:rStyle w:val="Hyperlink"/>
            <w:bCs/>
          </w:rPr>
          <w:t>8.</w:t>
        </w:r>
        <w:r>
          <w:rPr>
            <w:sz w:val="24"/>
          </w:rPr>
          <w:tab/>
        </w:r>
        <w:r>
          <w:rPr>
            <w:rStyle w:val="Hyperlink"/>
            <w:b/>
            <w:bCs/>
          </w:rPr>
          <w:t>Projecten</w:t>
        </w:r>
        <w:r>
          <w:rPr>
            <w:webHidden/>
          </w:rPr>
          <w:tab/>
        </w:r>
        <w:r>
          <w:rPr>
            <w:webHidden/>
          </w:rPr>
          <w:fldChar w:fldCharType="begin"/>
        </w:r>
        <w:r>
          <w:rPr>
            <w:webHidden/>
          </w:rPr>
          <w:instrText xml:space="preserve"> PAGEREF _Toc281925008 \h </w:instrText>
        </w:r>
        <w:r>
          <w:rPr>
            <w:webHidden/>
          </w:rPr>
          <w:fldChar w:fldCharType="separate"/>
        </w:r>
        <w:r>
          <w:rPr>
            <w:webHidden/>
          </w:rPr>
          <w:t>6</w:t>
        </w:r>
        <w:r>
          <w:rPr>
            <w:webHidden/>
          </w:rPr>
          <w:fldChar w:fldCharType="end"/>
        </w:r>
      </w:hyperlink>
    </w:p>
    <w:p w:rsidR="002E3DE8" w:rsidRDefault="002E3DE8">
      <w:pPr>
        <w:pStyle w:val="Inhopg1"/>
        <w:tabs>
          <w:tab w:val="left" w:pos="480"/>
        </w:tabs>
        <w:rPr>
          <w:sz w:val="24"/>
        </w:rPr>
      </w:pPr>
      <w:hyperlink w:anchor="_Toc281925009" w:history="1">
        <w:r>
          <w:rPr>
            <w:rStyle w:val="Hyperlink"/>
            <w:bCs/>
          </w:rPr>
          <w:t>9.</w:t>
        </w:r>
        <w:r>
          <w:rPr>
            <w:sz w:val="24"/>
          </w:rPr>
          <w:tab/>
        </w:r>
        <w:r>
          <w:rPr>
            <w:rStyle w:val="Hyperlink"/>
            <w:b/>
            <w:bCs/>
          </w:rPr>
          <w:t>Continuïteit</w:t>
        </w:r>
        <w:r>
          <w:rPr>
            <w:webHidden/>
          </w:rPr>
          <w:tab/>
        </w:r>
        <w:r>
          <w:rPr>
            <w:webHidden/>
          </w:rPr>
          <w:fldChar w:fldCharType="begin"/>
        </w:r>
        <w:r>
          <w:rPr>
            <w:webHidden/>
          </w:rPr>
          <w:instrText xml:space="preserve"> PAGEREF _Toc281925009 \h </w:instrText>
        </w:r>
        <w:r>
          <w:rPr>
            <w:webHidden/>
          </w:rPr>
          <w:fldChar w:fldCharType="separate"/>
        </w:r>
        <w:r>
          <w:rPr>
            <w:webHidden/>
          </w:rPr>
          <w:t>7</w:t>
        </w:r>
        <w:r>
          <w:rPr>
            <w:webHidden/>
          </w:rPr>
          <w:fldChar w:fldCharType="end"/>
        </w:r>
      </w:hyperlink>
    </w:p>
    <w:p w:rsidR="002E3DE8" w:rsidRDefault="002E3DE8">
      <w:pPr>
        <w:pStyle w:val="Inhopg1"/>
        <w:tabs>
          <w:tab w:val="left" w:pos="480"/>
        </w:tabs>
        <w:rPr>
          <w:sz w:val="24"/>
        </w:rPr>
      </w:pPr>
      <w:hyperlink w:anchor="_Toc281925010" w:history="1">
        <w:r>
          <w:rPr>
            <w:rStyle w:val="Hyperlink"/>
            <w:bCs/>
          </w:rPr>
          <w:t>10.</w:t>
        </w:r>
        <w:r>
          <w:rPr>
            <w:sz w:val="24"/>
          </w:rPr>
          <w:tab/>
        </w:r>
        <w:r>
          <w:rPr>
            <w:rStyle w:val="Hyperlink"/>
            <w:b/>
            <w:bCs/>
          </w:rPr>
          <w:t>Duurzaamheid</w:t>
        </w:r>
        <w:r>
          <w:rPr>
            <w:webHidden/>
          </w:rPr>
          <w:tab/>
        </w:r>
        <w:r>
          <w:rPr>
            <w:webHidden/>
          </w:rPr>
          <w:fldChar w:fldCharType="begin"/>
        </w:r>
        <w:r>
          <w:rPr>
            <w:webHidden/>
          </w:rPr>
          <w:instrText xml:space="preserve"> PAGEREF _Toc281925010 \h </w:instrText>
        </w:r>
        <w:r>
          <w:rPr>
            <w:webHidden/>
          </w:rPr>
          <w:fldChar w:fldCharType="separate"/>
        </w:r>
        <w:r>
          <w:rPr>
            <w:webHidden/>
          </w:rPr>
          <w:t>7</w:t>
        </w:r>
        <w:r>
          <w:rPr>
            <w:webHidden/>
          </w:rPr>
          <w:fldChar w:fldCharType="end"/>
        </w:r>
      </w:hyperlink>
    </w:p>
    <w:p w:rsidR="002E3DE8" w:rsidRDefault="002E3DE8">
      <w:pPr>
        <w:pStyle w:val="Inhopg1"/>
        <w:tabs>
          <w:tab w:val="left" w:pos="480"/>
        </w:tabs>
        <w:rPr>
          <w:sz w:val="24"/>
        </w:rPr>
      </w:pPr>
      <w:hyperlink w:anchor="_Toc281925011" w:history="1">
        <w:r>
          <w:rPr>
            <w:rStyle w:val="Hyperlink"/>
            <w:szCs w:val="21"/>
          </w:rPr>
          <w:t>V.</w:t>
        </w:r>
        <w:r>
          <w:rPr>
            <w:sz w:val="24"/>
          </w:rPr>
          <w:tab/>
        </w:r>
        <w:r>
          <w:rPr>
            <w:rStyle w:val="Hyperlink"/>
            <w:szCs w:val="21"/>
          </w:rPr>
          <w:t>VERGOEDINGEN EN BETALING</w:t>
        </w:r>
        <w:r>
          <w:rPr>
            <w:webHidden/>
          </w:rPr>
          <w:tab/>
        </w:r>
        <w:r>
          <w:rPr>
            <w:webHidden/>
          </w:rPr>
          <w:fldChar w:fldCharType="begin"/>
        </w:r>
        <w:r>
          <w:rPr>
            <w:webHidden/>
          </w:rPr>
          <w:instrText xml:space="preserve"> PAGEREF _Toc281925011 \h </w:instrText>
        </w:r>
        <w:r>
          <w:rPr>
            <w:webHidden/>
          </w:rPr>
          <w:fldChar w:fldCharType="separate"/>
        </w:r>
        <w:r>
          <w:rPr>
            <w:webHidden/>
          </w:rPr>
          <w:t>7</w:t>
        </w:r>
        <w:r>
          <w:rPr>
            <w:webHidden/>
          </w:rPr>
          <w:fldChar w:fldCharType="end"/>
        </w:r>
      </w:hyperlink>
    </w:p>
    <w:p w:rsidR="002E3DE8" w:rsidRDefault="002E3DE8">
      <w:pPr>
        <w:pStyle w:val="Inhopg1"/>
        <w:tabs>
          <w:tab w:val="left" w:pos="480"/>
        </w:tabs>
        <w:rPr>
          <w:sz w:val="24"/>
        </w:rPr>
      </w:pPr>
      <w:hyperlink w:anchor="_Toc281925012" w:history="1">
        <w:r>
          <w:rPr>
            <w:rStyle w:val="Hyperlink"/>
          </w:rPr>
          <w:t>11.</w:t>
        </w:r>
        <w:r>
          <w:rPr>
            <w:sz w:val="24"/>
          </w:rPr>
          <w:tab/>
        </w:r>
        <w:r>
          <w:rPr>
            <w:rStyle w:val="Hyperlink"/>
            <w:b/>
          </w:rPr>
          <w:t>Vergoedingen</w:t>
        </w:r>
        <w:r>
          <w:rPr>
            <w:rStyle w:val="Hyperlink"/>
          </w:rPr>
          <w:t xml:space="preserve"> </w:t>
        </w:r>
        <w:r>
          <w:rPr>
            <w:rStyle w:val="Hyperlink"/>
            <w:b/>
          </w:rPr>
          <w:t>en betaling</w:t>
        </w:r>
        <w:r>
          <w:rPr>
            <w:webHidden/>
          </w:rPr>
          <w:tab/>
        </w:r>
        <w:r>
          <w:rPr>
            <w:webHidden/>
          </w:rPr>
          <w:fldChar w:fldCharType="begin"/>
        </w:r>
        <w:r>
          <w:rPr>
            <w:webHidden/>
          </w:rPr>
          <w:instrText xml:space="preserve"> PAGEREF _Toc281925012 \h </w:instrText>
        </w:r>
        <w:r>
          <w:rPr>
            <w:webHidden/>
          </w:rPr>
          <w:fldChar w:fldCharType="separate"/>
        </w:r>
        <w:r>
          <w:rPr>
            <w:webHidden/>
          </w:rPr>
          <w:t>7</w:t>
        </w:r>
        <w:r>
          <w:rPr>
            <w:webHidden/>
          </w:rPr>
          <w:fldChar w:fldCharType="end"/>
        </w:r>
      </w:hyperlink>
    </w:p>
    <w:p w:rsidR="002E3DE8" w:rsidRDefault="002E3DE8">
      <w:pPr>
        <w:pStyle w:val="Inhopg1"/>
        <w:tabs>
          <w:tab w:val="left" w:pos="480"/>
        </w:tabs>
        <w:rPr>
          <w:sz w:val="24"/>
        </w:rPr>
      </w:pPr>
      <w:hyperlink w:anchor="_Toc281925013" w:history="1">
        <w:r>
          <w:rPr>
            <w:rStyle w:val="Hyperlink"/>
            <w:szCs w:val="21"/>
          </w:rPr>
          <w:t>VI.</w:t>
        </w:r>
        <w:r>
          <w:rPr>
            <w:sz w:val="24"/>
          </w:rPr>
          <w:tab/>
        </w:r>
        <w:r>
          <w:rPr>
            <w:rStyle w:val="Hyperlink"/>
            <w:szCs w:val="21"/>
          </w:rPr>
          <w:t>REGIE</w:t>
        </w:r>
        <w:r>
          <w:rPr>
            <w:webHidden/>
          </w:rPr>
          <w:tab/>
        </w:r>
        <w:r>
          <w:rPr>
            <w:webHidden/>
          </w:rPr>
          <w:fldChar w:fldCharType="begin"/>
        </w:r>
        <w:r>
          <w:rPr>
            <w:webHidden/>
          </w:rPr>
          <w:instrText xml:space="preserve"> PAGEREF _Toc281925013 \h </w:instrText>
        </w:r>
        <w:r>
          <w:rPr>
            <w:webHidden/>
          </w:rPr>
          <w:fldChar w:fldCharType="separate"/>
        </w:r>
        <w:r>
          <w:rPr>
            <w:webHidden/>
          </w:rPr>
          <w:t>8</w:t>
        </w:r>
        <w:r>
          <w:rPr>
            <w:webHidden/>
          </w:rPr>
          <w:fldChar w:fldCharType="end"/>
        </w:r>
      </w:hyperlink>
    </w:p>
    <w:p w:rsidR="002E3DE8" w:rsidRDefault="002E3DE8">
      <w:pPr>
        <w:pStyle w:val="Inhopg1"/>
        <w:tabs>
          <w:tab w:val="left" w:pos="480"/>
        </w:tabs>
        <w:rPr>
          <w:sz w:val="24"/>
        </w:rPr>
      </w:pPr>
      <w:hyperlink w:anchor="_Toc281925014" w:history="1">
        <w:r>
          <w:rPr>
            <w:rStyle w:val="Hyperlink"/>
          </w:rPr>
          <w:t>12.</w:t>
        </w:r>
        <w:r>
          <w:rPr>
            <w:sz w:val="24"/>
          </w:rPr>
          <w:tab/>
        </w:r>
        <w:r>
          <w:rPr>
            <w:rStyle w:val="Hyperlink"/>
            <w:b/>
          </w:rPr>
          <w:t>Overleg</w:t>
        </w:r>
        <w:r>
          <w:rPr>
            <w:webHidden/>
          </w:rPr>
          <w:tab/>
        </w:r>
        <w:r>
          <w:rPr>
            <w:webHidden/>
          </w:rPr>
          <w:fldChar w:fldCharType="begin"/>
        </w:r>
        <w:r>
          <w:rPr>
            <w:webHidden/>
          </w:rPr>
          <w:instrText xml:space="preserve"> PAGEREF _Toc281925014 \h </w:instrText>
        </w:r>
        <w:r>
          <w:rPr>
            <w:webHidden/>
          </w:rPr>
          <w:fldChar w:fldCharType="separate"/>
        </w:r>
        <w:r>
          <w:rPr>
            <w:webHidden/>
          </w:rPr>
          <w:t>8</w:t>
        </w:r>
        <w:r>
          <w:rPr>
            <w:webHidden/>
          </w:rPr>
          <w:fldChar w:fldCharType="end"/>
        </w:r>
      </w:hyperlink>
    </w:p>
    <w:p w:rsidR="002E3DE8" w:rsidRDefault="002E3DE8">
      <w:pPr>
        <w:pStyle w:val="Inhopg1"/>
        <w:tabs>
          <w:tab w:val="left" w:pos="480"/>
        </w:tabs>
        <w:rPr>
          <w:sz w:val="24"/>
        </w:rPr>
      </w:pPr>
      <w:hyperlink w:anchor="_Toc281925015" w:history="1">
        <w:r>
          <w:rPr>
            <w:rStyle w:val="Hyperlink"/>
            <w:bCs/>
          </w:rPr>
          <w:t>13.</w:t>
        </w:r>
        <w:r>
          <w:rPr>
            <w:sz w:val="24"/>
          </w:rPr>
          <w:tab/>
        </w:r>
        <w:r>
          <w:rPr>
            <w:rStyle w:val="Hyperlink"/>
            <w:b/>
            <w:bCs/>
          </w:rPr>
          <w:t>Evaluatie Service Level Agreement</w:t>
        </w:r>
        <w:r>
          <w:rPr>
            <w:webHidden/>
          </w:rPr>
          <w:tab/>
        </w:r>
        <w:r>
          <w:rPr>
            <w:webHidden/>
          </w:rPr>
          <w:fldChar w:fldCharType="begin"/>
        </w:r>
        <w:r>
          <w:rPr>
            <w:webHidden/>
          </w:rPr>
          <w:instrText xml:space="preserve"> PAGEREF _Toc281925015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16" w:history="1">
        <w:r>
          <w:rPr>
            <w:rStyle w:val="Hyperlink"/>
            <w:bCs/>
          </w:rPr>
          <w:t>14.</w:t>
        </w:r>
        <w:r>
          <w:rPr>
            <w:sz w:val="24"/>
          </w:rPr>
          <w:tab/>
        </w:r>
        <w:r>
          <w:rPr>
            <w:rStyle w:val="Hyperlink"/>
            <w:b/>
            <w:bCs/>
          </w:rPr>
          <w:t>Wijzigingsprocedure</w:t>
        </w:r>
        <w:r>
          <w:rPr>
            <w:webHidden/>
          </w:rPr>
          <w:tab/>
        </w:r>
        <w:r>
          <w:rPr>
            <w:webHidden/>
          </w:rPr>
          <w:fldChar w:fldCharType="begin"/>
        </w:r>
        <w:r>
          <w:rPr>
            <w:webHidden/>
          </w:rPr>
          <w:instrText xml:space="preserve"> PAGEREF _Toc281925016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17" w:history="1">
        <w:r>
          <w:rPr>
            <w:rStyle w:val="Hyperlink"/>
            <w:bCs/>
          </w:rPr>
          <w:t>15.</w:t>
        </w:r>
        <w:r>
          <w:rPr>
            <w:sz w:val="24"/>
          </w:rPr>
          <w:tab/>
        </w:r>
        <w:r>
          <w:rPr>
            <w:rStyle w:val="Hyperlink"/>
            <w:b/>
            <w:bCs/>
          </w:rPr>
          <w:t>Acceptatieprocedure</w:t>
        </w:r>
        <w:r>
          <w:rPr>
            <w:webHidden/>
          </w:rPr>
          <w:tab/>
        </w:r>
        <w:r>
          <w:rPr>
            <w:webHidden/>
          </w:rPr>
          <w:fldChar w:fldCharType="begin"/>
        </w:r>
        <w:r>
          <w:rPr>
            <w:webHidden/>
          </w:rPr>
          <w:instrText xml:space="preserve"> PAGEREF _Toc281925017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18" w:history="1">
        <w:r>
          <w:rPr>
            <w:rStyle w:val="Hyperlink"/>
            <w:bCs/>
          </w:rPr>
          <w:t>16.</w:t>
        </w:r>
        <w:r>
          <w:rPr>
            <w:sz w:val="24"/>
          </w:rPr>
          <w:tab/>
        </w:r>
        <w:r>
          <w:rPr>
            <w:rStyle w:val="Hyperlink"/>
            <w:b/>
            <w:bCs/>
          </w:rPr>
          <w:t>Contractbeheer</w:t>
        </w:r>
        <w:r>
          <w:rPr>
            <w:webHidden/>
          </w:rPr>
          <w:tab/>
        </w:r>
        <w:r>
          <w:rPr>
            <w:webHidden/>
          </w:rPr>
          <w:fldChar w:fldCharType="begin"/>
        </w:r>
        <w:r>
          <w:rPr>
            <w:webHidden/>
          </w:rPr>
          <w:instrText xml:space="preserve"> PAGEREF _Toc281925018 \h </w:instrText>
        </w:r>
        <w:r>
          <w:rPr>
            <w:webHidden/>
          </w:rPr>
          <w:fldChar w:fldCharType="separate"/>
        </w:r>
        <w:r>
          <w:rPr>
            <w:webHidden/>
          </w:rPr>
          <w:t>9</w:t>
        </w:r>
        <w:r>
          <w:rPr>
            <w:webHidden/>
          </w:rPr>
          <w:fldChar w:fldCharType="end"/>
        </w:r>
      </w:hyperlink>
    </w:p>
    <w:p w:rsidR="002E3DE8" w:rsidRDefault="002E3DE8">
      <w:pPr>
        <w:pStyle w:val="Inhopg1"/>
        <w:tabs>
          <w:tab w:val="left" w:pos="720"/>
        </w:tabs>
        <w:rPr>
          <w:sz w:val="24"/>
        </w:rPr>
      </w:pPr>
      <w:hyperlink w:anchor="_Toc281925019" w:history="1">
        <w:r>
          <w:rPr>
            <w:rStyle w:val="Hyperlink"/>
            <w:szCs w:val="21"/>
          </w:rPr>
          <w:t>VII.</w:t>
        </w:r>
        <w:r>
          <w:rPr>
            <w:sz w:val="24"/>
          </w:rPr>
          <w:tab/>
        </w:r>
        <w:r>
          <w:rPr>
            <w:rStyle w:val="Hyperlink"/>
            <w:szCs w:val="21"/>
          </w:rPr>
          <w:t>CON</w:t>
        </w:r>
        <w:r>
          <w:rPr>
            <w:rStyle w:val="Hyperlink"/>
            <w:szCs w:val="21"/>
          </w:rPr>
          <w:t>T</w:t>
        </w:r>
        <w:r>
          <w:rPr>
            <w:rStyle w:val="Hyperlink"/>
            <w:szCs w:val="21"/>
          </w:rPr>
          <w:t>ROLE</w:t>
        </w:r>
        <w:r>
          <w:rPr>
            <w:webHidden/>
          </w:rPr>
          <w:tab/>
        </w:r>
        <w:r>
          <w:rPr>
            <w:webHidden/>
          </w:rPr>
          <w:fldChar w:fldCharType="begin"/>
        </w:r>
        <w:r>
          <w:rPr>
            <w:webHidden/>
          </w:rPr>
          <w:instrText xml:space="preserve"> PAGEREF _Toc281925019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20" w:history="1">
        <w:r>
          <w:rPr>
            <w:rStyle w:val="Hyperlink"/>
            <w:bCs/>
          </w:rPr>
          <w:t>17.</w:t>
        </w:r>
        <w:r>
          <w:rPr>
            <w:sz w:val="24"/>
          </w:rPr>
          <w:tab/>
        </w:r>
        <w:r>
          <w:rPr>
            <w:rStyle w:val="Hyperlink"/>
            <w:b/>
            <w:bCs/>
          </w:rPr>
          <w:t>Rapportages</w:t>
        </w:r>
        <w:r>
          <w:rPr>
            <w:webHidden/>
          </w:rPr>
          <w:tab/>
        </w:r>
        <w:r>
          <w:rPr>
            <w:webHidden/>
          </w:rPr>
          <w:fldChar w:fldCharType="begin"/>
        </w:r>
        <w:r>
          <w:rPr>
            <w:webHidden/>
          </w:rPr>
          <w:instrText xml:space="preserve"> PAGEREF _Toc281925020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21" w:history="1">
        <w:r>
          <w:rPr>
            <w:rStyle w:val="Hyperlink"/>
            <w:bCs/>
          </w:rPr>
          <w:t>18.</w:t>
        </w:r>
        <w:r>
          <w:rPr>
            <w:sz w:val="24"/>
          </w:rPr>
          <w:tab/>
        </w:r>
        <w:r>
          <w:rPr>
            <w:rStyle w:val="Hyperlink"/>
            <w:b/>
            <w:bCs/>
          </w:rPr>
          <w:t>TPM</w:t>
        </w:r>
        <w:r>
          <w:rPr>
            <w:webHidden/>
          </w:rPr>
          <w:tab/>
        </w:r>
        <w:r>
          <w:rPr>
            <w:webHidden/>
          </w:rPr>
          <w:fldChar w:fldCharType="begin"/>
        </w:r>
        <w:r>
          <w:rPr>
            <w:webHidden/>
          </w:rPr>
          <w:instrText xml:space="preserve"> PAGEREF _Toc281925021 \h </w:instrText>
        </w:r>
        <w:r>
          <w:rPr>
            <w:webHidden/>
          </w:rPr>
          <w:fldChar w:fldCharType="separate"/>
        </w:r>
        <w:r>
          <w:rPr>
            <w:webHidden/>
          </w:rPr>
          <w:t>9</w:t>
        </w:r>
        <w:r>
          <w:rPr>
            <w:webHidden/>
          </w:rPr>
          <w:fldChar w:fldCharType="end"/>
        </w:r>
      </w:hyperlink>
    </w:p>
    <w:p w:rsidR="002E3DE8" w:rsidRDefault="002E3DE8">
      <w:pPr>
        <w:pStyle w:val="Inhopg1"/>
        <w:tabs>
          <w:tab w:val="left" w:pos="480"/>
        </w:tabs>
        <w:rPr>
          <w:sz w:val="24"/>
        </w:rPr>
      </w:pPr>
      <w:hyperlink w:anchor="_Toc281925022" w:history="1">
        <w:r>
          <w:rPr>
            <w:rStyle w:val="Hyperlink"/>
            <w:bCs/>
          </w:rPr>
          <w:t>19.</w:t>
        </w:r>
        <w:r>
          <w:rPr>
            <w:sz w:val="24"/>
          </w:rPr>
          <w:tab/>
        </w:r>
        <w:r>
          <w:rPr>
            <w:rStyle w:val="Hyperlink"/>
            <w:b/>
            <w:bCs/>
          </w:rPr>
          <w:t>Audit</w:t>
        </w:r>
        <w:r>
          <w:rPr>
            <w:webHidden/>
          </w:rPr>
          <w:tab/>
        </w:r>
        <w:r>
          <w:rPr>
            <w:webHidden/>
          </w:rPr>
          <w:fldChar w:fldCharType="begin"/>
        </w:r>
        <w:r>
          <w:rPr>
            <w:webHidden/>
          </w:rPr>
          <w:instrText xml:space="preserve"> PAGEREF _Toc281925022 \h </w:instrText>
        </w:r>
        <w:r>
          <w:rPr>
            <w:webHidden/>
          </w:rPr>
          <w:fldChar w:fldCharType="separate"/>
        </w:r>
        <w:r>
          <w:rPr>
            <w:webHidden/>
          </w:rPr>
          <w:t>10</w:t>
        </w:r>
        <w:r>
          <w:rPr>
            <w:webHidden/>
          </w:rPr>
          <w:fldChar w:fldCharType="end"/>
        </w:r>
      </w:hyperlink>
    </w:p>
    <w:p w:rsidR="002E3DE8" w:rsidRDefault="002E3DE8">
      <w:pPr>
        <w:pStyle w:val="Inhopg1"/>
        <w:tabs>
          <w:tab w:val="left" w:pos="480"/>
        </w:tabs>
        <w:rPr>
          <w:sz w:val="24"/>
        </w:rPr>
      </w:pPr>
      <w:hyperlink w:anchor="_Toc281925023" w:history="1">
        <w:r>
          <w:rPr>
            <w:rStyle w:val="Hyperlink"/>
            <w:bCs/>
          </w:rPr>
          <w:t>20.</w:t>
        </w:r>
        <w:r>
          <w:rPr>
            <w:sz w:val="24"/>
          </w:rPr>
          <w:tab/>
        </w:r>
        <w:r>
          <w:rPr>
            <w:rStyle w:val="Hyperlink"/>
            <w:b/>
            <w:bCs/>
          </w:rPr>
          <w:t>Benchmarking</w:t>
        </w:r>
        <w:r>
          <w:rPr>
            <w:webHidden/>
          </w:rPr>
          <w:tab/>
        </w:r>
        <w:r>
          <w:rPr>
            <w:webHidden/>
          </w:rPr>
          <w:fldChar w:fldCharType="begin"/>
        </w:r>
        <w:r>
          <w:rPr>
            <w:webHidden/>
          </w:rPr>
          <w:instrText xml:space="preserve"> PAGEREF _Toc281925023 \h </w:instrText>
        </w:r>
        <w:r>
          <w:rPr>
            <w:webHidden/>
          </w:rPr>
          <w:fldChar w:fldCharType="separate"/>
        </w:r>
        <w:r>
          <w:rPr>
            <w:webHidden/>
          </w:rPr>
          <w:t>11</w:t>
        </w:r>
        <w:r>
          <w:rPr>
            <w:webHidden/>
          </w:rPr>
          <w:fldChar w:fldCharType="end"/>
        </w:r>
      </w:hyperlink>
    </w:p>
    <w:p w:rsidR="002E3DE8" w:rsidRDefault="002E3DE8">
      <w:pPr>
        <w:pStyle w:val="Inhopg1"/>
        <w:tabs>
          <w:tab w:val="left" w:pos="720"/>
        </w:tabs>
        <w:rPr>
          <w:sz w:val="24"/>
        </w:rPr>
      </w:pPr>
      <w:hyperlink w:anchor="_Toc281925024" w:history="1">
        <w:r>
          <w:rPr>
            <w:rStyle w:val="Hyperlink"/>
            <w:szCs w:val="21"/>
          </w:rPr>
          <w:t>VIII.</w:t>
        </w:r>
        <w:r>
          <w:rPr>
            <w:sz w:val="24"/>
          </w:rPr>
          <w:tab/>
        </w:r>
        <w:r>
          <w:rPr>
            <w:rStyle w:val="Hyperlink"/>
            <w:szCs w:val="21"/>
          </w:rPr>
          <w:t>SANCTIES</w:t>
        </w:r>
        <w:r>
          <w:rPr>
            <w:webHidden/>
          </w:rPr>
          <w:tab/>
        </w:r>
        <w:r>
          <w:rPr>
            <w:webHidden/>
          </w:rPr>
          <w:fldChar w:fldCharType="begin"/>
        </w:r>
        <w:r>
          <w:rPr>
            <w:webHidden/>
          </w:rPr>
          <w:instrText xml:space="preserve"> PAGEREF _Toc281925024 \h </w:instrText>
        </w:r>
        <w:r>
          <w:rPr>
            <w:webHidden/>
          </w:rPr>
          <w:fldChar w:fldCharType="separate"/>
        </w:r>
        <w:r>
          <w:rPr>
            <w:webHidden/>
          </w:rPr>
          <w:t>12</w:t>
        </w:r>
        <w:r>
          <w:rPr>
            <w:webHidden/>
          </w:rPr>
          <w:fldChar w:fldCharType="end"/>
        </w:r>
      </w:hyperlink>
    </w:p>
    <w:p w:rsidR="002E3DE8" w:rsidRDefault="002E3DE8">
      <w:pPr>
        <w:pStyle w:val="Inhopg1"/>
        <w:tabs>
          <w:tab w:val="left" w:pos="480"/>
        </w:tabs>
        <w:rPr>
          <w:sz w:val="24"/>
        </w:rPr>
      </w:pPr>
      <w:hyperlink w:anchor="_Toc281925025" w:history="1">
        <w:r>
          <w:rPr>
            <w:rStyle w:val="Hyperlink"/>
          </w:rPr>
          <w:t>21.</w:t>
        </w:r>
        <w:r>
          <w:rPr>
            <w:sz w:val="24"/>
          </w:rPr>
          <w:tab/>
        </w:r>
        <w:r>
          <w:rPr>
            <w:rStyle w:val="Hyperlink"/>
            <w:b/>
          </w:rPr>
          <w:t>Bonus-</w:t>
        </w:r>
        <w:r>
          <w:rPr>
            <w:rStyle w:val="Hyperlink"/>
            <w:b/>
            <w:bCs/>
          </w:rPr>
          <w:t>malusregeling</w:t>
        </w:r>
        <w:r>
          <w:rPr>
            <w:webHidden/>
          </w:rPr>
          <w:tab/>
        </w:r>
        <w:r>
          <w:rPr>
            <w:webHidden/>
          </w:rPr>
          <w:fldChar w:fldCharType="begin"/>
        </w:r>
        <w:r>
          <w:rPr>
            <w:webHidden/>
          </w:rPr>
          <w:instrText xml:space="preserve"> PAGEREF _Toc281925025 \h </w:instrText>
        </w:r>
        <w:r>
          <w:rPr>
            <w:webHidden/>
          </w:rPr>
          <w:fldChar w:fldCharType="separate"/>
        </w:r>
        <w:r>
          <w:rPr>
            <w:webHidden/>
          </w:rPr>
          <w:t>12</w:t>
        </w:r>
        <w:r>
          <w:rPr>
            <w:webHidden/>
          </w:rPr>
          <w:fldChar w:fldCharType="end"/>
        </w:r>
      </w:hyperlink>
    </w:p>
    <w:p w:rsidR="002E3DE8" w:rsidRDefault="002E3DE8">
      <w:pPr>
        <w:pStyle w:val="Inhopg1"/>
        <w:tabs>
          <w:tab w:val="left" w:pos="480"/>
        </w:tabs>
        <w:rPr>
          <w:sz w:val="24"/>
        </w:rPr>
      </w:pPr>
      <w:hyperlink w:anchor="_Toc281925026" w:history="1">
        <w:r>
          <w:rPr>
            <w:rStyle w:val="Hyperlink"/>
            <w:bCs/>
          </w:rPr>
          <w:t>22.</w:t>
        </w:r>
        <w:r>
          <w:rPr>
            <w:sz w:val="24"/>
          </w:rPr>
          <w:tab/>
        </w:r>
        <w:r>
          <w:rPr>
            <w:rStyle w:val="Hyperlink"/>
            <w:b/>
            <w:bCs/>
          </w:rPr>
          <w:t>Aansprakelijkheid</w:t>
        </w:r>
        <w:r>
          <w:rPr>
            <w:webHidden/>
          </w:rPr>
          <w:tab/>
        </w:r>
        <w:r>
          <w:rPr>
            <w:webHidden/>
          </w:rPr>
          <w:fldChar w:fldCharType="begin"/>
        </w:r>
        <w:r>
          <w:rPr>
            <w:webHidden/>
          </w:rPr>
          <w:instrText xml:space="preserve"> PAGEREF _Toc281925026 \h </w:instrText>
        </w:r>
        <w:r>
          <w:rPr>
            <w:webHidden/>
          </w:rPr>
          <w:fldChar w:fldCharType="separate"/>
        </w:r>
        <w:r>
          <w:rPr>
            <w:webHidden/>
          </w:rPr>
          <w:t>12</w:t>
        </w:r>
        <w:r>
          <w:rPr>
            <w:webHidden/>
          </w:rPr>
          <w:fldChar w:fldCharType="end"/>
        </w:r>
      </w:hyperlink>
    </w:p>
    <w:p w:rsidR="002E3DE8" w:rsidRDefault="002E3DE8">
      <w:pPr>
        <w:pStyle w:val="Inhopg1"/>
        <w:tabs>
          <w:tab w:val="left" w:pos="480"/>
        </w:tabs>
        <w:rPr>
          <w:sz w:val="24"/>
        </w:rPr>
      </w:pPr>
      <w:hyperlink w:anchor="_Toc281925027" w:history="1">
        <w:r>
          <w:rPr>
            <w:rStyle w:val="Hyperlink"/>
            <w:bCs/>
          </w:rPr>
          <w:t>23.</w:t>
        </w:r>
        <w:r>
          <w:rPr>
            <w:sz w:val="24"/>
          </w:rPr>
          <w:tab/>
        </w:r>
        <w:r>
          <w:rPr>
            <w:rStyle w:val="Hyperlink"/>
            <w:b/>
            <w:bCs/>
          </w:rPr>
          <w:t>Vrijwaring</w:t>
        </w:r>
        <w:r>
          <w:rPr>
            <w:webHidden/>
          </w:rPr>
          <w:tab/>
        </w:r>
        <w:r>
          <w:rPr>
            <w:webHidden/>
          </w:rPr>
          <w:fldChar w:fldCharType="begin"/>
        </w:r>
        <w:r>
          <w:rPr>
            <w:webHidden/>
          </w:rPr>
          <w:instrText xml:space="preserve"> PAGEREF _Toc281925027 \h </w:instrText>
        </w:r>
        <w:r>
          <w:rPr>
            <w:webHidden/>
          </w:rPr>
          <w:fldChar w:fldCharType="separate"/>
        </w:r>
        <w:r>
          <w:rPr>
            <w:webHidden/>
          </w:rPr>
          <w:t>13</w:t>
        </w:r>
        <w:r>
          <w:rPr>
            <w:webHidden/>
          </w:rPr>
          <w:fldChar w:fldCharType="end"/>
        </w:r>
      </w:hyperlink>
    </w:p>
    <w:p w:rsidR="002E3DE8" w:rsidRDefault="002E3DE8">
      <w:pPr>
        <w:pStyle w:val="Inhopg1"/>
        <w:tabs>
          <w:tab w:val="left" w:pos="480"/>
        </w:tabs>
        <w:rPr>
          <w:sz w:val="24"/>
        </w:rPr>
      </w:pPr>
      <w:hyperlink w:anchor="_Toc281925028" w:history="1">
        <w:r>
          <w:rPr>
            <w:rStyle w:val="Hyperlink"/>
            <w:bCs/>
          </w:rPr>
          <w:t>24.</w:t>
        </w:r>
        <w:r>
          <w:rPr>
            <w:sz w:val="24"/>
          </w:rPr>
          <w:tab/>
        </w:r>
        <w:r>
          <w:rPr>
            <w:rStyle w:val="Hyperlink"/>
            <w:b/>
            <w:bCs/>
          </w:rPr>
          <w:t>Verzekering</w:t>
        </w:r>
        <w:r>
          <w:rPr>
            <w:webHidden/>
          </w:rPr>
          <w:tab/>
        </w:r>
        <w:r>
          <w:rPr>
            <w:webHidden/>
          </w:rPr>
          <w:fldChar w:fldCharType="begin"/>
        </w:r>
        <w:r>
          <w:rPr>
            <w:webHidden/>
          </w:rPr>
          <w:instrText xml:space="preserve"> PAGEREF _Toc281925028 \h </w:instrText>
        </w:r>
        <w:r>
          <w:rPr>
            <w:webHidden/>
          </w:rPr>
          <w:fldChar w:fldCharType="separate"/>
        </w:r>
        <w:r>
          <w:rPr>
            <w:webHidden/>
          </w:rPr>
          <w:t>13</w:t>
        </w:r>
        <w:r>
          <w:rPr>
            <w:webHidden/>
          </w:rPr>
          <w:fldChar w:fldCharType="end"/>
        </w:r>
      </w:hyperlink>
    </w:p>
    <w:p w:rsidR="002E3DE8" w:rsidRDefault="002E3DE8">
      <w:pPr>
        <w:pStyle w:val="Inhopg1"/>
        <w:tabs>
          <w:tab w:val="left" w:pos="480"/>
        </w:tabs>
        <w:rPr>
          <w:sz w:val="24"/>
        </w:rPr>
      </w:pPr>
      <w:hyperlink w:anchor="_Toc281925029" w:history="1">
        <w:r>
          <w:rPr>
            <w:rStyle w:val="Hyperlink"/>
            <w:bCs/>
          </w:rPr>
          <w:t>25.</w:t>
        </w:r>
        <w:r>
          <w:rPr>
            <w:sz w:val="24"/>
          </w:rPr>
          <w:tab/>
        </w:r>
        <w:r>
          <w:rPr>
            <w:rStyle w:val="Hyperlink"/>
            <w:b/>
            <w:bCs/>
          </w:rPr>
          <w:t>Overmacht</w:t>
        </w:r>
        <w:r>
          <w:rPr>
            <w:webHidden/>
          </w:rPr>
          <w:tab/>
        </w:r>
        <w:r>
          <w:rPr>
            <w:webHidden/>
          </w:rPr>
          <w:fldChar w:fldCharType="begin"/>
        </w:r>
        <w:r>
          <w:rPr>
            <w:webHidden/>
          </w:rPr>
          <w:instrText xml:space="preserve"> PAGEREF _Toc281925029 \h </w:instrText>
        </w:r>
        <w:r>
          <w:rPr>
            <w:webHidden/>
          </w:rPr>
          <w:fldChar w:fldCharType="separate"/>
        </w:r>
        <w:r>
          <w:rPr>
            <w:webHidden/>
          </w:rPr>
          <w:t>13</w:t>
        </w:r>
        <w:r>
          <w:rPr>
            <w:webHidden/>
          </w:rPr>
          <w:fldChar w:fldCharType="end"/>
        </w:r>
      </w:hyperlink>
    </w:p>
    <w:p w:rsidR="002E3DE8" w:rsidRDefault="002E3DE8">
      <w:pPr>
        <w:pStyle w:val="Inhopg1"/>
        <w:tabs>
          <w:tab w:val="left" w:pos="480"/>
        </w:tabs>
        <w:rPr>
          <w:sz w:val="24"/>
        </w:rPr>
      </w:pPr>
      <w:hyperlink w:anchor="_Toc281925030" w:history="1">
        <w:r>
          <w:rPr>
            <w:rStyle w:val="Hyperlink"/>
            <w:szCs w:val="21"/>
          </w:rPr>
          <w:t>IX.</w:t>
        </w:r>
        <w:r>
          <w:rPr>
            <w:sz w:val="24"/>
          </w:rPr>
          <w:tab/>
        </w:r>
        <w:r>
          <w:rPr>
            <w:rStyle w:val="Hyperlink"/>
            <w:szCs w:val="21"/>
          </w:rPr>
          <w:t>(INTELLECTUEEL) EIGENDOM EN GEGEVENS</w:t>
        </w:r>
        <w:r>
          <w:rPr>
            <w:webHidden/>
          </w:rPr>
          <w:tab/>
        </w:r>
        <w:r>
          <w:rPr>
            <w:webHidden/>
          </w:rPr>
          <w:fldChar w:fldCharType="begin"/>
        </w:r>
        <w:r>
          <w:rPr>
            <w:webHidden/>
          </w:rPr>
          <w:instrText xml:space="preserve"> PAGEREF _Toc281925030 \h </w:instrText>
        </w:r>
        <w:r>
          <w:rPr>
            <w:webHidden/>
          </w:rPr>
          <w:fldChar w:fldCharType="separate"/>
        </w:r>
        <w:r>
          <w:rPr>
            <w:webHidden/>
          </w:rPr>
          <w:t>14</w:t>
        </w:r>
        <w:r>
          <w:rPr>
            <w:webHidden/>
          </w:rPr>
          <w:fldChar w:fldCharType="end"/>
        </w:r>
      </w:hyperlink>
    </w:p>
    <w:p w:rsidR="002E3DE8" w:rsidRDefault="002E3DE8">
      <w:pPr>
        <w:pStyle w:val="Inhopg1"/>
        <w:tabs>
          <w:tab w:val="left" w:pos="480"/>
        </w:tabs>
        <w:rPr>
          <w:sz w:val="24"/>
        </w:rPr>
      </w:pPr>
      <w:hyperlink w:anchor="_Toc281925031" w:history="1">
        <w:r>
          <w:rPr>
            <w:rStyle w:val="Hyperlink"/>
            <w:bCs/>
          </w:rPr>
          <w:t>26.</w:t>
        </w:r>
        <w:r>
          <w:rPr>
            <w:sz w:val="24"/>
          </w:rPr>
          <w:tab/>
        </w:r>
        <w:r>
          <w:rPr>
            <w:rStyle w:val="Hyperlink"/>
            <w:b/>
            <w:bCs/>
          </w:rPr>
          <w:t>Gegevens</w:t>
        </w:r>
        <w:r>
          <w:rPr>
            <w:rStyle w:val="Hyperlink"/>
          </w:rPr>
          <w:t xml:space="preserve"> </w:t>
        </w:r>
        <w:r>
          <w:rPr>
            <w:rStyle w:val="Hyperlink"/>
            <w:b/>
          </w:rPr>
          <w:t>– algemeen</w:t>
        </w:r>
        <w:r>
          <w:rPr>
            <w:webHidden/>
          </w:rPr>
          <w:tab/>
        </w:r>
        <w:r>
          <w:rPr>
            <w:webHidden/>
          </w:rPr>
          <w:fldChar w:fldCharType="begin"/>
        </w:r>
        <w:r>
          <w:rPr>
            <w:webHidden/>
          </w:rPr>
          <w:instrText xml:space="preserve"> PAGEREF _Toc281925031 \h </w:instrText>
        </w:r>
        <w:r>
          <w:rPr>
            <w:webHidden/>
          </w:rPr>
          <w:fldChar w:fldCharType="separate"/>
        </w:r>
        <w:r>
          <w:rPr>
            <w:webHidden/>
          </w:rPr>
          <w:t>14</w:t>
        </w:r>
        <w:r>
          <w:rPr>
            <w:webHidden/>
          </w:rPr>
          <w:fldChar w:fldCharType="end"/>
        </w:r>
      </w:hyperlink>
    </w:p>
    <w:p w:rsidR="002E3DE8" w:rsidRDefault="002E3DE8">
      <w:pPr>
        <w:pStyle w:val="Inhopg1"/>
        <w:tabs>
          <w:tab w:val="left" w:pos="480"/>
        </w:tabs>
        <w:rPr>
          <w:sz w:val="24"/>
        </w:rPr>
      </w:pPr>
      <w:hyperlink w:anchor="_Toc281925032" w:history="1">
        <w:r>
          <w:rPr>
            <w:rStyle w:val="Hyperlink"/>
          </w:rPr>
          <w:t>27.</w:t>
        </w:r>
        <w:r>
          <w:rPr>
            <w:sz w:val="24"/>
          </w:rPr>
          <w:tab/>
        </w:r>
        <w:r>
          <w:rPr>
            <w:rStyle w:val="Hyperlink"/>
            <w:b/>
          </w:rPr>
          <w:t>(Intellectueel) eigendom en licenties, vrijwaring</w:t>
        </w:r>
        <w:r>
          <w:rPr>
            <w:webHidden/>
          </w:rPr>
          <w:tab/>
        </w:r>
        <w:r>
          <w:rPr>
            <w:webHidden/>
          </w:rPr>
          <w:fldChar w:fldCharType="begin"/>
        </w:r>
        <w:r>
          <w:rPr>
            <w:webHidden/>
          </w:rPr>
          <w:instrText xml:space="preserve"> PAGEREF _Toc281925032 \h </w:instrText>
        </w:r>
        <w:r>
          <w:rPr>
            <w:webHidden/>
          </w:rPr>
          <w:fldChar w:fldCharType="separate"/>
        </w:r>
        <w:r>
          <w:rPr>
            <w:webHidden/>
          </w:rPr>
          <w:t>14</w:t>
        </w:r>
        <w:r>
          <w:rPr>
            <w:webHidden/>
          </w:rPr>
          <w:fldChar w:fldCharType="end"/>
        </w:r>
      </w:hyperlink>
    </w:p>
    <w:p w:rsidR="002E3DE8" w:rsidRDefault="002E3DE8">
      <w:pPr>
        <w:pStyle w:val="Inhopg1"/>
        <w:tabs>
          <w:tab w:val="left" w:pos="480"/>
        </w:tabs>
        <w:rPr>
          <w:sz w:val="24"/>
        </w:rPr>
      </w:pPr>
      <w:hyperlink w:anchor="_Toc281925033" w:history="1">
        <w:r>
          <w:rPr>
            <w:rStyle w:val="Hyperlink"/>
          </w:rPr>
          <w:t>28.</w:t>
        </w:r>
        <w:r>
          <w:rPr>
            <w:sz w:val="24"/>
          </w:rPr>
          <w:tab/>
        </w:r>
        <w:r>
          <w:rPr>
            <w:rStyle w:val="Hyperlink"/>
            <w:b/>
          </w:rPr>
          <w:t>Geheimhouding</w:t>
        </w:r>
        <w:r>
          <w:rPr>
            <w:webHidden/>
          </w:rPr>
          <w:tab/>
        </w:r>
        <w:r>
          <w:rPr>
            <w:webHidden/>
          </w:rPr>
          <w:fldChar w:fldCharType="begin"/>
        </w:r>
        <w:r>
          <w:rPr>
            <w:webHidden/>
          </w:rPr>
          <w:instrText xml:space="preserve"> PAGEREF _Toc281925033 \h </w:instrText>
        </w:r>
        <w:r>
          <w:rPr>
            <w:webHidden/>
          </w:rPr>
          <w:fldChar w:fldCharType="separate"/>
        </w:r>
        <w:r>
          <w:rPr>
            <w:webHidden/>
          </w:rPr>
          <w:t>14</w:t>
        </w:r>
        <w:r>
          <w:rPr>
            <w:webHidden/>
          </w:rPr>
          <w:fldChar w:fldCharType="end"/>
        </w:r>
      </w:hyperlink>
    </w:p>
    <w:p w:rsidR="002E3DE8" w:rsidRDefault="002E3DE8">
      <w:pPr>
        <w:pStyle w:val="Inhopg1"/>
        <w:tabs>
          <w:tab w:val="left" w:pos="480"/>
        </w:tabs>
        <w:rPr>
          <w:sz w:val="24"/>
        </w:rPr>
      </w:pPr>
      <w:hyperlink w:anchor="_Toc281925034" w:history="1">
        <w:r>
          <w:rPr>
            <w:rStyle w:val="Hyperlink"/>
          </w:rPr>
          <w:t>29.</w:t>
        </w:r>
        <w:r>
          <w:rPr>
            <w:sz w:val="24"/>
          </w:rPr>
          <w:tab/>
        </w:r>
        <w:r>
          <w:rPr>
            <w:rStyle w:val="Hyperlink"/>
            <w:b/>
          </w:rPr>
          <w:t>Beveiliging</w:t>
        </w:r>
        <w:r>
          <w:rPr>
            <w:webHidden/>
          </w:rPr>
          <w:tab/>
        </w:r>
        <w:r>
          <w:rPr>
            <w:webHidden/>
          </w:rPr>
          <w:fldChar w:fldCharType="begin"/>
        </w:r>
        <w:r>
          <w:rPr>
            <w:webHidden/>
          </w:rPr>
          <w:instrText xml:space="preserve"> PAGEREF _Toc281925034 \h </w:instrText>
        </w:r>
        <w:r>
          <w:rPr>
            <w:webHidden/>
          </w:rPr>
          <w:fldChar w:fldCharType="separate"/>
        </w:r>
        <w:r>
          <w:rPr>
            <w:webHidden/>
          </w:rPr>
          <w:t>15</w:t>
        </w:r>
        <w:r>
          <w:rPr>
            <w:webHidden/>
          </w:rPr>
          <w:fldChar w:fldCharType="end"/>
        </w:r>
      </w:hyperlink>
    </w:p>
    <w:p w:rsidR="002E3DE8" w:rsidRDefault="002E3DE8">
      <w:pPr>
        <w:pStyle w:val="Inhopg1"/>
        <w:tabs>
          <w:tab w:val="left" w:pos="480"/>
        </w:tabs>
        <w:rPr>
          <w:sz w:val="24"/>
        </w:rPr>
      </w:pPr>
      <w:hyperlink w:anchor="_Toc281925035" w:history="1">
        <w:r>
          <w:rPr>
            <w:rStyle w:val="Hyperlink"/>
          </w:rPr>
          <w:t>30.</w:t>
        </w:r>
        <w:r>
          <w:rPr>
            <w:sz w:val="24"/>
          </w:rPr>
          <w:tab/>
        </w:r>
        <w:r>
          <w:rPr>
            <w:rStyle w:val="Hyperlink"/>
            <w:b/>
          </w:rPr>
          <w:t>Wet</w:t>
        </w:r>
        <w:r>
          <w:rPr>
            <w:rStyle w:val="Hyperlink"/>
          </w:rPr>
          <w:t xml:space="preserve"> </w:t>
        </w:r>
        <w:r>
          <w:rPr>
            <w:rStyle w:val="Hyperlink"/>
            <w:b/>
          </w:rPr>
          <w:t>bescherming persoonsgegevens</w:t>
        </w:r>
        <w:r>
          <w:rPr>
            <w:webHidden/>
          </w:rPr>
          <w:tab/>
        </w:r>
        <w:r>
          <w:rPr>
            <w:webHidden/>
          </w:rPr>
          <w:fldChar w:fldCharType="begin"/>
        </w:r>
        <w:r>
          <w:rPr>
            <w:webHidden/>
          </w:rPr>
          <w:instrText xml:space="preserve"> PAGEREF _Toc281925035 \h </w:instrText>
        </w:r>
        <w:r>
          <w:rPr>
            <w:webHidden/>
          </w:rPr>
          <w:fldChar w:fldCharType="separate"/>
        </w:r>
        <w:r>
          <w:rPr>
            <w:webHidden/>
          </w:rPr>
          <w:t>15</w:t>
        </w:r>
        <w:r>
          <w:rPr>
            <w:webHidden/>
          </w:rPr>
          <w:fldChar w:fldCharType="end"/>
        </w:r>
      </w:hyperlink>
    </w:p>
    <w:p w:rsidR="002E3DE8" w:rsidRDefault="002E3DE8">
      <w:pPr>
        <w:pStyle w:val="Inhopg1"/>
        <w:tabs>
          <w:tab w:val="left" w:pos="480"/>
        </w:tabs>
        <w:rPr>
          <w:sz w:val="24"/>
        </w:rPr>
      </w:pPr>
      <w:hyperlink w:anchor="_Toc281925036" w:history="1">
        <w:r>
          <w:rPr>
            <w:rStyle w:val="Hyperlink"/>
            <w:szCs w:val="21"/>
          </w:rPr>
          <w:t>X.</w:t>
        </w:r>
        <w:r>
          <w:rPr>
            <w:sz w:val="24"/>
          </w:rPr>
          <w:tab/>
        </w:r>
        <w:r>
          <w:rPr>
            <w:rStyle w:val="Hyperlink"/>
            <w:szCs w:val="21"/>
          </w:rPr>
          <w:t>DUUR, BEËINDIGING EN EXITASSISTENTIE</w:t>
        </w:r>
        <w:r>
          <w:rPr>
            <w:webHidden/>
          </w:rPr>
          <w:tab/>
        </w:r>
        <w:r>
          <w:rPr>
            <w:webHidden/>
          </w:rPr>
          <w:fldChar w:fldCharType="begin"/>
        </w:r>
        <w:r>
          <w:rPr>
            <w:webHidden/>
          </w:rPr>
          <w:instrText xml:space="preserve"> PAGEREF _Toc281925036 \h </w:instrText>
        </w:r>
        <w:r>
          <w:rPr>
            <w:webHidden/>
          </w:rPr>
          <w:fldChar w:fldCharType="separate"/>
        </w:r>
        <w:r>
          <w:rPr>
            <w:webHidden/>
          </w:rPr>
          <w:t>16</w:t>
        </w:r>
        <w:r>
          <w:rPr>
            <w:webHidden/>
          </w:rPr>
          <w:fldChar w:fldCharType="end"/>
        </w:r>
      </w:hyperlink>
    </w:p>
    <w:p w:rsidR="002E3DE8" w:rsidRDefault="002E3DE8">
      <w:pPr>
        <w:pStyle w:val="Inhopg1"/>
        <w:tabs>
          <w:tab w:val="left" w:pos="480"/>
        </w:tabs>
        <w:rPr>
          <w:sz w:val="24"/>
        </w:rPr>
      </w:pPr>
      <w:hyperlink w:anchor="_Toc281925037" w:history="1">
        <w:r>
          <w:rPr>
            <w:rStyle w:val="Hyperlink"/>
          </w:rPr>
          <w:t>31.</w:t>
        </w:r>
        <w:r>
          <w:rPr>
            <w:sz w:val="24"/>
          </w:rPr>
          <w:tab/>
        </w:r>
        <w:r>
          <w:rPr>
            <w:rStyle w:val="Hyperlink"/>
            <w:b/>
          </w:rPr>
          <w:t>Duur en beëindiging</w:t>
        </w:r>
        <w:r>
          <w:rPr>
            <w:webHidden/>
          </w:rPr>
          <w:tab/>
        </w:r>
        <w:r>
          <w:rPr>
            <w:webHidden/>
          </w:rPr>
          <w:fldChar w:fldCharType="begin"/>
        </w:r>
        <w:r>
          <w:rPr>
            <w:webHidden/>
          </w:rPr>
          <w:instrText xml:space="preserve"> PAGEREF _Toc281925037 \h </w:instrText>
        </w:r>
        <w:r>
          <w:rPr>
            <w:webHidden/>
          </w:rPr>
          <w:fldChar w:fldCharType="separate"/>
        </w:r>
        <w:r>
          <w:rPr>
            <w:webHidden/>
          </w:rPr>
          <w:t>16</w:t>
        </w:r>
        <w:r>
          <w:rPr>
            <w:webHidden/>
          </w:rPr>
          <w:fldChar w:fldCharType="end"/>
        </w:r>
      </w:hyperlink>
    </w:p>
    <w:p w:rsidR="002E3DE8" w:rsidRDefault="002E3DE8">
      <w:pPr>
        <w:pStyle w:val="Inhopg1"/>
        <w:tabs>
          <w:tab w:val="left" w:pos="480"/>
        </w:tabs>
        <w:rPr>
          <w:sz w:val="24"/>
        </w:rPr>
      </w:pPr>
      <w:hyperlink w:anchor="_Toc281925038" w:history="1">
        <w:r>
          <w:rPr>
            <w:rStyle w:val="Hyperlink"/>
          </w:rPr>
          <w:t>32.</w:t>
        </w:r>
        <w:r>
          <w:rPr>
            <w:sz w:val="24"/>
          </w:rPr>
          <w:tab/>
        </w:r>
        <w:r>
          <w:rPr>
            <w:rStyle w:val="Hyperlink"/>
            <w:b/>
          </w:rPr>
          <w:t>Exit assistentie</w:t>
        </w:r>
        <w:r>
          <w:rPr>
            <w:webHidden/>
          </w:rPr>
          <w:tab/>
        </w:r>
        <w:r>
          <w:rPr>
            <w:webHidden/>
          </w:rPr>
          <w:fldChar w:fldCharType="begin"/>
        </w:r>
        <w:r>
          <w:rPr>
            <w:webHidden/>
          </w:rPr>
          <w:instrText xml:space="preserve"> PAGEREF _Toc281925038 \h </w:instrText>
        </w:r>
        <w:r>
          <w:rPr>
            <w:webHidden/>
          </w:rPr>
          <w:fldChar w:fldCharType="separate"/>
        </w:r>
        <w:r>
          <w:rPr>
            <w:webHidden/>
          </w:rPr>
          <w:t>17</w:t>
        </w:r>
        <w:r>
          <w:rPr>
            <w:webHidden/>
          </w:rPr>
          <w:fldChar w:fldCharType="end"/>
        </w:r>
      </w:hyperlink>
    </w:p>
    <w:p w:rsidR="002E3DE8" w:rsidRDefault="002E3DE8">
      <w:pPr>
        <w:pStyle w:val="Inhopg1"/>
        <w:tabs>
          <w:tab w:val="left" w:pos="480"/>
        </w:tabs>
        <w:rPr>
          <w:sz w:val="24"/>
        </w:rPr>
      </w:pPr>
      <w:hyperlink w:anchor="_Toc281925039" w:history="1">
        <w:r>
          <w:rPr>
            <w:rStyle w:val="Hyperlink"/>
            <w:szCs w:val="21"/>
          </w:rPr>
          <w:t>XI.</w:t>
        </w:r>
        <w:r>
          <w:rPr>
            <w:sz w:val="24"/>
          </w:rPr>
          <w:tab/>
        </w:r>
        <w:r>
          <w:rPr>
            <w:rStyle w:val="Hyperlink"/>
            <w:szCs w:val="21"/>
          </w:rPr>
          <w:t>TOEPASSELIJK RECHT EN GESCHILLENREGELING</w:t>
        </w:r>
        <w:r>
          <w:rPr>
            <w:webHidden/>
          </w:rPr>
          <w:tab/>
        </w:r>
        <w:r>
          <w:rPr>
            <w:webHidden/>
          </w:rPr>
          <w:fldChar w:fldCharType="begin"/>
        </w:r>
        <w:r>
          <w:rPr>
            <w:webHidden/>
          </w:rPr>
          <w:instrText xml:space="preserve"> PAGEREF _Toc281925039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0" w:history="1">
        <w:r>
          <w:rPr>
            <w:rStyle w:val="Hyperlink"/>
          </w:rPr>
          <w:t>33.</w:t>
        </w:r>
        <w:r>
          <w:rPr>
            <w:sz w:val="24"/>
          </w:rPr>
          <w:tab/>
        </w:r>
        <w:r>
          <w:rPr>
            <w:rStyle w:val="Hyperlink"/>
            <w:b/>
          </w:rPr>
          <w:t>Toepasselijk recht</w:t>
        </w:r>
        <w:r>
          <w:rPr>
            <w:webHidden/>
          </w:rPr>
          <w:tab/>
        </w:r>
        <w:r>
          <w:rPr>
            <w:webHidden/>
          </w:rPr>
          <w:fldChar w:fldCharType="begin"/>
        </w:r>
        <w:r>
          <w:rPr>
            <w:webHidden/>
          </w:rPr>
          <w:instrText xml:space="preserve"> PAGEREF _Toc281925040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1" w:history="1">
        <w:r>
          <w:rPr>
            <w:rStyle w:val="Hyperlink"/>
          </w:rPr>
          <w:t>34.</w:t>
        </w:r>
        <w:r>
          <w:rPr>
            <w:sz w:val="24"/>
          </w:rPr>
          <w:tab/>
        </w:r>
        <w:r>
          <w:rPr>
            <w:rStyle w:val="Hyperlink"/>
            <w:b/>
          </w:rPr>
          <w:t>Geschillenregeling</w:t>
        </w:r>
        <w:r>
          <w:rPr>
            <w:webHidden/>
          </w:rPr>
          <w:tab/>
        </w:r>
        <w:r>
          <w:rPr>
            <w:webHidden/>
          </w:rPr>
          <w:fldChar w:fldCharType="begin"/>
        </w:r>
        <w:r>
          <w:rPr>
            <w:webHidden/>
          </w:rPr>
          <w:instrText xml:space="preserve"> PAGEREF _Toc281925041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2" w:history="1">
        <w:r>
          <w:rPr>
            <w:rStyle w:val="Hyperlink"/>
          </w:rPr>
          <w:t>35.</w:t>
        </w:r>
        <w:r>
          <w:rPr>
            <w:sz w:val="24"/>
          </w:rPr>
          <w:tab/>
        </w:r>
        <w:r>
          <w:rPr>
            <w:rStyle w:val="Hyperlink"/>
            <w:b/>
          </w:rPr>
          <w:t>Bevoegde [rechter/arbitrage]</w:t>
        </w:r>
        <w:r>
          <w:rPr>
            <w:webHidden/>
          </w:rPr>
          <w:tab/>
        </w:r>
        <w:r>
          <w:rPr>
            <w:webHidden/>
          </w:rPr>
          <w:fldChar w:fldCharType="begin"/>
        </w:r>
        <w:r>
          <w:rPr>
            <w:webHidden/>
          </w:rPr>
          <w:instrText xml:space="preserve"> PAGEREF _Toc281925042 \h </w:instrText>
        </w:r>
        <w:r>
          <w:rPr>
            <w:webHidden/>
          </w:rPr>
          <w:fldChar w:fldCharType="separate"/>
        </w:r>
        <w:r>
          <w:rPr>
            <w:webHidden/>
          </w:rPr>
          <w:t>18</w:t>
        </w:r>
        <w:r>
          <w:rPr>
            <w:webHidden/>
          </w:rPr>
          <w:fldChar w:fldCharType="end"/>
        </w:r>
      </w:hyperlink>
    </w:p>
    <w:p w:rsidR="002E3DE8" w:rsidRDefault="002E3DE8">
      <w:pPr>
        <w:pStyle w:val="Inhopg1"/>
        <w:tabs>
          <w:tab w:val="left" w:pos="720"/>
        </w:tabs>
        <w:rPr>
          <w:sz w:val="24"/>
        </w:rPr>
      </w:pPr>
      <w:hyperlink w:anchor="_Toc281925043" w:history="1">
        <w:r>
          <w:rPr>
            <w:rStyle w:val="Hyperlink"/>
            <w:szCs w:val="21"/>
          </w:rPr>
          <w:t>XII.</w:t>
        </w:r>
        <w:r>
          <w:rPr>
            <w:sz w:val="24"/>
          </w:rPr>
          <w:tab/>
        </w:r>
        <w:r>
          <w:rPr>
            <w:rStyle w:val="Hyperlink"/>
            <w:szCs w:val="21"/>
          </w:rPr>
          <w:t>ALGEMENE BEPALINGEN</w:t>
        </w:r>
        <w:r>
          <w:rPr>
            <w:webHidden/>
          </w:rPr>
          <w:tab/>
        </w:r>
        <w:r>
          <w:rPr>
            <w:webHidden/>
          </w:rPr>
          <w:fldChar w:fldCharType="begin"/>
        </w:r>
        <w:r>
          <w:rPr>
            <w:webHidden/>
          </w:rPr>
          <w:instrText xml:space="preserve"> PAGEREF _Toc281925043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4" w:history="1">
        <w:r>
          <w:rPr>
            <w:rStyle w:val="Hyperlink"/>
          </w:rPr>
          <w:t>36.</w:t>
        </w:r>
        <w:r>
          <w:rPr>
            <w:sz w:val="24"/>
          </w:rPr>
          <w:tab/>
        </w:r>
        <w:r>
          <w:rPr>
            <w:rStyle w:val="Hyperlink"/>
            <w:b/>
          </w:rPr>
          <w:t>Rangorde</w:t>
        </w:r>
        <w:r>
          <w:rPr>
            <w:webHidden/>
          </w:rPr>
          <w:tab/>
        </w:r>
        <w:r>
          <w:rPr>
            <w:webHidden/>
          </w:rPr>
          <w:fldChar w:fldCharType="begin"/>
        </w:r>
        <w:r>
          <w:rPr>
            <w:webHidden/>
          </w:rPr>
          <w:instrText xml:space="preserve"> PAGEREF _Toc281925044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5" w:history="1">
        <w:r>
          <w:rPr>
            <w:rStyle w:val="Hyperlink"/>
          </w:rPr>
          <w:t>37.</w:t>
        </w:r>
        <w:r>
          <w:rPr>
            <w:sz w:val="24"/>
          </w:rPr>
          <w:tab/>
        </w:r>
        <w:r>
          <w:rPr>
            <w:rStyle w:val="Hyperlink"/>
            <w:b/>
          </w:rPr>
          <w:t>Onderaanneming</w:t>
        </w:r>
        <w:r>
          <w:rPr>
            <w:webHidden/>
          </w:rPr>
          <w:tab/>
        </w:r>
        <w:r>
          <w:rPr>
            <w:webHidden/>
          </w:rPr>
          <w:fldChar w:fldCharType="begin"/>
        </w:r>
        <w:r>
          <w:rPr>
            <w:webHidden/>
          </w:rPr>
          <w:instrText xml:space="preserve"> PAGEREF _Toc281925045 \h </w:instrText>
        </w:r>
        <w:r>
          <w:rPr>
            <w:webHidden/>
          </w:rPr>
          <w:fldChar w:fldCharType="separate"/>
        </w:r>
        <w:r>
          <w:rPr>
            <w:webHidden/>
          </w:rPr>
          <w:t>18</w:t>
        </w:r>
        <w:r>
          <w:rPr>
            <w:webHidden/>
          </w:rPr>
          <w:fldChar w:fldCharType="end"/>
        </w:r>
      </w:hyperlink>
    </w:p>
    <w:p w:rsidR="002E3DE8" w:rsidRDefault="002E3DE8">
      <w:pPr>
        <w:pStyle w:val="Inhopg1"/>
        <w:tabs>
          <w:tab w:val="left" w:pos="480"/>
        </w:tabs>
        <w:rPr>
          <w:sz w:val="24"/>
        </w:rPr>
      </w:pPr>
      <w:hyperlink w:anchor="_Toc281925046" w:history="1">
        <w:r>
          <w:rPr>
            <w:rStyle w:val="Hyperlink"/>
          </w:rPr>
          <w:t>38.</w:t>
        </w:r>
        <w:r>
          <w:rPr>
            <w:sz w:val="24"/>
          </w:rPr>
          <w:tab/>
        </w:r>
        <w:r>
          <w:rPr>
            <w:rStyle w:val="Hyperlink"/>
            <w:b/>
          </w:rPr>
          <w:t>Overdracht</w:t>
        </w:r>
        <w:r>
          <w:rPr>
            <w:webHidden/>
          </w:rPr>
          <w:tab/>
        </w:r>
        <w:r>
          <w:rPr>
            <w:webHidden/>
          </w:rPr>
          <w:fldChar w:fldCharType="begin"/>
        </w:r>
        <w:r>
          <w:rPr>
            <w:webHidden/>
          </w:rPr>
          <w:instrText xml:space="preserve"> PAGEREF _Toc281925046 \h </w:instrText>
        </w:r>
        <w:r>
          <w:rPr>
            <w:webHidden/>
          </w:rPr>
          <w:fldChar w:fldCharType="separate"/>
        </w:r>
        <w:r>
          <w:rPr>
            <w:webHidden/>
          </w:rPr>
          <w:t>19</w:t>
        </w:r>
        <w:r>
          <w:rPr>
            <w:webHidden/>
          </w:rPr>
          <w:fldChar w:fldCharType="end"/>
        </w:r>
      </w:hyperlink>
    </w:p>
    <w:p w:rsidR="002E3DE8" w:rsidRDefault="002E3DE8">
      <w:pPr>
        <w:pStyle w:val="Inhopg1"/>
        <w:tabs>
          <w:tab w:val="left" w:pos="480"/>
        </w:tabs>
        <w:rPr>
          <w:sz w:val="24"/>
        </w:rPr>
      </w:pPr>
      <w:hyperlink w:anchor="_Toc281925047" w:history="1">
        <w:r>
          <w:rPr>
            <w:rStyle w:val="Hyperlink"/>
          </w:rPr>
          <w:t>39.</w:t>
        </w:r>
        <w:r>
          <w:rPr>
            <w:sz w:val="24"/>
          </w:rPr>
          <w:tab/>
        </w:r>
        <w:r>
          <w:rPr>
            <w:rStyle w:val="Hyperlink"/>
            <w:b/>
          </w:rPr>
          <w:t>Kennisgevingen</w:t>
        </w:r>
        <w:r>
          <w:rPr>
            <w:webHidden/>
          </w:rPr>
          <w:tab/>
        </w:r>
        <w:r>
          <w:rPr>
            <w:webHidden/>
          </w:rPr>
          <w:fldChar w:fldCharType="begin"/>
        </w:r>
        <w:r>
          <w:rPr>
            <w:webHidden/>
          </w:rPr>
          <w:instrText xml:space="preserve"> PAGEREF _Toc281925047 \h </w:instrText>
        </w:r>
        <w:r>
          <w:rPr>
            <w:webHidden/>
          </w:rPr>
          <w:fldChar w:fldCharType="separate"/>
        </w:r>
        <w:r>
          <w:rPr>
            <w:webHidden/>
          </w:rPr>
          <w:t>19</w:t>
        </w:r>
        <w:r>
          <w:rPr>
            <w:webHidden/>
          </w:rPr>
          <w:fldChar w:fldCharType="end"/>
        </w:r>
      </w:hyperlink>
    </w:p>
    <w:p w:rsidR="002E3DE8" w:rsidRDefault="002E3DE8">
      <w:pPr>
        <w:pStyle w:val="Inhopg1"/>
        <w:tabs>
          <w:tab w:val="left" w:pos="480"/>
        </w:tabs>
        <w:rPr>
          <w:sz w:val="24"/>
        </w:rPr>
      </w:pPr>
      <w:hyperlink w:anchor="_Toc281925048" w:history="1">
        <w:r>
          <w:rPr>
            <w:rStyle w:val="Hyperlink"/>
          </w:rPr>
          <w:t>40.</w:t>
        </w:r>
        <w:r>
          <w:rPr>
            <w:sz w:val="24"/>
          </w:rPr>
          <w:tab/>
        </w:r>
        <w:r>
          <w:rPr>
            <w:rStyle w:val="Hyperlink"/>
            <w:b/>
          </w:rPr>
          <w:t>Overige</w:t>
        </w:r>
        <w:r>
          <w:rPr>
            <w:webHidden/>
          </w:rPr>
          <w:tab/>
        </w:r>
        <w:r>
          <w:rPr>
            <w:webHidden/>
          </w:rPr>
          <w:fldChar w:fldCharType="begin"/>
        </w:r>
        <w:r>
          <w:rPr>
            <w:webHidden/>
          </w:rPr>
          <w:instrText xml:space="preserve"> PAGEREF _Toc281925048 \h </w:instrText>
        </w:r>
        <w:r>
          <w:rPr>
            <w:webHidden/>
          </w:rPr>
          <w:fldChar w:fldCharType="separate"/>
        </w:r>
        <w:r>
          <w:rPr>
            <w:webHidden/>
          </w:rPr>
          <w:t>19</w:t>
        </w:r>
        <w:r>
          <w:rPr>
            <w:webHidden/>
          </w:rPr>
          <w:fldChar w:fldCharType="end"/>
        </w:r>
      </w:hyperlink>
    </w:p>
    <w:p w:rsidR="002E3DE8" w:rsidRDefault="002E3DE8">
      <w:pPr>
        <w:spacing w:line="270" w:lineRule="exact"/>
        <w:rPr>
          <w:b/>
        </w:rPr>
      </w:pPr>
      <w:r>
        <w:rPr>
          <w:b/>
        </w:rPr>
        <w:fldChar w:fldCharType="end"/>
      </w:r>
    </w:p>
    <w:p w:rsidR="002E3DE8" w:rsidRDefault="002E3DE8" w:rsidP="002E3DE8">
      <w:pPr>
        <w:pStyle w:val="Kop1"/>
        <w:numPr>
          <w:ilvl w:val="2"/>
          <w:numId w:val="10"/>
        </w:numPr>
        <w:spacing w:line="270" w:lineRule="exact"/>
        <w:rPr>
          <w:rFonts w:ascii="Times New Roman" w:hAnsi="Times New Roman" w:cs="Times New Roman"/>
          <w:sz w:val="24"/>
        </w:rPr>
      </w:pPr>
      <w:r>
        <w:rPr>
          <w:rFonts w:ascii="Times New Roman" w:hAnsi="Times New Roman" w:cs="Times New Roman"/>
          <w:sz w:val="24"/>
        </w:rPr>
        <w:br w:type="page"/>
      </w:r>
      <w:bookmarkStart w:id="5" w:name="_Toc266967317"/>
      <w:bookmarkStart w:id="6" w:name="_Toc266967380"/>
      <w:bookmarkStart w:id="7" w:name="_Toc281924997"/>
      <w:r>
        <w:rPr>
          <w:rFonts w:ascii="Times New Roman" w:hAnsi="Times New Roman" w:cs="Times New Roman"/>
          <w:sz w:val="24"/>
        </w:rPr>
        <w:lastRenderedPageBreak/>
        <w:t>DEFINITIES</w:t>
      </w:r>
      <w:bookmarkEnd w:id="5"/>
      <w:bookmarkEnd w:id="6"/>
      <w:bookmarkEnd w:id="7"/>
    </w:p>
    <w:p w:rsidR="002E3DE8" w:rsidRDefault="002E3DE8">
      <w:pPr>
        <w:pStyle w:val="Sourcingcontractlevel1"/>
        <w:spacing w:line="270" w:lineRule="exact"/>
        <w:rPr>
          <w:b/>
          <w:bCs/>
        </w:rPr>
      </w:pPr>
      <w:bookmarkStart w:id="8" w:name="_Toc252437398"/>
      <w:bookmarkStart w:id="9" w:name="_Toc266947946"/>
      <w:bookmarkStart w:id="10" w:name="_Toc266967381"/>
      <w:bookmarkStart w:id="11" w:name="_Toc281924998"/>
      <w:r>
        <w:rPr>
          <w:b/>
          <w:bCs/>
        </w:rPr>
        <w:t>Definities</w:t>
      </w:r>
      <w:bookmarkEnd w:id="8"/>
      <w:bookmarkEnd w:id="9"/>
      <w:bookmarkEnd w:id="10"/>
      <w:bookmarkEnd w:id="11"/>
    </w:p>
    <w:p w:rsidR="002E3DE8" w:rsidRDefault="002E3DE8">
      <w:pPr>
        <w:pStyle w:val="Sourcingcontractlevel2"/>
        <w:tabs>
          <w:tab w:val="clear" w:pos="709"/>
          <w:tab w:val="left" w:pos="720"/>
        </w:tabs>
        <w:spacing w:line="270" w:lineRule="exact"/>
        <w:ind w:left="720" w:hanging="720"/>
      </w:pPr>
      <w:r>
        <w:t xml:space="preserve">De in deze Overeenkomst opgenomen termen welke met een beginhoofdletter zijn geschreven, zijn gedefinieerd en hebben de betekenis zoals opgenomen in </w:t>
      </w:r>
      <w:r>
        <w:rPr>
          <w:b/>
          <w:bCs/>
        </w:rPr>
        <w:t>Bijlage 2 (Definities)</w:t>
      </w:r>
      <w:r>
        <w:t>.</w:t>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12" w:name="_Toc281924999"/>
      <w:r>
        <w:rPr>
          <w:rFonts w:ascii="Times New Roman" w:hAnsi="Times New Roman" w:cs="Times New Roman"/>
          <w:sz w:val="24"/>
        </w:rPr>
        <w:t>OVERNAME</w:t>
      </w:r>
      <w:bookmarkEnd w:id="12"/>
    </w:p>
    <w:p w:rsidR="002E3DE8" w:rsidRDefault="002E3DE8">
      <w:pPr>
        <w:pStyle w:val="Sourcingcontractlevel1"/>
        <w:spacing w:line="270" w:lineRule="exact"/>
        <w:rPr>
          <w:b/>
          <w:bCs/>
        </w:rPr>
      </w:pPr>
      <w:bookmarkStart w:id="13" w:name="_Toc281925000"/>
      <w:r>
        <w:rPr>
          <w:b/>
          <w:bCs/>
        </w:rPr>
        <w:t>Overname</w:t>
      </w:r>
      <w:r>
        <w:rPr>
          <w:rStyle w:val="Voetnootmarkering"/>
        </w:rPr>
        <w:footnoteReference w:id="5"/>
      </w:r>
      <w:bookmarkEnd w:id="13"/>
    </w:p>
    <w:p w:rsidR="002E3DE8" w:rsidRDefault="002E3DE8">
      <w:pPr>
        <w:pStyle w:val="Sourcingcontractlevel2"/>
        <w:tabs>
          <w:tab w:val="clear" w:pos="709"/>
          <w:tab w:val="left" w:pos="720"/>
        </w:tabs>
        <w:spacing w:line="270" w:lineRule="exact"/>
        <w:ind w:left="720" w:hanging="720"/>
      </w:pPr>
      <w:r>
        <w:t xml:space="preserve">In het kader van de onderhavige outsourcing zijn partijen heden de als </w:t>
      </w:r>
      <w:r>
        <w:rPr>
          <w:b/>
          <w:bCs/>
        </w:rPr>
        <w:t>Bijlage 3 (Overnameovereenkomst)</w:t>
      </w:r>
      <w:r>
        <w:t xml:space="preserve"> bijgesloten overnameovereenkomst aangegaan.</w:t>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14" w:name="_Toc281925001"/>
      <w:r>
        <w:rPr>
          <w:rFonts w:ascii="Times New Roman" w:hAnsi="Times New Roman" w:cs="Times New Roman"/>
          <w:sz w:val="24"/>
        </w:rPr>
        <w:t>TRANSITIE EN TRANSFORMATIE</w:t>
      </w:r>
      <w:bookmarkEnd w:id="14"/>
    </w:p>
    <w:p w:rsidR="002E3DE8" w:rsidRDefault="002E3DE8">
      <w:pPr>
        <w:pStyle w:val="Sourcingcontractlevel1"/>
        <w:spacing w:line="270" w:lineRule="exact"/>
        <w:rPr>
          <w:b/>
          <w:bCs/>
        </w:rPr>
      </w:pPr>
      <w:bookmarkStart w:id="15" w:name="_Toc281925002"/>
      <w:r>
        <w:rPr>
          <w:b/>
          <w:bCs/>
        </w:rPr>
        <w:t>Transitie en Transformatie</w:t>
      </w:r>
      <w:bookmarkEnd w:id="15"/>
    </w:p>
    <w:p w:rsidR="002E3DE8" w:rsidRDefault="002E3DE8">
      <w:pPr>
        <w:pStyle w:val="Sourcingcontractlevel2"/>
        <w:tabs>
          <w:tab w:val="clear" w:pos="709"/>
          <w:tab w:val="left" w:pos="720"/>
        </w:tabs>
        <w:spacing w:line="270" w:lineRule="exact"/>
        <w:ind w:left="720" w:hanging="720"/>
      </w:pPr>
      <w:r>
        <w:t>Doel van de Transitie is om de verantwoordelijkheid voor het verrichten van de Diensten over te doen op Leverancier. Partijen verplichten zich daartoe het Transitieplan uit te voeren. De Transitie wordt afgesloten met een acceptatietest conform de Acceptatieprocedure. Na acceptatie wordt de Transitie geacht te zijn voltooid.</w:t>
      </w:r>
      <w:r>
        <w:rPr>
          <w:rStyle w:val="Voetnootmarkering"/>
        </w:rPr>
        <w:footnoteReference w:id="6"/>
      </w:r>
    </w:p>
    <w:p w:rsidR="002E3DE8" w:rsidRDefault="002E3DE8">
      <w:pPr>
        <w:pStyle w:val="Sourcingcontractlevel2"/>
        <w:tabs>
          <w:tab w:val="clear" w:pos="709"/>
          <w:tab w:val="left" w:pos="720"/>
        </w:tabs>
        <w:spacing w:line="270" w:lineRule="exact"/>
        <w:ind w:left="720" w:hanging="720"/>
      </w:pPr>
      <w:r>
        <w:t>Doel van de Transformatie is om aansluitend op de Transitie (of voor delen van de Transformatie al gedurende de Transitie) de manier waarop de gesourcede activiteiten worden uitgevoerd en/of als Diensten worden aangeboden te wijzigen, opdat de Diensten [meer gestandaardiseerd/kostenefficiënter/etc.] kunnen worden uitgevoerd. Partijen verplichten zich daartoe het Transformatieplan uit te voeren. De Transformatie wordt afgesloten met een acceptatietest conform de Acceptatieprocedure. Na acceptatie wordt de Transformatie geacht te zijn voltooid.</w:t>
      </w:r>
      <w:r>
        <w:rPr>
          <w:rStyle w:val="Voetnootmarkering"/>
        </w:rPr>
        <w:footnoteReference w:id="7"/>
      </w:r>
    </w:p>
    <w:p w:rsidR="002E3DE8" w:rsidRDefault="002E3DE8" w:rsidP="002E3DE8">
      <w:pPr>
        <w:pStyle w:val="Kop1"/>
        <w:numPr>
          <w:ilvl w:val="2"/>
          <w:numId w:val="10"/>
        </w:numPr>
        <w:spacing w:line="270" w:lineRule="exact"/>
      </w:pPr>
      <w:bookmarkStart w:id="16" w:name="_Toc266967320"/>
      <w:bookmarkStart w:id="17" w:name="_Toc266967386"/>
      <w:bookmarkStart w:id="18" w:name="_Toc281925003"/>
      <w:r>
        <w:rPr>
          <w:rFonts w:ascii="Times New Roman" w:hAnsi="Times New Roman" w:cs="Times New Roman"/>
          <w:sz w:val="24"/>
        </w:rPr>
        <w:lastRenderedPageBreak/>
        <w:t>DIENSTVERLENING</w:t>
      </w:r>
      <w:bookmarkEnd w:id="16"/>
      <w:bookmarkEnd w:id="17"/>
      <w:bookmarkEnd w:id="18"/>
    </w:p>
    <w:p w:rsidR="002E3DE8" w:rsidRDefault="002E3DE8">
      <w:pPr>
        <w:pStyle w:val="Sourcingcontractlevel1"/>
        <w:spacing w:line="270" w:lineRule="exact"/>
      </w:pPr>
      <w:bookmarkStart w:id="19" w:name="_Toc266947948"/>
      <w:bookmarkStart w:id="20" w:name="_Toc266967387"/>
      <w:bookmarkStart w:id="21" w:name="_Toc281925004"/>
      <w:r>
        <w:rPr>
          <w:b/>
          <w:bCs/>
        </w:rPr>
        <w:t>Algemene verplichtingen Leverancier</w:t>
      </w:r>
      <w:bookmarkEnd w:id="19"/>
      <w:bookmarkEnd w:id="20"/>
      <w:bookmarkEnd w:id="21"/>
    </w:p>
    <w:p w:rsidR="002E3DE8" w:rsidRDefault="002E3DE8">
      <w:pPr>
        <w:pStyle w:val="Sourcingcontractlevel2"/>
        <w:tabs>
          <w:tab w:val="clear" w:pos="709"/>
          <w:tab w:val="left" w:pos="720"/>
        </w:tabs>
        <w:spacing w:line="270" w:lineRule="exact"/>
        <w:ind w:left="720" w:hanging="720"/>
        <w:rPr>
          <w:bCs/>
        </w:rPr>
      </w:pPr>
      <w:r>
        <w:rPr>
          <w:bCs/>
        </w:rPr>
        <w:t xml:space="preserve">Vanaf </w:t>
      </w:r>
      <w:r>
        <w:t>Ingangsdatum</w:t>
      </w:r>
      <w:r>
        <w:rPr>
          <w:bCs/>
        </w:rPr>
        <w:t xml:space="preserve"> verplicht Leverancier zich de verplichtingen uit te voeren die krachtens deze Overeenkomst (inclusief Transitieplan, Transformatieplan, SLA en DAP) op hem rusten.</w:t>
      </w:r>
      <w:r>
        <w:rPr>
          <w:rStyle w:val="Voetnootmarkering"/>
          <w:bCs/>
        </w:rPr>
        <w:footnoteReference w:id="8"/>
      </w:r>
      <w:r>
        <w:rPr>
          <w:bCs/>
        </w:rPr>
        <w:tab/>
      </w:r>
    </w:p>
    <w:p w:rsidR="002E3DE8" w:rsidRDefault="002E3DE8">
      <w:pPr>
        <w:pStyle w:val="Sourcingcontractlevel2"/>
        <w:tabs>
          <w:tab w:val="clear" w:pos="709"/>
          <w:tab w:val="left" w:pos="720"/>
        </w:tabs>
        <w:spacing w:line="270" w:lineRule="exact"/>
        <w:ind w:left="720" w:hanging="720"/>
      </w:pPr>
      <w:r>
        <w:rPr>
          <w:bCs/>
        </w:rPr>
        <w:t>Leverancier verplicht zich bij de uitvoering van deze Overeenkomst te voldoen aan de mate van zorgvuldigheid die van een redelijk handelende, bekwame en professionele leverancier onder vergelijkbare omstandigheden en onder vergelijkbare contractuele voorwaarden geëist mag worden.</w:t>
      </w:r>
    </w:p>
    <w:p w:rsidR="002E3DE8" w:rsidRDefault="002E3DE8">
      <w:pPr>
        <w:pStyle w:val="Sourcingcontractlevel2"/>
        <w:spacing w:line="270" w:lineRule="exact"/>
        <w:rPr>
          <w:strike/>
        </w:rPr>
      </w:pPr>
      <w:r>
        <w:t xml:space="preserve">Leverancier verplicht zich de Overeenkomst uit te voeren in overeenstemming met de op hem van toepassing zijnde wet- en regelgeving. [Tevens verplicht Leverancier zich om de Overeenkomst uit te voeren conform de interne regels en procedures van Klant, zoals die zijn opgenomen in </w:t>
      </w:r>
      <w:r>
        <w:rPr>
          <w:b/>
        </w:rPr>
        <w:t>Bijlage […]</w:t>
      </w:r>
      <w:r>
        <w:t xml:space="preserve">.] [Leverancier zal er bovendien voor zorgen dat hij handelt conform het bepaalde in de relevante toezichtwet- en regelgeving die specifiek op de Diensten van toepassing zijn als de Klant de Diensten zelf zou uitvoeren [en die nader omschreven zijn in </w:t>
      </w:r>
      <w:r>
        <w:rPr>
          <w:b/>
        </w:rPr>
        <w:t>Bijlage […]</w:t>
      </w:r>
      <w:r>
        <w:t>]. De kosten die voor Leverancier voortvloeien uit het naleven van haar verplichtingen op grond van de vorige [twee] volzin[nen] zijn voor rekening van [Leverancier/Klant].]</w:t>
      </w:r>
      <w:r>
        <w:rPr>
          <w:rStyle w:val="Voetnootmarkering"/>
        </w:rPr>
        <w:footnoteReference w:id="9"/>
      </w:r>
      <w:r>
        <w:rPr>
          <w:strike/>
        </w:rPr>
        <w:t xml:space="preserve"> </w:t>
      </w:r>
    </w:p>
    <w:p w:rsidR="002E3DE8" w:rsidRDefault="002E3DE8">
      <w:pPr>
        <w:pStyle w:val="Sourcingcontractlevel2"/>
        <w:tabs>
          <w:tab w:val="clear" w:pos="709"/>
          <w:tab w:val="left" w:pos="720"/>
        </w:tabs>
        <w:spacing w:line="270" w:lineRule="exact"/>
        <w:ind w:left="720" w:hanging="720"/>
      </w:pPr>
      <w:r>
        <w:t xml:space="preserve">Leverancier </w:t>
      </w:r>
      <w:r>
        <w:rPr>
          <w:bCs/>
        </w:rPr>
        <w:t>verplicht</w:t>
      </w:r>
      <w:r>
        <w:t xml:space="preserve"> zich om zijn personeel voldoende vertrouwd te maken met de onderneming van Klant en de wijze waarop de Diensten worden gebruikt voor zover dit noodzakelijk is voor een goede uitvoering van de Overeenkomst.</w:t>
      </w:r>
    </w:p>
    <w:p w:rsidR="002E3DE8" w:rsidRDefault="002E3DE8">
      <w:pPr>
        <w:pStyle w:val="Sourcingcontractlevel2"/>
        <w:tabs>
          <w:tab w:val="clear" w:pos="709"/>
          <w:tab w:val="left" w:pos="720"/>
        </w:tabs>
        <w:spacing w:line="270" w:lineRule="exact"/>
        <w:ind w:left="720" w:hanging="720"/>
      </w:pPr>
      <w:r>
        <w:t>Leverancier verplicht zich op eerste redelijke verzoek tegen de overeengekomen tarieven trainingen te verzorgen aan het personeel van Klant om dit personeel vertrouwd te maken met de Diensten en gebruiksmogelijkheden.</w:t>
      </w:r>
    </w:p>
    <w:p w:rsidR="002E3DE8" w:rsidRDefault="002E3DE8">
      <w:pPr>
        <w:pStyle w:val="Sourcingcontractlevel2"/>
        <w:tabs>
          <w:tab w:val="clear" w:pos="709"/>
          <w:tab w:val="left" w:pos="720"/>
        </w:tabs>
        <w:spacing w:line="270" w:lineRule="exact"/>
        <w:ind w:left="720" w:hanging="720"/>
        <w:rPr>
          <w:bCs/>
        </w:rPr>
      </w:pPr>
      <w:r>
        <w:rPr>
          <w:bCs/>
        </w:rPr>
        <w:t xml:space="preserve">Voor zover Leverancier werkzaamheden verricht op locatie van de Klant, verplicht hij zich om zijn personeel de toepasselijke huisregels van de Klant na te laten leven, voor zover deze vooraf aan </w:t>
      </w:r>
      <w:r>
        <w:t>Leverancier</w:t>
      </w:r>
      <w:r>
        <w:rPr>
          <w:bCs/>
        </w:rPr>
        <w:t xml:space="preserve"> beschikbaar zijn gesteld. In geval van wijzigingen van de toepasselijke huisregels</w:t>
      </w:r>
      <w:r>
        <w:t xml:space="preserve">, zullen partijen de eventuele gevolgen daarvan voor de Diensten of Vergoedingen overeenkomen door middel van </w:t>
      </w:r>
      <w:r>
        <w:rPr>
          <w:bCs/>
        </w:rPr>
        <w:t>de wijzigingsprocedure in artikel [</w:t>
      </w:r>
      <w:r>
        <w:rPr>
          <w:bCs/>
        </w:rPr>
        <w:fldChar w:fldCharType="begin"/>
      </w:r>
      <w:r>
        <w:rPr>
          <w:bCs/>
        </w:rPr>
        <w:instrText xml:space="preserve"> REF _Ref280195742 \r \h </w:instrText>
      </w:r>
      <w:r>
        <w:rPr>
          <w:bCs/>
        </w:rPr>
      </w:r>
      <w:r>
        <w:rPr>
          <w:bCs/>
        </w:rPr>
        <w:instrText xml:space="preserve"> \* MERGEFORMAT </w:instrText>
      </w:r>
      <w:r>
        <w:rPr>
          <w:bCs/>
        </w:rPr>
        <w:fldChar w:fldCharType="separate"/>
      </w:r>
      <w:r>
        <w:rPr>
          <w:bCs/>
        </w:rPr>
        <w:t>14</w:t>
      </w:r>
      <w:r>
        <w:rPr>
          <w:bCs/>
        </w:rPr>
        <w:fldChar w:fldCharType="end"/>
      </w:r>
      <w:r>
        <w:rPr>
          <w:bCs/>
        </w:rPr>
        <w:t>] van toepassing.</w:t>
      </w:r>
    </w:p>
    <w:p w:rsidR="002E3DE8" w:rsidRDefault="002E3DE8">
      <w:pPr>
        <w:pStyle w:val="Sourcingcontractlevel2"/>
        <w:tabs>
          <w:tab w:val="clear" w:pos="709"/>
          <w:tab w:val="left" w:pos="720"/>
        </w:tabs>
        <w:spacing w:line="270" w:lineRule="exact"/>
        <w:ind w:left="720" w:hanging="720"/>
      </w:pPr>
      <w:r>
        <w:rPr>
          <w:bCs/>
        </w:rPr>
        <w:lastRenderedPageBreak/>
        <w:t>Leverancier verplicht zich om, indien hij voor de uitvoering van de Overeenkomst over een of meerdere vergunningen dient te beschikken, waaronder begrepen tewerkstellingsvergunningen, er voor zorg te dragen dat hij tijdig en gedurende de gehele duur van deze Overeenkomst c.q. zolang de vergunning noodzakelijk is over deze vergunning(en) beschikt en zal voldoen aan de daarin gestelde eisen. Afwezigheid van een vergunning levert geen overmacht op in de zin van artikel [</w:t>
      </w:r>
      <w:r>
        <w:rPr>
          <w:bCs/>
        </w:rPr>
        <w:fldChar w:fldCharType="begin"/>
      </w:r>
      <w:r>
        <w:rPr>
          <w:bCs/>
        </w:rPr>
        <w:instrText xml:space="preserve"> REF _Ref280196429 \r \h </w:instrText>
      </w:r>
      <w:r>
        <w:rPr>
          <w:bCs/>
        </w:rPr>
      </w:r>
      <w:r>
        <w:rPr>
          <w:bCs/>
        </w:rPr>
        <w:instrText xml:space="preserve"> \* MERGEFORMAT </w:instrText>
      </w:r>
      <w:r>
        <w:rPr>
          <w:bCs/>
        </w:rPr>
        <w:fldChar w:fldCharType="separate"/>
      </w:r>
      <w:r>
        <w:rPr>
          <w:bCs/>
        </w:rPr>
        <w:t>25</w:t>
      </w:r>
      <w:r>
        <w:rPr>
          <w:bCs/>
        </w:rPr>
        <w:fldChar w:fldCharType="end"/>
      </w:r>
      <w:r>
        <w:rPr>
          <w:bCs/>
        </w:rPr>
        <w:t>]. [Leverancier vrijwaart Klant voor alle schade van Klant en alle boetes die Klant worden opgelegd doordat Leverancier de verplichtingen uit dit artikellid niet nakomt.]</w:t>
      </w:r>
      <w:r>
        <w:rPr>
          <w:rStyle w:val="Voetnootmarkering"/>
          <w:bCs/>
        </w:rPr>
        <w:footnoteReference w:id="10"/>
      </w:r>
    </w:p>
    <w:p w:rsidR="002E3DE8" w:rsidRDefault="002E3DE8">
      <w:pPr>
        <w:pStyle w:val="Sourcingcontractlevel1"/>
        <w:spacing w:line="270" w:lineRule="exact"/>
        <w:rPr>
          <w:b/>
          <w:bCs/>
        </w:rPr>
      </w:pPr>
      <w:bookmarkStart w:id="22" w:name="_Toc281925005"/>
      <w:r>
        <w:rPr>
          <w:b/>
          <w:bCs/>
        </w:rPr>
        <w:t>Algemene verplichtingen Klant</w:t>
      </w:r>
      <w:bookmarkEnd w:id="22"/>
    </w:p>
    <w:p w:rsidR="002E3DE8" w:rsidRDefault="002E3DE8">
      <w:pPr>
        <w:pStyle w:val="Sourcingcontractlevel2"/>
        <w:tabs>
          <w:tab w:val="clear" w:pos="709"/>
          <w:tab w:val="left" w:pos="720"/>
        </w:tabs>
        <w:spacing w:line="270" w:lineRule="exact"/>
        <w:ind w:left="720" w:hanging="720"/>
      </w:pPr>
      <w:r>
        <w:t xml:space="preserve">Vanaf </w:t>
      </w:r>
      <w:r>
        <w:rPr>
          <w:bCs/>
        </w:rPr>
        <w:t>Ingangsdatum</w:t>
      </w:r>
      <w:r>
        <w:t xml:space="preserve"> verplicht Klant zich de verplichtingen uit te voeren die krachtens deze Overeenkomst (inclusief Transitieplan, Transformatieplan, SLA, DAP en DFA) op hem rusten.</w:t>
      </w:r>
    </w:p>
    <w:p w:rsidR="002E3DE8" w:rsidRDefault="002E3DE8">
      <w:pPr>
        <w:pStyle w:val="Sourcingcontractlevel2"/>
        <w:tabs>
          <w:tab w:val="clear" w:pos="709"/>
          <w:tab w:val="left" w:pos="720"/>
        </w:tabs>
        <w:spacing w:line="270" w:lineRule="exact"/>
        <w:ind w:left="720" w:hanging="720"/>
      </w:pPr>
      <w:r>
        <w:rPr>
          <w:bCs/>
        </w:rPr>
        <w:t>Klant verplicht zich bij de uitvoering van deze Overeenkomst te voldoen aan de mate van zorgvuldigheid die van een redelijk handelend en bekwaam klant onder vergelijkbare omstandigheden geëist mag worden.</w:t>
      </w:r>
    </w:p>
    <w:p w:rsidR="002E3DE8" w:rsidRDefault="002E3DE8">
      <w:pPr>
        <w:pStyle w:val="Sourcingcontractlevel2"/>
        <w:tabs>
          <w:tab w:val="clear" w:pos="709"/>
          <w:tab w:val="left" w:pos="720"/>
        </w:tabs>
        <w:spacing w:line="270" w:lineRule="exact"/>
        <w:ind w:left="720" w:hanging="720"/>
      </w:pPr>
      <w:r>
        <w:rPr>
          <w:bCs/>
        </w:rPr>
        <w:t>Klant verplicht zich om Leverancier redelijkerwijs die medewerking te verlenen die Leverancier in staat stelt de Overeenkomst na te komen.</w:t>
      </w:r>
      <w:r>
        <w:rPr>
          <w:rStyle w:val="Voetnootmarkering"/>
          <w:bCs/>
        </w:rPr>
        <w:footnoteReference w:id="11"/>
      </w:r>
      <w:r>
        <w:rPr>
          <w:bCs/>
        </w:rPr>
        <w:t xml:space="preserve"> [Meer in het bijzonder verplicht Klant zich de verplichtingen uit </w:t>
      </w:r>
      <w:r>
        <w:rPr>
          <w:b/>
        </w:rPr>
        <w:t>Bijlage […] (Verplichtingen Klant)</w:t>
      </w:r>
      <w:r>
        <w:rPr>
          <w:bCs/>
        </w:rPr>
        <w:t xml:space="preserve"> na te leven.]</w:t>
      </w:r>
      <w:r>
        <w:rPr>
          <w:rStyle w:val="Voetnootmarkering"/>
          <w:bCs/>
        </w:rPr>
        <w:footnoteReference w:id="12"/>
      </w:r>
    </w:p>
    <w:p w:rsidR="002E3DE8" w:rsidRDefault="002E3DE8">
      <w:pPr>
        <w:pStyle w:val="Sourcingcontractlevel2"/>
        <w:tabs>
          <w:tab w:val="clear" w:pos="709"/>
          <w:tab w:val="left" w:pos="720"/>
        </w:tabs>
        <w:spacing w:line="270" w:lineRule="exact"/>
        <w:ind w:left="720" w:hanging="720"/>
      </w:pPr>
      <w:r>
        <w:rPr>
          <w:bCs/>
        </w:rPr>
        <w:t>Klant verplicht zich de Overeenkomst uit te voeren in overeenstemming met de op hem van toepassing zijnde wet- en regelgeving.</w:t>
      </w:r>
    </w:p>
    <w:p w:rsidR="002E3DE8" w:rsidRDefault="002E3DE8">
      <w:pPr>
        <w:pStyle w:val="Sourcingcontractlevel2"/>
        <w:tabs>
          <w:tab w:val="clear" w:pos="709"/>
          <w:tab w:val="left" w:pos="720"/>
        </w:tabs>
        <w:spacing w:line="270" w:lineRule="exact"/>
        <w:ind w:left="720" w:hanging="720"/>
      </w:pPr>
      <w:r>
        <w:t>Klant verplicht zich om zijn personeel voldoende vertrouwd te maken en te houden met de wijze waarop de Diensten worden aangeboden en de gebruiksmogelijkheden van de Diensten.</w:t>
      </w:r>
    </w:p>
    <w:p w:rsidR="002E3DE8" w:rsidRDefault="002E3DE8">
      <w:pPr>
        <w:pStyle w:val="Sourcingcontractlevel1"/>
        <w:spacing w:line="270" w:lineRule="exact"/>
      </w:pPr>
      <w:bookmarkStart w:id="23" w:name="_Toc266947969"/>
      <w:bookmarkStart w:id="24" w:name="_Toc266967392"/>
      <w:bookmarkStart w:id="25" w:name="_Toc281925006"/>
      <w:r>
        <w:rPr>
          <w:b/>
          <w:bCs/>
        </w:rPr>
        <w:t>Verplichtingen ten aanzien van hardware en software</w:t>
      </w:r>
      <w:bookmarkEnd w:id="23"/>
      <w:bookmarkEnd w:id="24"/>
      <w:bookmarkEnd w:id="25"/>
    </w:p>
    <w:p w:rsidR="002E3DE8" w:rsidRDefault="002E3DE8">
      <w:pPr>
        <w:pStyle w:val="Sourcingcontractlevel2"/>
        <w:tabs>
          <w:tab w:val="clear" w:pos="709"/>
          <w:tab w:val="left" w:pos="720"/>
        </w:tabs>
        <w:spacing w:line="270" w:lineRule="exact"/>
        <w:ind w:left="720" w:hanging="720"/>
      </w:pPr>
      <w:r>
        <w:t>Leverancier is verantwoordelijk voor het verkrijgen, in stand houden en betalen van de noodzakelijke licenties en onderhoudsregelingen en het licentiebeheer van alle door hem in de uitvoering van de Overeenkomst gebruikte en door hem beschikbaar gestelde hardware en software, behoudens voor zover anders overeengekomen. [</w:t>
      </w:r>
      <w:r>
        <w:rPr>
          <w:b/>
          <w:bCs/>
        </w:rPr>
        <w:t>Bijlage […]</w:t>
      </w:r>
      <w:r>
        <w:t xml:space="preserve"> </w:t>
      </w:r>
      <w:r>
        <w:rPr>
          <w:b/>
          <w:bCs/>
        </w:rPr>
        <w:t>(Licentieoverzicht)</w:t>
      </w:r>
      <w:r>
        <w:t xml:space="preserve"> bevat een overzicht van de door Leverancier aan Klant beschikbaar te stellen licenties.] [In afwijking van het voorgaande zijn partijen overeengekomen dat Klant verantwoordelijk is voor het verkrijgen, in stand houden en betalen van de licenties en onderhoudsregelingen en het licentiebeheer van de in </w:t>
      </w:r>
      <w:r>
        <w:rPr>
          <w:b/>
          <w:bCs/>
        </w:rPr>
        <w:t>Bijlage […] (Klant hardware en software)</w:t>
      </w:r>
      <w:r>
        <w:t xml:space="preserve"> opgenomen hardware en software.]</w:t>
      </w:r>
    </w:p>
    <w:p w:rsidR="002E3DE8" w:rsidRDefault="002E3DE8">
      <w:pPr>
        <w:pStyle w:val="Sourcingcontractlevel2"/>
        <w:spacing w:line="270" w:lineRule="exact"/>
      </w:pPr>
      <w:r>
        <w:lastRenderedPageBreak/>
        <w:t>Leverancier dient passende technologische en organisatorische maatregelen te treffen tegen computervirussen en andere kwaadaardige en/of schadelijke software op de door hem gebruikte en door hem beschikbaar gestelde hardware en software. Indien Leverancier nalaat om deze maatregelen te treffen en een computervirus of andere kwaadaardige en/of schadelijke software in de door hem gebruikte en door hem beschikbaar gestelde hardware en software voor belemmeringen zorgt van de Diensten of de bedrijfsvoering van Klant, is Leverancier gehouden maatregelen te nemen om deze belemmeringen weg te nemen en, waar mogelijk, eventuele schade bij Klant te herstellen, onverminderd de overige rechten van Klant onder deze Overeenkomst.</w:t>
      </w:r>
    </w:p>
    <w:p w:rsidR="002E3DE8" w:rsidRDefault="002E3DE8">
      <w:pPr>
        <w:pStyle w:val="Sourcingcontractlevel2"/>
        <w:spacing w:line="270" w:lineRule="exact"/>
      </w:pPr>
      <w:r>
        <w:t>Voor zover Klant in de uitvoering van deze Overeenkomst hardware, software of online applicaties ter beschikking worden gesteld door Leverancier, verplicht Klant zich om deze te gebruiken als een redelijk handelende klant en in overeenstemming met de gebruiksinstructies c.q. gebruiksvoorwaarden terzake, voor zover deze door Leverancier aan Klant ter beschikking zijn gesteld. Bij het einde van deze Overeenkomst dient de hardware en software op eerste verzoek van Leverancier te worden geretourneerd aan Leverancier, tenzij partijen in het kader van de beëindiging anders overeenkomen. Deze bepaling geldt vice versa voor het geval door Klant in de uitvoering van deze Overeenkomst hardware, software of online applicaties ter beschikking worden gesteld aan Leverancier.</w:t>
      </w:r>
    </w:p>
    <w:p w:rsidR="002E3DE8" w:rsidRDefault="002E3DE8">
      <w:pPr>
        <w:pStyle w:val="Sourcingcontractlevel2"/>
        <w:spacing w:line="270" w:lineRule="exact"/>
      </w:pPr>
      <w:r>
        <w:t>Tenzij anders is overeengekomen</w:t>
      </w:r>
      <w:r>
        <w:rPr>
          <w:rStyle w:val="Voetnootmarkering"/>
        </w:rPr>
        <w:footnoteReference w:id="13"/>
      </w:r>
      <w:r>
        <w:t>, verplicht Leverancier zich er voor zorg te dragen dat de door hem gebruikte en/of beschikbaar gestelde hardware en software steeds een gangbaar type of versie is.</w:t>
      </w:r>
    </w:p>
    <w:p w:rsidR="002E3DE8" w:rsidRDefault="002E3DE8">
      <w:pPr>
        <w:pStyle w:val="Sourcingcontractlevel2"/>
        <w:spacing w:line="270" w:lineRule="exact"/>
      </w:pPr>
      <w:r>
        <w:t>[Bij de inrichting van de systemen die bij de uitvoering van de Overeenkomst worden gebruikt, is het Architectuurplan van Klant leidend. Partijen kunnen in onderlinge overeenstemming afwijken van het Architectuurplan.]</w:t>
      </w:r>
      <w:r>
        <w:rPr>
          <w:rStyle w:val="Voetnootmarkering"/>
        </w:rPr>
        <w:footnoteReference w:id="14"/>
      </w:r>
    </w:p>
    <w:p w:rsidR="002E3DE8" w:rsidRDefault="002E3DE8">
      <w:pPr>
        <w:pStyle w:val="Sourcingcontractlevel2"/>
        <w:spacing w:line="270" w:lineRule="exact"/>
      </w:pPr>
      <w:r>
        <w:t>[Leverancier verplicht zich er voor te zorgen dat bij de implementatie van maatwerk in de softwaresystemen die hij bij de uitvoering van de Overeenkomst gebruikt, de technische kwaliteit van de softwaresystemen gehandhaafd blijft of verbetert.]</w:t>
      </w:r>
      <w:r>
        <w:rPr>
          <w:rStyle w:val="Voetnootmarkering"/>
        </w:rPr>
        <w:footnoteReference w:id="15"/>
      </w:r>
    </w:p>
    <w:p w:rsidR="002E3DE8" w:rsidRDefault="002E3DE8">
      <w:pPr>
        <w:pStyle w:val="Sourcingcontractlevel2"/>
        <w:spacing w:line="270" w:lineRule="exact"/>
      </w:pPr>
      <w:r>
        <w:t xml:space="preserve">[Leverancier zal aan de in </w:t>
      </w:r>
      <w:r>
        <w:rPr>
          <w:b/>
          <w:bCs/>
        </w:rPr>
        <w:t>Bijlage […] (Software)</w:t>
      </w:r>
      <w:r>
        <w:t xml:space="preserve"> beschreven software geen software van derden (waaronder open source software) toevoegen.]</w:t>
      </w:r>
      <w:r>
        <w:rPr>
          <w:rStyle w:val="Voetnootmarkering"/>
        </w:rPr>
        <w:footnoteReference w:id="16"/>
      </w:r>
    </w:p>
    <w:p w:rsidR="002E3DE8" w:rsidRDefault="002E3DE8">
      <w:pPr>
        <w:pStyle w:val="Sourcingcontractlevel2"/>
        <w:spacing w:line="270" w:lineRule="exact"/>
      </w:pPr>
      <w:r>
        <w:t>Voor zover Leverancier software ontwikkelt voor de Klant, garandeert Leverancier dat deze software geen computervirussen en andere kwaadaardige en/of schadelijke software bevat. Het bepaalde in de laatste zin van artikel 6.2 geldt gelijkelijk wanneer Leverancier in strijd handelt met het onderhavige artikel.</w:t>
      </w:r>
    </w:p>
    <w:p w:rsidR="002E3DE8" w:rsidRDefault="002E3DE8">
      <w:pPr>
        <w:pStyle w:val="Sourcingcontractlevel1"/>
        <w:spacing w:line="270" w:lineRule="exact"/>
        <w:rPr>
          <w:b/>
          <w:bCs/>
        </w:rPr>
      </w:pPr>
      <w:bookmarkStart w:id="26" w:name="_Toc281925007"/>
      <w:r>
        <w:rPr>
          <w:b/>
          <w:bCs/>
        </w:rPr>
        <w:lastRenderedPageBreak/>
        <w:t>Innovaties</w:t>
      </w:r>
      <w:bookmarkEnd w:id="26"/>
    </w:p>
    <w:p w:rsidR="002E3DE8" w:rsidRDefault="002E3DE8">
      <w:pPr>
        <w:pStyle w:val="Sourcingcontractlevel2"/>
        <w:spacing w:line="270" w:lineRule="exact"/>
      </w:pPr>
      <w:r>
        <w:t xml:space="preserve">Partijen streven er naar om verbeteringen door te voeren die de Klant ten goede komen doordat: </w:t>
      </w:r>
    </w:p>
    <w:p w:rsidR="002E3DE8" w:rsidRDefault="002E3DE8">
      <w:pPr>
        <w:spacing w:line="270" w:lineRule="exact"/>
        <w:ind w:left="708" w:firstLine="12"/>
      </w:pPr>
      <w:r>
        <w:t>(a)</w:t>
      </w:r>
      <w:r>
        <w:tab/>
        <w:t>de kwaliteit van de Diensten verbetert;</w:t>
      </w:r>
    </w:p>
    <w:p w:rsidR="002E3DE8" w:rsidRDefault="002E3DE8">
      <w:pPr>
        <w:spacing w:line="270" w:lineRule="exact"/>
        <w:ind w:left="1410" w:hanging="690"/>
      </w:pPr>
    </w:p>
    <w:p w:rsidR="002E3DE8" w:rsidRDefault="002E3DE8">
      <w:pPr>
        <w:spacing w:line="270" w:lineRule="exact"/>
        <w:ind w:left="1410" w:hanging="690"/>
      </w:pPr>
      <w:r>
        <w:t xml:space="preserve">(b) </w:t>
      </w:r>
      <w:r>
        <w:tab/>
        <w:t>een hogere mate van standaardisatie wordt bereikt in de uitvoering van de Diensten;</w:t>
      </w:r>
    </w:p>
    <w:p w:rsidR="002E3DE8" w:rsidRDefault="002E3DE8">
      <w:pPr>
        <w:spacing w:line="270" w:lineRule="exact"/>
        <w:ind w:left="708" w:firstLine="12"/>
      </w:pPr>
    </w:p>
    <w:p w:rsidR="002E3DE8" w:rsidRDefault="002E3DE8">
      <w:pPr>
        <w:spacing w:line="270" w:lineRule="exact"/>
        <w:ind w:left="708" w:firstLine="12"/>
      </w:pPr>
      <w:r>
        <w:t xml:space="preserve">(c) </w:t>
      </w:r>
      <w:r>
        <w:tab/>
        <w:t>de Vergoedingen omlaag gaan;</w:t>
      </w:r>
    </w:p>
    <w:p w:rsidR="002E3DE8" w:rsidRDefault="002E3DE8">
      <w:pPr>
        <w:spacing w:line="270" w:lineRule="exact"/>
        <w:ind w:left="708" w:firstLine="12"/>
      </w:pPr>
    </w:p>
    <w:p w:rsidR="002E3DE8" w:rsidRDefault="002E3DE8">
      <w:pPr>
        <w:spacing w:line="270" w:lineRule="exact"/>
        <w:ind w:left="708" w:firstLine="12"/>
      </w:pPr>
      <w:r>
        <w:t xml:space="preserve">(d) </w:t>
      </w:r>
      <w:r>
        <w:tab/>
        <w:t>de Klant efficiënter kan werken en daardoor kosten bespaart; en/of</w:t>
      </w:r>
    </w:p>
    <w:p w:rsidR="002E3DE8" w:rsidRDefault="002E3DE8">
      <w:pPr>
        <w:spacing w:line="270" w:lineRule="exact"/>
        <w:ind w:left="1410" w:hanging="690"/>
      </w:pPr>
    </w:p>
    <w:p w:rsidR="002E3DE8" w:rsidRDefault="002E3DE8">
      <w:pPr>
        <w:spacing w:line="270" w:lineRule="exact"/>
        <w:ind w:left="1410" w:hanging="690"/>
      </w:pPr>
      <w:r>
        <w:t xml:space="preserve">(e) </w:t>
      </w:r>
      <w:r>
        <w:tab/>
        <w:t>de Klant innovatieve oplossingen in de markt kan zetten die hem competitief voordeel geven ten opzichte van zijn concurrenten.</w:t>
      </w:r>
      <w:r>
        <w:rPr>
          <w:rStyle w:val="Voetnootmarkering"/>
        </w:rPr>
        <w:footnoteReference w:id="17"/>
      </w:r>
    </w:p>
    <w:p w:rsidR="002E3DE8" w:rsidRDefault="002E3DE8">
      <w:pPr>
        <w:spacing w:line="270" w:lineRule="exact"/>
        <w:ind w:left="708" w:firstLine="12"/>
      </w:pPr>
    </w:p>
    <w:p w:rsidR="002E3DE8" w:rsidRDefault="002E3DE8">
      <w:pPr>
        <w:pStyle w:val="Sourcingcontractlevel2"/>
        <w:spacing w:line="270" w:lineRule="exact"/>
      </w:pPr>
      <w:r>
        <w:t>Partijen zullen steeds in het overleg van het Servicemanagement of Contractmanagement bespreken op welk soort verbeteringen en gedurende welke periode het accent zal worden gelegd.</w:t>
      </w:r>
      <w:r>
        <w:rPr>
          <w:rStyle w:val="Voetnootmarkering"/>
        </w:rPr>
        <w:footnoteReference w:id="18"/>
      </w:r>
    </w:p>
    <w:p w:rsidR="002E3DE8" w:rsidRDefault="002E3DE8">
      <w:pPr>
        <w:pStyle w:val="Sourcingcontractlevel2"/>
        <w:spacing w:line="270" w:lineRule="exact"/>
      </w:pPr>
      <w:r>
        <w:t>[Partijen zullen steeds overeenkomen of verbeteringen al dan niet als Project worden doorgevoerd en of deze al dan niet in de Vergoedingen zijn inbegrepen.]</w:t>
      </w:r>
      <w:r>
        <w:rPr>
          <w:rStyle w:val="Voetnootmarkering"/>
        </w:rPr>
        <w:footnoteReference w:id="19"/>
      </w:r>
    </w:p>
    <w:p w:rsidR="002E3DE8" w:rsidRDefault="002E3DE8">
      <w:pPr>
        <w:pStyle w:val="Sourcingcontractlevel2"/>
        <w:spacing w:line="270" w:lineRule="exact"/>
      </w:pPr>
      <w:r>
        <w:t>Leverancier en Klant realiseren zich dat IT zich continu blijft ontwikkelen en dat een goede bedrijfsvoering vereist dat bij de relevante ontwikkelingen wordt aangesloten, tenzij er goede redenen zijn om dat niet te doen. In dat kader zullen partijen periodiek overleg voeren over de mogelijkheden om aan te (blijven) sluiten bij de stand der techniek die in de relevante markt gebruikelijk is, tenzij er goede redenen zijn om dat niet te doen of anders is overeengekomen.</w:t>
      </w:r>
    </w:p>
    <w:p w:rsidR="002E3DE8" w:rsidRDefault="002E3DE8">
      <w:pPr>
        <w:pStyle w:val="Sourcingcontractlevel1"/>
        <w:spacing w:line="270" w:lineRule="exact"/>
        <w:rPr>
          <w:b/>
          <w:bCs/>
        </w:rPr>
      </w:pPr>
      <w:bookmarkStart w:id="27" w:name="_Toc281925008"/>
      <w:r>
        <w:rPr>
          <w:b/>
          <w:bCs/>
        </w:rPr>
        <w:t>Projecten</w:t>
      </w:r>
      <w:bookmarkEnd w:id="27"/>
    </w:p>
    <w:p w:rsidR="002E3DE8" w:rsidRDefault="002E3DE8">
      <w:pPr>
        <w:pStyle w:val="Sourcingcontractlevel2"/>
        <w:spacing w:line="270" w:lineRule="exact"/>
      </w:pPr>
      <w:r>
        <w:t>Partijen kunnen van tijd tot tijd Projecten overeen komen. Een Project wordt overeengekomen door middel van een Projectovereenkomst, welke na ondertekening door beide partijen een onlosmakelijk onderdeel zal vormen van de Overeenkomst.</w:t>
      </w:r>
    </w:p>
    <w:p w:rsidR="002E3DE8" w:rsidRDefault="002E3DE8">
      <w:pPr>
        <w:pStyle w:val="Sourcingcontractlevel2"/>
        <w:spacing w:line="270" w:lineRule="exact"/>
      </w:pPr>
      <w:r>
        <w:t xml:space="preserve">Behoudens voor zover Leverancier voor het sluiten van de Projectovereenkomst de Klant schriftelijk heeft geïnformeerd en behoudens voor zover expliciet anders overeengekomen in de Projectovereenkomst, staat Leverancier er voor in dat een </w:t>
      </w:r>
      <w:r>
        <w:lastRenderedPageBreak/>
        <w:t>Projectovereenkomst geen negatieve invloed heeft op de levering van of het gebruik van de Diensten.</w:t>
      </w:r>
    </w:p>
    <w:p w:rsidR="002E3DE8" w:rsidRDefault="002E3DE8">
      <w:pPr>
        <w:pStyle w:val="Sourcingcontractlevel1"/>
        <w:spacing w:line="270" w:lineRule="exact"/>
        <w:rPr>
          <w:bCs/>
        </w:rPr>
      </w:pPr>
      <w:bookmarkStart w:id="28" w:name="_Toc281925009"/>
      <w:r>
        <w:rPr>
          <w:b/>
          <w:bCs/>
        </w:rPr>
        <w:t>Continuïteit</w:t>
      </w:r>
      <w:bookmarkEnd w:id="28"/>
    </w:p>
    <w:p w:rsidR="002E3DE8" w:rsidRDefault="002E3DE8">
      <w:pPr>
        <w:pStyle w:val="Sourcingcontractlevel2"/>
        <w:spacing w:line="270" w:lineRule="exact"/>
      </w:pPr>
      <w:r>
        <w:t xml:space="preserve">Leverancier verplicht zich te voorzien in de continuïteitsprocessen die zijn beschreven in </w:t>
      </w:r>
      <w:r>
        <w:rPr>
          <w:b/>
          <w:bCs/>
        </w:rPr>
        <w:t>Bijlage […] (Continuïteitsprocessen)</w:t>
      </w:r>
      <w:r>
        <w:t xml:space="preserve"> teneinde de continuïteit van de levering van de Diensten aan zijn zijde te borgen in geval van verstoring van de uitvoering van de Diensten in overeenstemming met het bepaalde in de Overeenkomst.</w:t>
      </w:r>
    </w:p>
    <w:p w:rsidR="002E3DE8" w:rsidRDefault="002E3DE8">
      <w:pPr>
        <w:pStyle w:val="Sourcingcontractlevel2"/>
        <w:spacing w:line="270" w:lineRule="exact"/>
      </w:pPr>
      <w:r>
        <w:t>Klant verplicht zich om die continuïteitsprocessen te hebben ingericht voor het geval de Diensten worden verstoord, die van hem onder de gegeven omstandigheden in redelijkheid kunnen worden verwacht.</w:t>
      </w:r>
    </w:p>
    <w:p w:rsidR="002E3DE8" w:rsidRDefault="002E3DE8">
      <w:pPr>
        <w:pStyle w:val="Sourcingcontractlevel2"/>
        <w:spacing w:line="270" w:lineRule="exact"/>
      </w:pPr>
      <w:r>
        <w:t xml:space="preserve">[Terzake van […] hebben partijen een escrowregeling getroffen. De Escrowovereenkomst is aangehecht als </w:t>
      </w:r>
      <w:r>
        <w:rPr>
          <w:b/>
          <w:bCs/>
        </w:rPr>
        <w:t>Bijlage […] (Escrowovereenkomst)</w:t>
      </w:r>
      <w:r>
        <w:t>.]</w:t>
      </w:r>
      <w:r>
        <w:rPr>
          <w:rStyle w:val="Voetnootmarkering"/>
        </w:rPr>
        <w:footnoteReference w:id="20"/>
      </w:r>
    </w:p>
    <w:p w:rsidR="002E3DE8" w:rsidRDefault="002E3DE8">
      <w:pPr>
        <w:pStyle w:val="Sourcingcontractlevel2"/>
        <w:spacing w:line="270" w:lineRule="exact"/>
      </w:pPr>
      <w:r>
        <w:t>[Step-in rights]</w:t>
      </w:r>
      <w:r>
        <w:rPr>
          <w:rStyle w:val="Voetnootmarkering"/>
        </w:rPr>
        <w:footnoteReference w:id="21"/>
      </w:r>
    </w:p>
    <w:p w:rsidR="002E3DE8" w:rsidRDefault="002E3DE8">
      <w:pPr>
        <w:pStyle w:val="Sourcingcontractlevel1"/>
        <w:spacing w:line="270" w:lineRule="exact"/>
      </w:pPr>
      <w:bookmarkStart w:id="29" w:name="_Toc281925010"/>
      <w:r>
        <w:rPr>
          <w:b/>
          <w:bCs/>
        </w:rPr>
        <w:t>Duurzaamheid</w:t>
      </w:r>
      <w:bookmarkEnd w:id="29"/>
    </w:p>
    <w:p w:rsidR="002E3DE8" w:rsidRDefault="002E3DE8">
      <w:pPr>
        <w:pStyle w:val="Sourcingcontractlevel2"/>
        <w:spacing w:line="270" w:lineRule="exact"/>
      </w:pPr>
      <w:r>
        <w:t>Partijen onderschrijven het streven naar duurzaam ondernemen. Partijen zullen in dat kader al het redelijke doen om in de uitvoering van de Overeenkomst de verspilling van natuurlijke hulpbronnen te minimaliseren.</w:t>
      </w:r>
    </w:p>
    <w:p w:rsidR="002E3DE8" w:rsidRDefault="002E3DE8">
      <w:pPr>
        <w:pStyle w:val="Sourcingcontractlevel2"/>
        <w:spacing w:line="270" w:lineRule="exact"/>
      </w:pPr>
      <w:r>
        <w:t xml:space="preserve">[Leverancier verplicht zich om de in </w:t>
      </w:r>
      <w:r>
        <w:rPr>
          <w:b/>
          <w:bCs/>
        </w:rPr>
        <w:t>Bijlage […] (Duurzaamheid)</w:t>
      </w:r>
      <w:r>
        <w:t xml:space="preserve"> beschreven maatregelen te treffen. Klant verplicht daar waar noodzakelijk, zich mee te werken aan de uitvoering van de betreffende maatregelen.]</w:t>
      </w:r>
    </w:p>
    <w:p w:rsidR="002E3DE8" w:rsidRDefault="002E3DE8" w:rsidP="002E3DE8">
      <w:pPr>
        <w:pStyle w:val="Kop1"/>
        <w:numPr>
          <w:ilvl w:val="2"/>
          <w:numId w:val="10"/>
        </w:numPr>
        <w:spacing w:line="270" w:lineRule="exact"/>
        <w:rPr>
          <w:rFonts w:ascii="Times New Roman" w:hAnsi="Times New Roman" w:cs="Times New Roman"/>
          <w:b w:val="0"/>
          <w:bCs/>
          <w:caps/>
          <w:sz w:val="24"/>
        </w:rPr>
      </w:pPr>
      <w:bookmarkStart w:id="30" w:name="_Toc281925011"/>
      <w:r>
        <w:rPr>
          <w:rFonts w:ascii="Times New Roman" w:hAnsi="Times New Roman" w:cs="Times New Roman"/>
          <w:sz w:val="24"/>
        </w:rPr>
        <w:t>VERGOEDINGEN EN BETALING</w:t>
      </w:r>
      <w:bookmarkEnd w:id="30"/>
    </w:p>
    <w:p w:rsidR="002E3DE8" w:rsidRDefault="002E3DE8">
      <w:pPr>
        <w:pStyle w:val="Sourcingcontractlevel1"/>
        <w:spacing w:line="270" w:lineRule="exact"/>
        <w:rPr>
          <w:b/>
        </w:rPr>
      </w:pPr>
      <w:bookmarkStart w:id="31" w:name="_Toc281925012"/>
      <w:r>
        <w:rPr>
          <w:b/>
        </w:rPr>
        <w:t>Vergoedingen</w:t>
      </w:r>
      <w:r>
        <w:t xml:space="preserve"> </w:t>
      </w:r>
      <w:r>
        <w:rPr>
          <w:b/>
        </w:rPr>
        <w:t>en betaling</w:t>
      </w:r>
      <w:bookmarkEnd w:id="31"/>
    </w:p>
    <w:p w:rsidR="002E3DE8" w:rsidRDefault="002E3DE8">
      <w:pPr>
        <w:pStyle w:val="Sourcingcontractlevel2"/>
        <w:spacing w:line="270" w:lineRule="exact"/>
      </w:pPr>
      <w:r>
        <w:t>Voor de uitvoering van de Overeenkomst en de levering van de Diensten is Klant uitsluitend de Vergoedingen verschuldigd aan Leverancier.</w:t>
      </w:r>
    </w:p>
    <w:p w:rsidR="002E3DE8" w:rsidRDefault="002E3DE8">
      <w:pPr>
        <w:pStyle w:val="Sourcingcontractlevel2"/>
        <w:spacing w:line="270" w:lineRule="exact"/>
      </w:pPr>
      <w:r>
        <w:t>Tenzij anders is overeengekomen draagt iedere partij de eigen kosten in verband met de uitvoering van deze Overeenkomst.</w:t>
      </w:r>
    </w:p>
    <w:p w:rsidR="002E3DE8" w:rsidRDefault="002E3DE8">
      <w:pPr>
        <w:pStyle w:val="Sourcingcontractlevel2"/>
        <w:spacing w:line="270" w:lineRule="exact"/>
      </w:pPr>
      <w:r>
        <w:lastRenderedPageBreak/>
        <w:t>Leverancier is gedurende de looptijd van de Overeenkomst, voor het eerst met ingang van […], gerechtigd om jaarlijks per 1 januari zijn prijzen aan te passen[, maximaal aan de hand van stijgingen van het (voorlopige) CBS indexcijfer [Dienstenprijsindex (DPI)/ Commerciële dienstverlening CAO-lonen (inclusief bijzondere beloningen)/etc.] over de meest recente periode oktober-oktober]. Het voornemen tot aanpassing dient zo spoedig mogelijk, uiterlijk 1 december van het voorgaande jaar kenbaar te worden gemaakt.</w:t>
      </w:r>
      <w:r>
        <w:rPr>
          <w:rStyle w:val="Voetnootmarkering"/>
        </w:rPr>
        <w:footnoteReference w:id="22"/>
      </w:r>
    </w:p>
    <w:p w:rsidR="002E3DE8" w:rsidRDefault="002E3DE8">
      <w:pPr>
        <w:pStyle w:val="Sourcingcontractlevel2"/>
        <w:spacing w:line="270" w:lineRule="exact"/>
      </w:pPr>
      <w:r>
        <w:t>[Marktconformiteit]</w:t>
      </w:r>
      <w:r>
        <w:rPr>
          <w:rStyle w:val="Voetnootmarkering"/>
        </w:rPr>
        <w:footnoteReference w:id="23"/>
      </w:r>
    </w:p>
    <w:p w:rsidR="002E3DE8" w:rsidRDefault="002E3DE8">
      <w:pPr>
        <w:pStyle w:val="Sourcingcontractlevel2"/>
        <w:spacing w:line="270" w:lineRule="exact"/>
      </w:pPr>
      <w:r>
        <w:t>De in deze Overeenkomst vermelde bedragen luiden in euro en zijn exclusief de verschuldigde omzetbelasting of andere belastingen en heffingen van overheidswege.</w:t>
      </w:r>
      <w:r>
        <w:rPr>
          <w:rStyle w:val="Voetnootmarkering"/>
        </w:rPr>
        <w:footnoteReference w:id="24"/>
      </w:r>
    </w:p>
    <w:p w:rsidR="002E3DE8" w:rsidRDefault="002E3DE8">
      <w:pPr>
        <w:pStyle w:val="Sourcingcontractlevel2"/>
        <w:spacing w:line="270" w:lineRule="exact"/>
      </w:pPr>
      <w:r>
        <w:t>De Vergoedingen worden maandelijks [achteraf/vooraf] in rekening gebracht.</w:t>
      </w:r>
    </w:p>
    <w:p w:rsidR="002E3DE8" w:rsidRDefault="002E3DE8">
      <w:pPr>
        <w:pStyle w:val="Sourcingcontractlevel2"/>
        <w:spacing w:line="270" w:lineRule="exact"/>
      </w:pPr>
      <w:r>
        <w:t>Ter verkrijging van betalingen dienen de facturen de volgende informatie te bevatten:</w:t>
      </w:r>
    </w:p>
    <w:p w:rsidR="002E3DE8" w:rsidRDefault="002E3DE8">
      <w:pPr>
        <w:pStyle w:val="Sourcingcontractlevel2"/>
        <w:numPr>
          <w:ilvl w:val="1"/>
          <w:numId w:val="0"/>
        </w:numPr>
        <w:spacing w:line="270" w:lineRule="exact"/>
        <w:ind w:left="708"/>
      </w:pPr>
      <w:r>
        <w:t>(a) […]</w:t>
      </w:r>
    </w:p>
    <w:p w:rsidR="002E3DE8" w:rsidRDefault="002E3DE8">
      <w:pPr>
        <w:pStyle w:val="Sourcingcontractlevel2"/>
        <w:spacing w:line="270" w:lineRule="exact"/>
      </w:pPr>
      <w:r>
        <w:t>Facturen dienen binnen 30 dagen na [ontvangst door Klant/factuurdatum] te worden voldaan.</w:t>
      </w:r>
      <w:r>
        <w:rPr>
          <w:rStyle w:val="Voetnootmarkering"/>
        </w:rPr>
        <w:footnoteReference w:id="25"/>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32" w:name="_Toc281925013"/>
      <w:r>
        <w:rPr>
          <w:rFonts w:ascii="Times New Roman" w:hAnsi="Times New Roman" w:cs="Times New Roman"/>
          <w:sz w:val="24"/>
        </w:rPr>
        <w:t>REGIE</w:t>
      </w:r>
      <w:bookmarkEnd w:id="32"/>
    </w:p>
    <w:p w:rsidR="002E3DE8" w:rsidRDefault="002E3DE8">
      <w:pPr>
        <w:pStyle w:val="Sourcingcontractlevel1"/>
        <w:spacing w:line="270" w:lineRule="exact"/>
      </w:pPr>
      <w:bookmarkStart w:id="33" w:name="_Toc281925014"/>
      <w:r>
        <w:rPr>
          <w:b/>
        </w:rPr>
        <w:t>Overleg</w:t>
      </w:r>
      <w:bookmarkEnd w:id="33"/>
    </w:p>
    <w:p w:rsidR="002E3DE8" w:rsidRDefault="002E3DE8">
      <w:pPr>
        <w:pStyle w:val="Sourcingcontractlevel2"/>
        <w:spacing w:line="270" w:lineRule="exact"/>
      </w:pPr>
      <w:r>
        <w:t>Partijen verplichten zich elkaar onverwijld te informeren over zaken of omstandigheden die aan een goede nakoming van de Overeenkomst in de weg staan.</w:t>
      </w:r>
    </w:p>
    <w:p w:rsidR="002E3DE8" w:rsidRDefault="002E3DE8">
      <w:pPr>
        <w:pStyle w:val="Sourcingcontractlevel2"/>
        <w:spacing w:line="270" w:lineRule="exact"/>
      </w:pPr>
      <w:r>
        <w:t xml:space="preserve">Partijen hebben overleg op het niveau van [Contractmanagement, Servicemanagement en Opdrachtmanagement, conform </w:t>
      </w:r>
      <w:r>
        <w:rPr>
          <w:b/>
          <w:bCs/>
        </w:rPr>
        <w:t>Bijlage […] (Overlegstructuur)</w:t>
      </w:r>
      <w:r>
        <w:t>.]</w:t>
      </w:r>
      <w:r>
        <w:rPr>
          <w:rStyle w:val="Voetnootmarkering"/>
        </w:rPr>
        <w:footnoteReference w:id="26"/>
      </w:r>
    </w:p>
    <w:p w:rsidR="002E3DE8" w:rsidRDefault="002E3DE8">
      <w:pPr>
        <w:pStyle w:val="Sourcingcontractlevel2"/>
        <w:spacing w:line="270" w:lineRule="exact"/>
      </w:pPr>
      <w:r>
        <w:t xml:space="preserve">Van ieder overleg van het Contractmanagement en het Servicemanagement zal [Leverancier/Klant] zo spoedig mogelijk, doch uiterlijk binnen [5] Werkdagen een schriftelijk verslag opstellen waarin in ieder geval de eventueel genomen besluiten zijn vastgelegd die van belang zijn voor de besturing van de Overeenkomst. Het verslag zal voor commentaar aan de andere partij worden gezonden. De andere partij zal haar </w:t>
      </w:r>
      <w:r>
        <w:lastRenderedPageBreak/>
        <w:t>eventuele commentaar zo snel mogelijk, doch uiterlijk binnen [5] Werkdagen aan [Leverancier/Klant] kenbaar maken. Het verslag zal vervolgens in het volgende overleg worden vastgesteld, zo nodig met vermelding van de punten in het verslag waarover partijen het niet eens zijn.</w:t>
      </w:r>
    </w:p>
    <w:p w:rsidR="002E3DE8" w:rsidRDefault="002E3DE8">
      <w:pPr>
        <w:pStyle w:val="Sourcingcontractlevel2"/>
        <w:spacing w:line="270" w:lineRule="exact"/>
      </w:pPr>
      <w:r>
        <w:t>De taal van de communicatie tussen partijen is het Nederlands, tenzij anders overeengekomen.</w:t>
      </w:r>
    </w:p>
    <w:p w:rsidR="002E3DE8" w:rsidRDefault="002E3DE8">
      <w:pPr>
        <w:pStyle w:val="Sourcingcontractlevel1"/>
        <w:spacing w:line="270" w:lineRule="exact"/>
      </w:pPr>
      <w:bookmarkStart w:id="34" w:name="_Toc281925015"/>
      <w:r>
        <w:rPr>
          <w:b/>
          <w:bCs/>
        </w:rPr>
        <w:t>Evaluatie Service Level Agreement</w:t>
      </w:r>
      <w:bookmarkEnd w:id="34"/>
    </w:p>
    <w:p w:rsidR="002E3DE8" w:rsidRDefault="002E3DE8">
      <w:pPr>
        <w:pStyle w:val="Sourcingcontractlevel2"/>
        <w:spacing w:line="270" w:lineRule="exact"/>
      </w:pPr>
      <w:r>
        <w:t>Partijen zullen [jaarlijks], steeds […] voor het einde van een Contractjaar, of zoveel vaker of eerder als overeengekomen, de SLA evalueren en waar nodig aanpassen voor het opvolgende Contractjaar, conform de Wijzigingsprocedure.</w:t>
      </w:r>
    </w:p>
    <w:p w:rsidR="002E3DE8" w:rsidRDefault="002E3DE8">
      <w:pPr>
        <w:pStyle w:val="Sourcingcontractlevel1"/>
        <w:spacing w:line="270" w:lineRule="exact"/>
      </w:pPr>
      <w:bookmarkStart w:id="35" w:name="_Ref280195742"/>
      <w:bookmarkStart w:id="36" w:name="_Toc281925016"/>
      <w:r>
        <w:rPr>
          <w:b/>
          <w:bCs/>
        </w:rPr>
        <w:t>Wijzigingsprocedure</w:t>
      </w:r>
      <w:bookmarkEnd w:id="35"/>
      <w:bookmarkEnd w:id="36"/>
    </w:p>
    <w:p w:rsidR="002E3DE8" w:rsidRDefault="002E3DE8">
      <w:pPr>
        <w:pStyle w:val="Sourcingcontractlevel2"/>
        <w:spacing w:line="270" w:lineRule="exact"/>
      </w:pPr>
      <w:r>
        <w:t xml:space="preserve">Wijzigingen van deze Overeenkomst (inclusief de Diensten) zullen worden overeengekomen door middel van de Wijzigingsprocedure die is opgenomen in </w:t>
      </w:r>
      <w:r>
        <w:rPr>
          <w:b/>
          <w:bCs/>
        </w:rPr>
        <w:t>Bijlage […] (Wijzigingsprocedure)</w:t>
      </w:r>
      <w:r>
        <w:t>.</w:t>
      </w:r>
    </w:p>
    <w:p w:rsidR="002E3DE8" w:rsidRDefault="002E3DE8">
      <w:pPr>
        <w:pStyle w:val="Sourcingcontractlevel1"/>
        <w:spacing w:line="270" w:lineRule="exact"/>
      </w:pPr>
      <w:bookmarkStart w:id="37" w:name="_Toc281925017"/>
      <w:r>
        <w:rPr>
          <w:b/>
          <w:bCs/>
        </w:rPr>
        <w:t>Acceptatieprocedure</w:t>
      </w:r>
      <w:bookmarkEnd w:id="37"/>
    </w:p>
    <w:p w:rsidR="002E3DE8" w:rsidRDefault="002E3DE8">
      <w:pPr>
        <w:pStyle w:val="Sourcingcontractlevel2"/>
        <w:spacing w:line="270" w:lineRule="exact"/>
      </w:pPr>
      <w:r>
        <w:t xml:space="preserve">De resultaten van de Transitie, Transformatie, en Projecten worden onderworpen aan de in </w:t>
      </w:r>
      <w:r>
        <w:rPr>
          <w:b/>
          <w:bCs/>
        </w:rPr>
        <w:t>Bijlage […] (Acceptatieprocedure)</w:t>
      </w:r>
      <w:r>
        <w:t xml:space="preserve"> beschreven Acceptatieprocedure, tenzij anders overeengekomen. [De resultaten van overige Diensten worden onderworpen aan de in </w:t>
      </w:r>
      <w:r>
        <w:rPr>
          <w:b/>
          <w:bCs/>
        </w:rPr>
        <w:t>Bijlage […] (Acceptatieprocedure)</w:t>
      </w:r>
      <w:r>
        <w:t xml:space="preserve"> beschreven Acceptatieprocedure voor zover overeengekomen.]</w:t>
      </w:r>
    </w:p>
    <w:p w:rsidR="002E3DE8" w:rsidRDefault="002E3DE8">
      <w:pPr>
        <w:pStyle w:val="Sourcingcontractlevel1"/>
        <w:spacing w:line="270" w:lineRule="exact"/>
      </w:pPr>
      <w:bookmarkStart w:id="38" w:name="_Toc281925018"/>
      <w:r>
        <w:rPr>
          <w:b/>
          <w:bCs/>
        </w:rPr>
        <w:t>Contractbeheer</w:t>
      </w:r>
      <w:bookmarkEnd w:id="38"/>
    </w:p>
    <w:p w:rsidR="002E3DE8" w:rsidRDefault="002E3DE8">
      <w:pPr>
        <w:pStyle w:val="Sourcingcontractlevel2"/>
        <w:spacing w:line="270" w:lineRule="exact"/>
      </w:pPr>
      <w:r>
        <w:t>[Leverancier/Klant] beheert de Overeenkomst en het overzicht met lopende wijzigingsvoorstellen en zorgt dat deze te allen tijde actueel zijn. De andere partij verleent daaraan haar medewerking. Bij geschillen tussen partijen over de inhoud van de Overeenkomst is de laatst door partijen vastgestelde tekst leidend (met inachtneming van lopende wijzigingsverzoeken, voor zover die tot wijziging van de Overeenkomst leiden).</w:t>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39" w:name="_Toc281925019"/>
      <w:r>
        <w:rPr>
          <w:rFonts w:ascii="Times New Roman" w:hAnsi="Times New Roman" w:cs="Times New Roman"/>
          <w:sz w:val="24"/>
        </w:rPr>
        <w:t>CONTROLE</w:t>
      </w:r>
      <w:bookmarkEnd w:id="39"/>
    </w:p>
    <w:p w:rsidR="002E3DE8" w:rsidRDefault="002E3DE8">
      <w:pPr>
        <w:pStyle w:val="Sourcingcontractlevel1"/>
        <w:spacing w:line="270" w:lineRule="exact"/>
        <w:rPr>
          <w:b/>
        </w:rPr>
      </w:pPr>
      <w:bookmarkStart w:id="40" w:name="_Toc281925020"/>
      <w:r>
        <w:rPr>
          <w:b/>
          <w:bCs/>
        </w:rPr>
        <w:t>Rapportages</w:t>
      </w:r>
      <w:bookmarkEnd w:id="40"/>
    </w:p>
    <w:p w:rsidR="002E3DE8" w:rsidRDefault="002E3DE8">
      <w:pPr>
        <w:pStyle w:val="Sourcingcontractlevel2"/>
        <w:spacing w:line="270" w:lineRule="exact"/>
      </w:pPr>
      <w:bookmarkStart w:id="41" w:name="_Ref280198633"/>
      <w:r>
        <w:t>Leverancier verplicht zich de in de SLA vermelde rapportages op te leveren.</w:t>
      </w:r>
      <w:bookmarkEnd w:id="41"/>
    </w:p>
    <w:p w:rsidR="002E3DE8" w:rsidRDefault="002E3DE8">
      <w:pPr>
        <w:pStyle w:val="Sourcingcontractlevel1"/>
        <w:spacing w:line="270" w:lineRule="exact"/>
      </w:pPr>
      <w:bookmarkStart w:id="42" w:name="_Toc281925021"/>
      <w:r>
        <w:rPr>
          <w:b/>
          <w:bCs/>
        </w:rPr>
        <w:t>TPM</w:t>
      </w:r>
      <w:bookmarkEnd w:id="42"/>
    </w:p>
    <w:p w:rsidR="002E3DE8" w:rsidRDefault="002E3DE8">
      <w:pPr>
        <w:pStyle w:val="Sourcingcontractlevel2"/>
        <w:spacing w:line="270" w:lineRule="exact"/>
      </w:pPr>
      <w:bookmarkStart w:id="43" w:name="_Ref280198728"/>
      <w:r>
        <w:t>Leverancier zal Klant jaarlijks, uiterlijk in […] van ieder kalenderjaar en voor het eerst […], een Third Party Mededeling (</w:t>
      </w:r>
      <w:r>
        <w:rPr>
          <w:b/>
          <w:bCs/>
        </w:rPr>
        <w:t>"TPM"</w:t>
      </w:r>
      <w:r>
        <w:t xml:space="preserve">) overleggen van een register EDP-auditor ter zake van de kwaliteit van de processen bij Leverancier. De TPM dient te beschrijven of de maatregelen om [de betrouwbaarheid en continuïteit van de geautomatiseerde gegevensverwerking/beveiliging van de gegevens van de Klant/de betrouwbaarheid en continuïteit van de te leveren Diensten/de betrouwbaarheid van de </w:t>
      </w:r>
      <w:r>
        <w:lastRenderedPageBreak/>
        <w:t xml:space="preserve">in artikel </w:t>
      </w:r>
      <w:r>
        <w:fldChar w:fldCharType="begin"/>
      </w:r>
      <w:r>
        <w:instrText xml:space="preserve"> REF _Ref280198633 \r \h </w:instrText>
      </w:r>
      <w:r>
        <w:fldChar w:fldCharType="separate"/>
      </w:r>
      <w:r>
        <w:t>17.1</w:t>
      </w:r>
      <w:r>
        <w:fldChar w:fldCharType="end"/>
      </w:r>
      <w:r>
        <w:t xml:space="preserve"> bedoelde rapportages/etc.] te waarborgen voldoende zijn geïmplementeerd, met inachtneming van wat ter zake in de Overeenkomst is overeengekomen. De kosten voor het overleggen van de TPM komen voor rekening van [Klant/Leverancier].</w:t>
      </w:r>
      <w:bookmarkEnd w:id="43"/>
      <w:r>
        <w:rPr>
          <w:rStyle w:val="Voetnootmarkering"/>
        </w:rPr>
        <w:footnoteReference w:id="27"/>
      </w:r>
    </w:p>
    <w:p w:rsidR="002E3DE8" w:rsidRDefault="002E3DE8">
      <w:pPr>
        <w:pStyle w:val="Sourcingcontractlevel2"/>
        <w:spacing w:line="270" w:lineRule="exact"/>
      </w:pPr>
      <w:r>
        <w:t xml:space="preserve">Mocht er uit de in lid 1 bedoelde TPM blijken dat de processen van de Leverancier niet de waarborgen bieden als bedoeld in artikel </w:t>
      </w:r>
      <w:r>
        <w:fldChar w:fldCharType="begin"/>
      </w:r>
      <w:r>
        <w:instrText xml:space="preserve"> REF _Ref280198728 \r \h </w:instrText>
      </w:r>
      <w:r>
        <w:fldChar w:fldCharType="separate"/>
      </w:r>
      <w:r>
        <w:t>18.1</w:t>
      </w:r>
      <w:r>
        <w:fldChar w:fldCharType="end"/>
      </w:r>
      <w:r>
        <w:t>, dan zal Leverancier binnen 3 maanden een verbeterplan indienen bij Klant. Dit verbeterplan zal met Klant worden besproken en Leverancier zal het verbeterplan ook daadwerkelijk uitvoeren. Het verbeterplan dient maatregelen te beschrijven die de bezwaren die blijken uit de TPM weg nemen. De kosten voor uitvoering van het verbeterplan zijn voor Leverancier, tenzij anders overeengekomen. Het bepaalde in dit artikel tast de overige rechten van Klant niet aan.</w:t>
      </w:r>
    </w:p>
    <w:p w:rsidR="002E3DE8" w:rsidRDefault="002E3DE8">
      <w:pPr>
        <w:pStyle w:val="Sourcingcontractlevel1"/>
        <w:spacing w:line="270" w:lineRule="exact"/>
      </w:pPr>
      <w:bookmarkStart w:id="44" w:name="_Toc281925022"/>
      <w:r>
        <w:rPr>
          <w:b/>
          <w:bCs/>
        </w:rPr>
        <w:t>Audit</w:t>
      </w:r>
      <w:bookmarkEnd w:id="44"/>
    </w:p>
    <w:p w:rsidR="002E3DE8" w:rsidRDefault="002E3DE8">
      <w:pPr>
        <w:pStyle w:val="Sourcingcontractlevel2"/>
        <w:spacing w:line="270" w:lineRule="exact"/>
      </w:pPr>
      <w:r>
        <w:t>Klant heeft het recht om maximaal [</w:t>
      </w:r>
      <w:r>
        <w:rPr>
          <w:i/>
          <w:iCs/>
        </w:rPr>
        <w:t>invullen frequentie</w:t>
      </w:r>
      <w:r>
        <w:t xml:space="preserve">] een register EDP-auditor </w:t>
      </w:r>
      <w:r>
        <w:rPr>
          <w:rStyle w:val="Voetnootmarkering"/>
        </w:rPr>
        <w:footnoteReference w:id="28"/>
      </w:r>
      <w:r>
        <w:t xml:space="preserve"> een controle te laten doen van [de naleving door Leverancier van de volgende verplichtingen […]/de naleving door Leverancier van de Overeenkomst/de juistheid van de Service Level rapportage van Leverancier/de kwaliteit van ontwikkelde software/de juistheid van [het configuratiebeheer/de facturatie]/etc.], voor zover niet afgedekt door de in artikel [18] bedoelde TPM. Leverancier verplicht zich hieraan zijn medewerking te verlenen.</w:t>
      </w:r>
      <w:r>
        <w:rPr>
          <w:rStyle w:val="Voetnootmarkering"/>
        </w:rPr>
        <w:footnoteReference w:id="29"/>
      </w:r>
    </w:p>
    <w:p w:rsidR="002E3DE8" w:rsidRDefault="002E3DE8">
      <w:pPr>
        <w:pStyle w:val="Sourcingcontractlevel2"/>
        <w:spacing w:line="270" w:lineRule="exact"/>
      </w:pPr>
      <w:bookmarkStart w:id="45" w:name="_Ref280198826"/>
      <w:r>
        <w:t>Klant verplicht zich de controle te laten uitvoeren in overeenstemming met de gedrags- en beroepsregels van de beroepsorganisatie van register EDP-auditors NOREA. Leverancier is gerechtigd te verlangen dat de register EDP-auditor een geheimhoudingsverklaring tekent ten gunste van Leverancier (waarvan Leverancier een exemplaar krijgt). De geheimhoudingsverklaring dient die voorwaarden te bevatten die gebruikelijk zijn voor dit soort verklaringen.</w:t>
      </w:r>
      <w:bookmarkEnd w:id="45"/>
      <w:r>
        <w:rPr>
          <w:rStyle w:val="Voetnootmarkering"/>
        </w:rPr>
        <w:footnoteReference w:id="30"/>
      </w:r>
    </w:p>
    <w:p w:rsidR="002E3DE8" w:rsidRDefault="002E3DE8">
      <w:pPr>
        <w:pStyle w:val="Sourcingcontractlevel2"/>
        <w:spacing w:line="270" w:lineRule="exact"/>
      </w:pPr>
      <w:r>
        <w:t>Het tijdstip waarop een controle zal plaatsvinden wordt in onderling overleg bepaald. Klant zal erop toezien dat controles de bedrijfsvoering van Leverancier zo min mogelijk verhinderen.</w:t>
      </w:r>
    </w:p>
    <w:p w:rsidR="002E3DE8" w:rsidRDefault="002E3DE8">
      <w:pPr>
        <w:pStyle w:val="Sourcingcontractlevel2"/>
        <w:spacing w:line="270" w:lineRule="exact"/>
      </w:pPr>
      <w:r>
        <w:lastRenderedPageBreak/>
        <w:t>Teneinde een audit als bedoeld in dit artikel 19 plaats te kunnen laten vinden, verplicht Leverancier zich om een terzake adequate administratie, boekhouding en archief (voor zover van toepassing) aan te leggen en te onderhouden. Leverancier verplicht zich om deze boekhouding en archieven volgens de in de markt gebruikelijke standaarden in te richten en te beheren; minimaal voor de duur van de Overeenkomst en daarna zo lang als wettelijk verplicht is.</w:t>
      </w:r>
    </w:p>
    <w:p w:rsidR="002E3DE8" w:rsidRDefault="002E3DE8">
      <w:pPr>
        <w:pStyle w:val="Sourcingcontractlevel2"/>
        <w:spacing w:line="270" w:lineRule="exact"/>
      </w:pPr>
      <w:bookmarkStart w:id="46" w:name="_Ref280198917"/>
      <w:r>
        <w:t>[Leverancier erkent de bevoegdheid van bepaalde toezichthoudende autoriteiten en/of instanties (zoals De Nederlandsche Bank, de AFM of de NMa) om:</w:t>
      </w:r>
      <w:bookmarkEnd w:id="46"/>
    </w:p>
    <w:p w:rsidR="002E3DE8" w:rsidRDefault="002E3DE8">
      <w:pPr>
        <w:spacing w:line="270" w:lineRule="exact"/>
        <w:rPr>
          <w:kern w:val="28"/>
          <w:szCs w:val="20"/>
          <w:lang w:eastAsia="zh-CN"/>
        </w:rPr>
      </w:pPr>
    </w:p>
    <w:p w:rsidR="002E3DE8" w:rsidRDefault="002E3DE8">
      <w:pPr>
        <w:pStyle w:val="Sourcingcontractpagnr"/>
        <w:spacing w:line="270" w:lineRule="exact"/>
        <w:ind w:left="1412" w:hanging="705"/>
        <w:rPr>
          <w:kern w:val="28"/>
          <w:sz w:val="24"/>
          <w:lang w:eastAsia="zh-CN"/>
        </w:rPr>
      </w:pPr>
      <w:r>
        <w:rPr>
          <w:kern w:val="28"/>
          <w:sz w:val="24"/>
          <w:szCs w:val="20"/>
          <w:lang w:eastAsia="zh-CN"/>
        </w:rPr>
        <w:t>informatie in te winnen bij of van Leverancier respectievelijk door Leverancier ingeschakelde derden of de externe accountant van Leverancier omtrent de Diensten; en/of</w:t>
      </w:r>
    </w:p>
    <w:p w:rsidR="002E3DE8" w:rsidRDefault="002E3DE8">
      <w:pPr>
        <w:pStyle w:val="Sourcingcontractpagnr"/>
        <w:spacing w:line="270" w:lineRule="exact"/>
        <w:ind w:left="1412" w:hanging="705"/>
        <w:rPr>
          <w:sz w:val="24"/>
        </w:rPr>
      </w:pPr>
      <w:r>
        <w:rPr>
          <w:kern w:val="28"/>
          <w:sz w:val="24"/>
          <w:szCs w:val="20"/>
          <w:lang w:eastAsia="zh-CN"/>
        </w:rPr>
        <w:t xml:space="preserve">desgewenst onderzoek te doen of te laten doen bij Leverancier of de door Leverancier ingeschakelde derden, bijvoorbeeld onderzoeken naar de bedrijfsvoering en bedrijfsprocessen in het kader van de verlening van de Diensten; </w:t>
      </w:r>
    </w:p>
    <w:p w:rsidR="002E3DE8" w:rsidRDefault="002E3DE8">
      <w:pPr>
        <w:spacing w:line="270" w:lineRule="exact"/>
      </w:pPr>
    </w:p>
    <w:p w:rsidR="002E3DE8" w:rsidRDefault="002E3DE8">
      <w:pPr>
        <w:pStyle w:val="Sourcingcontractlevel2"/>
        <w:numPr>
          <w:ilvl w:val="1"/>
          <w:numId w:val="0"/>
        </w:numPr>
        <w:tabs>
          <w:tab w:val="num" w:pos="709"/>
        </w:tabs>
        <w:spacing w:line="270" w:lineRule="exact"/>
        <w:ind w:left="709" w:hanging="709"/>
      </w:pPr>
      <w:r>
        <w:tab/>
        <w:t>en verplicht zich om onverkort aan dergelijke verzoeken om informatie en onderzoeken zijn volledige medewerking te verlenen. Leverancier zal – voor zover nodig - er voor zorg dragen dat door haar ingeschakelde derden en haar (externe) accountant eveneens volledige medewerking verlenen aan deze controlewerkzaamheden.]</w:t>
      </w:r>
      <w:r>
        <w:rPr>
          <w:rStyle w:val="Voetnootmarkering"/>
        </w:rPr>
        <w:footnoteReference w:id="31"/>
      </w:r>
      <w:r>
        <w:tab/>
      </w:r>
    </w:p>
    <w:p w:rsidR="002E3DE8" w:rsidRDefault="002E3DE8">
      <w:pPr>
        <w:pStyle w:val="Sourcingcontractlevel2"/>
        <w:spacing w:line="270" w:lineRule="exact"/>
      </w:pPr>
      <w:bookmarkStart w:id="47" w:name="_Ref280198934"/>
      <w:r>
        <w:t>[Leverancier zal Klant onmiddellijk op de hoogte stellen, indien een bedrijf, instantie of andere autoriteit zich bij haar meldt met het verzoek controlewerkzaamheden uit te mogen voeren in het kader van de Diensten die Leverancier onder de Overeenkomst ten behoeve van Klant verricht.]</w:t>
      </w:r>
      <w:bookmarkEnd w:id="47"/>
    </w:p>
    <w:p w:rsidR="002E3DE8" w:rsidRDefault="002E3DE8">
      <w:pPr>
        <w:pStyle w:val="Sourcingcontractlevel1"/>
        <w:spacing w:line="270" w:lineRule="exact"/>
        <w:rPr>
          <w:szCs w:val="21"/>
        </w:rPr>
      </w:pPr>
      <w:bookmarkStart w:id="48" w:name="_Toc281925023"/>
      <w:r>
        <w:rPr>
          <w:b/>
          <w:bCs/>
        </w:rPr>
        <w:t>Benchmarking</w:t>
      </w:r>
      <w:bookmarkEnd w:id="48"/>
    </w:p>
    <w:p w:rsidR="002E3DE8" w:rsidRDefault="002E3DE8">
      <w:pPr>
        <w:pStyle w:val="Sourcingcontractlevel2"/>
        <w:spacing w:line="270" w:lineRule="exact"/>
      </w:pPr>
      <w:r>
        <w:rPr>
          <w:szCs w:val="21"/>
        </w:rPr>
        <w:t xml:space="preserve">Leverancier verplicht zich op het eerste verzoek van Klant mee te werken aan een in opdracht van de Klant uit te voeren onderzoek (het Benchmarkonderzoek) naar de </w:t>
      </w:r>
      <w:r>
        <w:t>marktconformiteit</w:t>
      </w:r>
      <w:r>
        <w:rPr>
          <w:szCs w:val="21"/>
        </w:rPr>
        <w:t xml:space="preserve"> van de prijs-kwaliteitsverhouding van de Diensten in hun geheel.</w:t>
      </w:r>
      <w:r>
        <w:rPr>
          <w:rStyle w:val="Voetnootmarkering"/>
          <w:szCs w:val="21"/>
        </w:rPr>
        <w:footnoteReference w:id="32"/>
      </w:r>
    </w:p>
    <w:p w:rsidR="002E3DE8" w:rsidRDefault="002E3DE8">
      <w:pPr>
        <w:pStyle w:val="Sourcingcontractlevel2"/>
        <w:spacing w:line="270" w:lineRule="exact"/>
      </w:pPr>
      <w:r>
        <w:rPr>
          <w:szCs w:val="21"/>
        </w:rPr>
        <w:t>Een Benchmarkonderzoek zal voor het eerst [in het derde Contractjaar] mogen worden gehouden en niet vaker dan eens per [drie jaar] plaatsvinden.</w:t>
      </w:r>
    </w:p>
    <w:p w:rsidR="002E3DE8" w:rsidRDefault="002E3DE8">
      <w:pPr>
        <w:pStyle w:val="Sourcingcontractlevel2"/>
        <w:spacing w:line="270" w:lineRule="exact"/>
      </w:pPr>
      <w:r>
        <w:rPr>
          <w:szCs w:val="21"/>
        </w:rPr>
        <w:t xml:space="preserve">Klant verplicht zich om de inhoud van het rapport van het Benchmarkonderzoek direct na verschijnen te delen met de Leverancier. Partijen verplichten zich de uitkomst van het Benchmarkonderzoek binnen een termijn van […] nadat het rapport aan </w:t>
      </w:r>
      <w:r>
        <w:rPr>
          <w:szCs w:val="21"/>
        </w:rPr>
        <w:lastRenderedPageBreak/>
        <w:t>Leverancier is verstrekt te bespreken en de Overeenkomst zo nodig daarop aan te passen.</w:t>
      </w:r>
      <w:r>
        <w:rPr>
          <w:rStyle w:val="Voetnootmarkering"/>
          <w:szCs w:val="21"/>
        </w:rPr>
        <w:footnoteReference w:id="33"/>
      </w:r>
    </w:p>
    <w:p w:rsidR="002E3DE8" w:rsidRDefault="002E3DE8">
      <w:pPr>
        <w:pStyle w:val="Sourcingcontractlevel2"/>
        <w:spacing w:line="270" w:lineRule="exact"/>
      </w:pPr>
      <w:r>
        <w:rPr>
          <w:szCs w:val="21"/>
        </w:rPr>
        <w:t>Met betrekking tot de kosten van een Benchmarkonderzoek geldt het volgende: […]</w:t>
      </w:r>
      <w:r>
        <w:rPr>
          <w:rStyle w:val="Voetnootmarkering"/>
          <w:szCs w:val="21"/>
        </w:rPr>
        <w:footnoteReference w:id="34"/>
      </w:r>
    </w:p>
    <w:p w:rsidR="002E3DE8" w:rsidRDefault="002E3DE8">
      <w:pPr>
        <w:pStyle w:val="Sourcingcontractlevel2"/>
        <w:spacing w:line="270" w:lineRule="exact"/>
      </w:pPr>
      <w:r>
        <w:t>Het Benchmarkonderzoek zal geschieden door een daartoe gekwalificeerde, onafhankelijke derde naar keuze van Klant.</w:t>
      </w:r>
      <w:r>
        <w:rPr>
          <w:rStyle w:val="Voetnootmarkering"/>
        </w:rPr>
        <w:footnoteReference w:id="35"/>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49" w:name="_Toc281925024"/>
      <w:r>
        <w:rPr>
          <w:rFonts w:ascii="Times New Roman" w:hAnsi="Times New Roman" w:cs="Times New Roman"/>
          <w:sz w:val="24"/>
        </w:rPr>
        <w:t>SANCTIES</w:t>
      </w:r>
      <w:bookmarkEnd w:id="49"/>
    </w:p>
    <w:p w:rsidR="002E3DE8" w:rsidRDefault="002E3DE8">
      <w:pPr>
        <w:pStyle w:val="Sourcingcontractlevel1"/>
        <w:spacing w:line="270" w:lineRule="exact"/>
        <w:rPr>
          <w:b/>
          <w:bCs/>
        </w:rPr>
      </w:pPr>
      <w:bookmarkStart w:id="50" w:name="_Toc281925025"/>
      <w:r>
        <w:rPr>
          <w:b/>
        </w:rPr>
        <w:t>Bonus-</w:t>
      </w:r>
      <w:r>
        <w:rPr>
          <w:b/>
          <w:bCs/>
        </w:rPr>
        <w:t>malusregeling</w:t>
      </w:r>
      <w:bookmarkEnd w:id="50"/>
    </w:p>
    <w:p w:rsidR="002E3DE8" w:rsidRDefault="002E3DE8">
      <w:pPr>
        <w:pStyle w:val="Sourcingcontractlevel2"/>
        <w:spacing w:line="270" w:lineRule="exact"/>
      </w:pPr>
      <w:r>
        <w:t xml:space="preserve">Partijen zijn de in </w:t>
      </w:r>
      <w:r>
        <w:rPr>
          <w:b/>
          <w:bCs/>
        </w:rPr>
        <w:t>Bijlage […] (Bonus-malusregeling)</w:t>
      </w:r>
      <w:r>
        <w:t xml:space="preserve"> opgenomen bonus- malusregeling overeengekomen.</w:t>
      </w:r>
      <w:r>
        <w:rPr>
          <w:rStyle w:val="Voetnootmarkering"/>
        </w:rPr>
        <w:footnoteReference w:id="36"/>
      </w:r>
    </w:p>
    <w:p w:rsidR="002E3DE8" w:rsidRDefault="002E3DE8">
      <w:pPr>
        <w:pStyle w:val="Sourcingcontractlevel2"/>
        <w:spacing w:line="270" w:lineRule="exact"/>
      </w:pPr>
      <w:r>
        <w:t>Eventuele malus laat het recht van Klant om nakoming of schade te vorderen onverlet, met dien verstande dat betaalde malus in mindering worden gebracht op een eventuele schadevergoeding die Leverancier ter zake van de betreffende tekortkoming verschuldigd is.</w:t>
      </w:r>
    </w:p>
    <w:p w:rsidR="002E3DE8" w:rsidRDefault="002E3DE8">
      <w:pPr>
        <w:pStyle w:val="Sourcingcontractlevel1"/>
        <w:spacing w:line="270" w:lineRule="exact"/>
        <w:rPr>
          <w:b/>
          <w:bCs/>
        </w:rPr>
      </w:pPr>
      <w:bookmarkStart w:id="51" w:name="_Toc281925026"/>
      <w:r>
        <w:rPr>
          <w:b/>
          <w:bCs/>
        </w:rPr>
        <w:t>Aansprakelijkheid</w:t>
      </w:r>
      <w:bookmarkEnd w:id="51"/>
    </w:p>
    <w:p w:rsidR="002E3DE8" w:rsidRDefault="002E3DE8">
      <w:pPr>
        <w:pStyle w:val="Sourcingcontractlevel2"/>
        <w:spacing w:line="270" w:lineRule="exact"/>
      </w:pPr>
      <w:r>
        <w:t>Aansprakelijkheid van partijen voor schade is beperkt tot directe schade met een maximum van […] per gebeurtenis. Een serie van samenhangende gebeurtenissen geldt als één gebeurtenis. Aansprakelijkheid is voorts beperkt tot […] per Contractjaar.</w:t>
      </w:r>
      <w:r>
        <w:rPr>
          <w:rStyle w:val="Voetnootmarkering"/>
        </w:rPr>
        <w:footnoteReference w:id="37"/>
      </w:r>
    </w:p>
    <w:p w:rsidR="002E3DE8" w:rsidRDefault="002E3DE8">
      <w:pPr>
        <w:pStyle w:val="Sourcingcontractlevel2"/>
        <w:spacing w:line="270" w:lineRule="exact"/>
      </w:pPr>
      <w:r>
        <w:t xml:space="preserve">Aansprakelijkheid voor gevolgschade/indirecte schade is uitgesloten. Onder gevolgschade/indirecte schade wordt in ieder geval verstaan: </w:t>
      </w:r>
    </w:p>
    <w:p w:rsidR="002E3DE8" w:rsidRDefault="002E3DE8">
      <w:pPr>
        <w:pStyle w:val="Sourcingcontractpagnr"/>
        <w:spacing w:line="270" w:lineRule="exact"/>
        <w:ind w:hanging="1"/>
        <w:rPr>
          <w:kern w:val="28"/>
          <w:sz w:val="24"/>
          <w:lang w:eastAsia="zh-CN"/>
        </w:rPr>
      </w:pPr>
      <w:r>
        <w:rPr>
          <w:kern w:val="28"/>
          <w:sz w:val="24"/>
          <w:lang w:eastAsia="zh-CN"/>
        </w:rPr>
        <w:t>[schade door winstderving;</w:t>
      </w:r>
    </w:p>
    <w:p w:rsidR="002E3DE8" w:rsidRDefault="002E3DE8">
      <w:pPr>
        <w:pStyle w:val="Sourcingcontractpagnr"/>
        <w:numPr>
          <w:ilvl w:val="0"/>
          <w:numId w:val="0"/>
        </w:numPr>
        <w:spacing w:line="270" w:lineRule="exact"/>
        <w:ind w:left="708"/>
        <w:rPr>
          <w:kern w:val="28"/>
          <w:sz w:val="24"/>
          <w:lang w:eastAsia="zh-CN"/>
        </w:rPr>
      </w:pPr>
    </w:p>
    <w:p w:rsidR="002E3DE8" w:rsidRDefault="002E3DE8">
      <w:pPr>
        <w:pStyle w:val="Sourcingcontractpagnr"/>
        <w:spacing w:line="270" w:lineRule="exact"/>
        <w:ind w:hanging="1"/>
        <w:rPr>
          <w:sz w:val="24"/>
        </w:rPr>
      </w:pPr>
      <w:r>
        <w:rPr>
          <w:sz w:val="24"/>
        </w:rPr>
        <w:t>schade door gemiste besparingen;</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spacing w:line="270" w:lineRule="exact"/>
        <w:ind w:hanging="1"/>
        <w:rPr>
          <w:sz w:val="24"/>
        </w:rPr>
      </w:pPr>
      <w:r>
        <w:rPr>
          <w:sz w:val="24"/>
        </w:rPr>
        <w:t>immateriële schade;]</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spacing w:line="270" w:lineRule="exact"/>
        <w:ind w:hanging="1"/>
        <w:rPr>
          <w:sz w:val="24"/>
        </w:rPr>
      </w:pPr>
      <w:r>
        <w:rPr>
          <w:sz w:val="24"/>
        </w:rPr>
        <w:t>[andere schade dan directe schade].</w:t>
      </w:r>
      <w:r>
        <w:rPr>
          <w:rStyle w:val="Voetnootmarkering"/>
          <w:sz w:val="24"/>
        </w:rPr>
        <w:footnoteReference w:id="38"/>
      </w:r>
    </w:p>
    <w:p w:rsidR="002E3DE8" w:rsidRDefault="002E3DE8">
      <w:pPr>
        <w:pStyle w:val="Sourcingcontractpagnr"/>
        <w:numPr>
          <w:ilvl w:val="0"/>
          <w:numId w:val="0"/>
        </w:numPr>
        <w:spacing w:line="270" w:lineRule="exact"/>
        <w:ind w:left="708"/>
        <w:rPr>
          <w:sz w:val="24"/>
        </w:rPr>
      </w:pPr>
    </w:p>
    <w:p w:rsidR="002E3DE8" w:rsidRDefault="002E3DE8">
      <w:pPr>
        <w:pStyle w:val="Sourcingcontractlevel2"/>
        <w:spacing w:line="270" w:lineRule="exact"/>
      </w:pPr>
      <w:r>
        <w:t>De in dit artikel bedoelde beperkingen en uitsluitingen komen te vervallen in geval van:</w:t>
      </w:r>
    </w:p>
    <w:p w:rsidR="002E3DE8" w:rsidRDefault="002E3DE8">
      <w:pPr>
        <w:pStyle w:val="Sourcingcontractpagnr"/>
        <w:tabs>
          <w:tab w:val="clear" w:pos="709"/>
          <w:tab w:val="num" w:pos="1440"/>
        </w:tabs>
        <w:spacing w:line="270" w:lineRule="exact"/>
        <w:ind w:left="1440" w:hanging="732"/>
        <w:rPr>
          <w:sz w:val="24"/>
        </w:rPr>
      </w:pPr>
      <w:r>
        <w:rPr>
          <w:sz w:val="24"/>
        </w:rPr>
        <w:t>opzet of bewuste roekeloosheid van een partij, of haar ondergeschikten of hulppersonen; of</w:t>
      </w:r>
    </w:p>
    <w:p w:rsidR="002E3DE8" w:rsidRDefault="002E3DE8">
      <w:pPr>
        <w:pStyle w:val="Sourcingcontractpagnr"/>
        <w:numPr>
          <w:ilvl w:val="0"/>
          <w:numId w:val="0"/>
        </w:numPr>
        <w:spacing w:line="270" w:lineRule="exact"/>
        <w:ind w:left="708"/>
        <w:rPr>
          <w:kern w:val="28"/>
          <w:sz w:val="24"/>
          <w:szCs w:val="20"/>
          <w:lang w:eastAsia="zh-CN"/>
        </w:rPr>
      </w:pPr>
    </w:p>
    <w:p w:rsidR="002E3DE8" w:rsidRDefault="002E3DE8">
      <w:pPr>
        <w:pStyle w:val="Sourcingcontractpagnr"/>
        <w:spacing w:line="270" w:lineRule="exact"/>
        <w:ind w:hanging="1"/>
        <w:rPr>
          <w:kern w:val="28"/>
          <w:sz w:val="24"/>
          <w:szCs w:val="20"/>
          <w:lang w:eastAsia="zh-CN"/>
        </w:rPr>
      </w:pPr>
      <w:r>
        <w:rPr>
          <w:sz w:val="24"/>
        </w:rPr>
        <w:t>schade als gevolg van dood- of letsel; of</w:t>
      </w:r>
    </w:p>
    <w:p w:rsidR="002E3DE8" w:rsidRDefault="002E3DE8">
      <w:pPr>
        <w:pStyle w:val="Sourcingcontractpagnr"/>
        <w:numPr>
          <w:ilvl w:val="0"/>
          <w:numId w:val="0"/>
        </w:numPr>
        <w:spacing w:line="270" w:lineRule="exact"/>
        <w:ind w:left="708"/>
        <w:rPr>
          <w:kern w:val="28"/>
          <w:sz w:val="24"/>
          <w:szCs w:val="20"/>
          <w:lang w:eastAsia="zh-CN"/>
        </w:rPr>
      </w:pPr>
    </w:p>
    <w:p w:rsidR="002E3DE8" w:rsidRDefault="002E3DE8">
      <w:pPr>
        <w:pStyle w:val="Sourcingcontractpagnr"/>
        <w:spacing w:line="270" w:lineRule="exact"/>
        <w:ind w:hanging="1"/>
        <w:rPr>
          <w:kern w:val="28"/>
          <w:sz w:val="24"/>
          <w:szCs w:val="20"/>
          <w:lang w:eastAsia="zh-CN"/>
        </w:rPr>
      </w:pPr>
      <w:r>
        <w:rPr>
          <w:sz w:val="24"/>
        </w:rPr>
        <w:t>[schade als gevolg van handelen in strijd met het bepaalde in […]</w:t>
      </w:r>
      <w:r>
        <w:rPr>
          <w:rStyle w:val="Voetnootmarkering"/>
          <w:sz w:val="24"/>
        </w:rPr>
        <w:footnoteReference w:id="39"/>
      </w:r>
      <w:r>
        <w:rPr>
          <w:sz w:val="24"/>
        </w:rPr>
        <w:t>].</w:t>
      </w:r>
    </w:p>
    <w:p w:rsidR="002E3DE8" w:rsidRDefault="002E3DE8">
      <w:pPr>
        <w:pStyle w:val="Sourcingcontractpagnr"/>
        <w:numPr>
          <w:ilvl w:val="0"/>
          <w:numId w:val="0"/>
        </w:numPr>
        <w:spacing w:line="270" w:lineRule="exact"/>
        <w:ind w:left="708"/>
        <w:rPr>
          <w:sz w:val="24"/>
        </w:rPr>
      </w:pPr>
    </w:p>
    <w:p w:rsidR="002E3DE8" w:rsidRDefault="002E3DE8">
      <w:pPr>
        <w:pStyle w:val="Sourcingcontractlevel1"/>
        <w:spacing w:line="270" w:lineRule="exact"/>
        <w:rPr>
          <w:b/>
          <w:bCs/>
        </w:rPr>
      </w:pPr>
      <w:bookmarkStart w:id="52" w:name="_Toc281925027"/>
      <w:r>
        <w:rPr>
          <w:b/>
          <w:bCs/>
        </w:rPr>
        <w:t>Vrijwaring</w:t>
      </w:r>
      <w:bookmarkEnd w:id="52"/>
    </w:p>
    <w:p w:rsidR="002E3DE8" w:rsidRDefault="002E3DE8">
      <w:pPr>
        <w:pStyle w:val="Sourcingcontractlevel2"/>
        <w:spacing w:line="270" w:lineRule="exact"/>
      </w:pPr>
      <w:r>
        <w:t>Klant verplicht zich Leverancier te vrijwaren van alle vorderingen van contractpartijen van Klant die er direct of indirect op zijn gebaseerd dat Leverancier te kort is geschoten in de nakoming van deze Overeenkomst.</w:t>
      </w:r>
    </w:p>
    <w:p w:rsidR="002E3DE8" w:rsidRDefault="002E3DE8">
      <w:pPr>
        <w:pStyle w:val="Sourcingcontractlevel1"/>
        <w:spacing w:line="270" w:lineRule="exact"/>
        <w:rPr>
          <w:b/>
        </w:rPr>
      </w:pPr>
      <w:bookmarkStart w:id="53" w:name="_Toc281925028"/>
      <w:r>
        <w:rPr>
          <w:b/>
          <w:bCs/>
        </w:rPr>
        <w:t>Verzekering</w:t>
      </w:r>
      <w:bookmarkEnd w:id="53"/>
    </w:p>
    <w:p w:rsidR="002E3DE8" w:rsidRDefault="002E3DE8">
      <w:pPr>
        <w:pStyle w:val="Sourcingcontractlevel2"/>
        <w:spacing w:line="270" w:lineRule="exact"/>
      </w:pPr>
      <w:r>
        <w:t>Leverancier dient adequaat verzekerd te zijn tegen de aansprakelijkheden onder deze Overeenkomst.</w:t>
      </w:r>
      <w:r>
        <w:rPr>
          <w:rStyle w:val="Voetnootmarkering"/>
        </w:rPr>
        <w:footnoteReference w:id="40"/>
      </w:r>
    </w:p>
    <w:p w:rsidR="002E3DE8" w:rsidRDefault="002E3DE8">
      <w:pPr>
        <w:pStyle w:val="Sourcingcontractlevel1"/>
        <w:spacing w:line="270" w:lineRule="exact"/>
        <w:rPr>
          <w:b/>
        </w:rPr>
      </w:pPr>
      <w:bookmarkStart w:id="54" w:name="_Ref280196429"/>
      <w:bookmarkStart w:id="55" w:name="_Toc281925029"/>
      <w:r>
        <w:rPr>
          <w:b/>
          <w:bCs/>
        </w:rPr>
        <w:t>Overmacht</w:t>
      </w:r>
      <w:bookmarkEnd w:id="54"/>
      <w:bookmarkEnd w:id="55"/>
    </w:p>
    <w:p w:rsidR="002E3DE8" w:rsidRDefault="002E3DE8">
      <w:pPr>
        <w:pStyle w:val="Sourcingcontractlevel2"/>
        <w:spacing w:line="270" w:lineRule="exact"/>
      </w:pPr>
      <w:r>
        <w:t>In geval van overmacht wordt de nakoming door de betrokken partij van de uit deze Overeenkomst voortvloeiende verplichtingen geheel of gedeeltelijk opgeschort voor de duur van zodanige overmacht, zonder dat partijen over en weer tot enige schadevergoeding ter zake gehouden zijn. De desbetreffende partij zal zo spoedig mogelijk, onder overlegging van de nodige b</w:t>
      </w:r>
      <w:r>
        <w:t>e</w:t>
      </w:r>
      <w:r>
        <w:t>wijsstukken, de wederpartij schriftelijk van een geval van overmacht in kennis stellen.</w:t>
      </w:r>
    </w:p>
    <w:p w:rsidR="002E3DE8" w:rsidRDefault="002E3DE8">
      <w:pPr>
        <w:pStyle w:val="Sourcingcontractlevel2"/>
        <w:spacing w:line="270" w:lineRule="exact"/>
      </w:pPr>
      <w:r>
        <w:t>Onder overmacht wordt verstaan de situatie waar een partij te kort schiet in de nakoming van deze Overeenkomst indien de tekortkoming niet is te wijten aan haar schuld, noch krachtens wet, rechtshandeling of in het verkeer geldende opvattingen voor haar rekening komt.</w:t>
      </w:r>
      <w:r>
        <w:rPr>
          <w:rStyle w:val="Voetnootmarkering"/>
        </w:rPr>
        <w:footnoteReference w:id="41"/>
      </w:r>
    </w:p>
    <w:p w:rsidR="002E3DE8" w:rsidRDefault="002E3DE8">
      <w:pPr>
        <w:pStyle w:val="Sourcingcontractlevel2"/>
        <w:spacing w:line="270" w:lineRule="exact"/>
      </w:pPr>
      <w:r>
        <w:lastRenderedPageBreak/>
        <w:t>Een partij die langer dan […] aaneengesloten dagen in overmacht verkeert of waarvan redelijkerwijs vaststaat dat zij langer dan […] dagen in overmacht zal verkeren, wordt geacht in Verzuim te zijn.</w:t>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56" w:name="_Toc281925030"/>
      <w:r>
        <w:rPr>
          <w:rFonts w:ascii="Times New Roman" w:hAnsi="Times New Roman" w:cs="Times New Roman"/>
          <w:sz w:val="24"/>
        </w:rPr>
        <w:t>(INTELLECTUEEL) EIGENDOM EN GEGEVENS</w:t>
      </w:r>
      <w:bookmarkEnd w:id="56"/>
    </w:p>
    <w:p w:rsidR="002E3DE8" w:rsidRDefault="002E3DE8">
      <w:pPr>
        <w:pStyle w:val="Sourcingcontractlevel1"/>
        <w:spacing w:line="270" w:lineRule="exact"/>
      </w:pPr>
      <w:bookmarkStart w:id="57" w:name="_Toc281925031"/>
      <w:r>
        <w:rPr>
          <w:b/>
          <w:bCs/>
        </w:rPr>
        <w:t>Gegevens</w:t>
      </w:r>
      <w:r>
        <w:t xml:space="preserve"> </w:t>
      </w:r>
      <w:r>
        <w:rPr>
          <w:b/>
        </w:rPr>
        <w:t>– algemeen</w:t>
      </w:r>
      <w:bookmarkEnd w:id="57"/>
    </w:p>
    <w:p w:rsidR="002E3DE8" w:rsidRDefault="002E3DE8">
      <w:pPr>
        <w:pStyle w:val="Sourcingcontractlevel2"/>
        <w:spacing w:line="270" w:lineRule="exact"/>
      </w:pPr>
      <w:r>
        <w:t>Deze Overeenkomst brengt geen verandering in de rechten die partijen kunnen laten gelden op hun respectievelijke gegevens.</w:t>
      </w:r>
    </w:p>
    <w:p w:rsidR="002E3DE8" w:rsidRDefault="002E3DE8">
      <w:pPr>
        <w:pStyle w:val="Sourcingcontractlevel1"/>
        <w:spacing w:line="270" w:lineRule="exact"/>
      </w:pPr>
      <w:bookmarkStart w:id="58" w:name="_Toc281925032"/>
      <w:r>
        <w:rPr>
          <w:b/>
        </w:rPr>
        <w:t>(Intellectueel) eigendom en licenties, vrijwaring</w:t>
      </w:r>
      <w:bookmarkEnd w:id="58"/>
    </w:p>
    <w:p w:rsidR="002E3DE8" w:rsidRDefault="002E3DE8">
      <w:pPr>
        <w:pStyle w:val="Sourcingcontractlevel2"/>
        <w:spacing w:line="270" w:lineRule="exact"/>
      </w:pPr>
      <w:r>
        <w:t>Deze Overeenkomst beoogt geen wijziging tot stand te brengen in aanspraken van partijen of derden op intellectuele eigendomsrechten. Zonder andersluidende afspraken blijft ieder der partijen, of de licentiegevers van partijen, bij uitsluiting gerechtigd tot de intellectuele eigendomsrechten van al hun werken, waaronder software en documentatie, inclusief alle uitbreidingen, wijzigingen, verbeteringen en afgeleide werken daarvan.</w:t>
      </w:r>
    </w:p>
    <w:p w:rsidR="002E3DE8" w:rsidRDefault="002E3DE8">
      <w:pPr>
        <w:pStyle w:val="Sourcingcontractlevel2"/>
        <w:spacing w:line="270" w:lineRule="exact"/>
      </w:pPr>
      <w:r>
        <w:t>Alle rechten van intellectuele eigendom van software of een ander werk dat specifiek ten behoeve van Klant wordt ontwikkeld door Leverancier, berusten bij [Klant/Leverancier].</w:t>
      </w:r>
      <w:r>
        <w:rPr>
          <w:rStyle w:val="Voetnootmarkering"/>
        </w:rPr>
        <w:footnoteReference w:id="42"/>
      </w:r>
    </w:p>
    <w:p w:rsidR="002E3DE8" w:rsidRDefault="002E3DE8">
      <w:pPr>
        <w:pStyle w:val="Sourcingcontractlevel2"/>
        <w:spacing w:line="270" w:lineRule="exact"/>
      </w:pPr>
      <w:r>
        <w:t>Ieder der partijen (</w:t>
      </w:r>
      <w:r>
        <w:rPr>
          <w:b/>
          <w:bCs/>
        </w:rPr>
        <w:t xml:space="preserve">"de Vrijwarende Partij") </w:t>
      </w:r>
      <w:r>
        <w:t>vrijwaart de ander partij (</w:t>
      </w:r>
      <w:r>
        <w:rPr>
          <w:b/>
          <w:bCs/>
        </w:rPr>
        <w:t>"de Gevrijwaarde Partij")</w:t>
      </w:r>
      <w:r>
        <w:t xml:space="preserve"> van rechtsvorderingen van derden die er op zijn gebaseerd dat het gebruik door de Gevrijwaarde Partij van door de Vrijwarende Partij geleverde of ter beschikking gestelde software, hardware of andere zaken inbreuk maakt op de intellectuele eigendomsrechten van de betreffende derde, behoudens voor zover de inbreuk is veroorzaakt doordat de Gevrijwaarde Partij haar verplichtingen onder deze Overeenkomst niet nakomt. Voorwaarde voor deze vrijwaring is dat de Gevrijwaarde Partij de Vrijwarende Partij in het voorkomende geval direct schriftelijk op de hoogte stelt van de claim van de derde en de afhandeling van de claim, waaronder begrepen het eventueel treffen van een schikking, overlaat aan de Vrijwarende Partij.</w:t>
      </w:r>
    </w:p>
    <w:p w:rsidR="002E3DE8" w:rsidRDefault="002E3DE8">
      <w:pPr>
        <w:pStyle w:val="Sourcingcontractlevel1"/>
        <w:spacing w:line="270" w:lineRule="exact"/>
      </w:pPr>
      <w:bookmarkStart w:id="59" w:name="_Toc281925033"/>
      <w:r>
        <w:rPr>
          <w:b/>
        </w:rPr>
        <w:t>Geheimhouding</w:t>
      </w:r>
      <w:bookmarkEnd w:id="59"/>
    </w:p>
    <w:p w:rsidR="002E3DE8" w:rsidRDefault="002E3DE8">
      <w:pPr>
        <w:pStyle w:val="Sourcingcontractlevel2"/>
        <w:spacing w:line="270" w:lineRule="exact"/>
      </w:pPr>
      <w:r>
        <w:rPr>
          <w:szCs w:val="21"/>
        </w:rPr>
        <w:t xml:space="preserve">Partijen verplichten zich over en weer om alle informatie en gegevens waarvan partijen kennisnemen bij de uitvoering van deze Overeenkomst, met inbegrip van bedrijfsgegevens, klantgegevens, aankoop- en </w:t>
      </w:r>
      <w:r>
        <w:t>verkoopgegevens vertrouwelijk te behandelen. Partijen verbinden zich dergelijke informatie en gegevens niet zonder de schriftelijke toestemming van de andere partij aan derden kenbaar te maken anders dan noodzakelijk is voor de uitvoering van deze Overeenkomst. De geheimhoudingsplicht geldt voor [de duur van deze Overeenkomst/onbepaalde duur/[…] jaar na kennisneming van de betreffende informatie].</w:t>
      </w:r>
    </w:p>
    <w:p w:rsidR="002E3DE8" w:rsidRDefault="002E3DE8">
      <w:pPr>
        <w:pStyle w:val="Sourcingcontractlevel2"/>
        <w:spacing w:line="270" w:lineRule="exact"/>
      </w:pPr>
      <w:r>
        <w:lastRenderedPageBreak/>
        <w:t>Partijen zullen hun ondergeschikten en derden die belast zijn met de uitvoering van deze Overeenkomst verplichten een soortgelijke geheimhoudingsverplichting na te leven.</w:t>
      </w:r>
    </w:p>
    <w:p w:rsidR="002E3DE8" w:rsidRDefault="002E3DE8">
      <w:pPr>
        <w:pStyle w:val="Sourcingcontractlevel2"/>
        <w:spacing w:line="270" w:lineRule="exact"/>
      </w:pPr>
      <w:r>
        <w:t>De geheimhoudingsverplichting zoals vastgelegd in dit artikel is niet van toepassing op informatie en gegevens:</w:t>
      </w:r>
    </w:p>
    <w:p w:rsidR="002E3DE8" w:rsidRDefault="002E3DE8">
      <w:pPr>
        <w:pStyle w:val="Sourcingcontractpagnr"/>
        <w:tabs>
          <w:tab w:val="clear" w:pos="709"/>
          <w:tab w:val="num" w:pos="1440"/>
        </w:tabs>
        <w:spacing w:line="270" w:lineRule="exact"/>
        <w:ind w:left="1440" w:hanging="732"/>
        <w:rPr>
          <w:sz w:val="24"/>
        </w:rPr>
      </w:pPr>
      <w:r>
        <w:rPr>
          <w:sz w:val="24"/>
        </w:rPr>
        <w:t xml:space="preserve">die openbaar en/of bekend zijn zonder dat deze openbaarmaking een gevolg is van ongeoorloofde daad van de openbaarmakende partij; of </w:t>
      </w:r>
    </w:p>
    <w:p w:rsidR="002E3DE8" w:rsidRDefault="002E3DE8">
      <w:pPr>
        <w:pStyle w:val="Sourcingcontractpagnr"/>
        <w:tabs>
          <w:tab w:val="clear" w:pos="709"/>
          <w:tab w:val="num" w:pos="1440"/>
        </w:tabs>
        <w:spacing w:line="270" w:lineRule="exact"/>
        <w:ind w:left="1440" w:hanging="732"/>
        <w:rPr>
          <w:sz w:val="24"/>
        </w:rPr>
      </w:pPr>
      <w:r>
        <w:rPr>
          <w:sz w:val="24"/>
        </w:rPr>
        <w:t>waarvan vrijgave is vereist op grond van enige bepaling van wet- of regelgeving, een verzoek van een toezichthouder, of in het kader van een gerechtelijke procedure, een en ander, indien redelijkerwijs mogelijk, op voorwaarde van voorafgaande schriftelijke kennisgeving aan de andere partij en afstemming te goeder trouw over de inhoud van de vrijgave.</w:t>
      </w:r>
    </w:p>
    <w:p w:rsidR="002E3DE8" w:rsidRDefault="002E3DE8">
      <w:pPr>
        <w:pStyle w:val="Sourcingcontractpagnr"/>
        <w:numPr>
          <w:ilvl w:val="0"/>
          <w:numId w:val="0"/>
        </w:numPr>
        <w:spacing w:line="270" w:lineRule="exact"/>
        <w:ind w:left="709" w:hanging="709"/>
        <w:rPr>
          <w:sz w:val="24"/>
        </w:rPr>
      </w:pPr>
    </w:p>
    <w:p w:rsidR="002E3DE8" w:rsidRDefault="002E3DE8">
      <w:pPr>
        <w:pStyle w:val="Sourcingcontractlevel2"/>
        <w:spacing w:line="270" w:lineRule="exact"/>
      </w:pPr>
      <w:r>
        <w:t>In geval van beëindiging van deze Overeenkomst, zal naar keuze van de partij van wie informatie afkomstig is, de andere partij de informatie die zij ten tijde van de uitvoering van deze Overeenkomst van de andere partij heeft ontvangen, met inbegrip van de door de ontvangende partij gemaakte kopieën en de op basis van deze informatie vervaardigde (digitale) documenten, vernietigen, dan wel aan de andere partij retourneren, onverminderd het recht van partijen informatie te bewaren voor zover dit nodig is om te voldoen aan de nakoming van een verplichting uit toepasselijke wet- of regelgeving.</w:t>
      </w:r>
    </w:p>
    <w:p w:rsidR="002E3DE8" w:rsidRDefault="002E3DE8">
      <w:pPr>
        <w:pStyle w:val="Sourcingcontractlevel2"/>
        <w:spacing w:line="270" w:lineRule="exact"/>
      </w:pPr>
      <w:r>
        <w:t>[Bij overtreding van de voorgaande artikelleden is de overtredende partij een onmiddellijk opeisbare boete van [ € …] verschuldigd aan de andere partij, onverminderd het recht op schadevergoeding en overige wettelijke rechten.]</w:t>
      </w:r>
    </w:p>
    <w:p w:rsidR="002E3DE8" w:rsidRDefault="002E3DE8">
      <w:pPr>
        <w:pStyle w:val="Sourcingcontractlevel2"/>
        <w:spacing w:line="270" w:lineRule="exact"/>
      </w:pPr>
      <w:r>
        <w:t>Leverancier is [niet] gerechtigd om zonder voorafgaande schriftelijke toestemming van Klant [,welke toetstemming niet op onredelijke gronden zal worden geweigerd,] in publicaties of reclame-uitingen melding te maken van het bestaan van een relatie met Klant. [Elke toestemming geldt tot wederopzegging.]</w:t>
      </w:r>
    </w:p>
    <w:p w:rsidR="002E3DE8" w:rsidRDefault="002E3DE8">
      <w:pPr>
        <w:pStyle w:val="Sourcingcontractlevel1"/>
        <w:spacing w:line="270" w:lineRule="exact"/>
        <w:rPr>
          <w:b/>
        </w:rPr>
      </w:pPr>
      <w:bookmarkStart w:id="60" w:name="_Toc281925034"/>
      <w:r>
        <w:rPr>
          <w:b/>
        </w:rPr>
        <w:t>Beveiliging</w:t>
      </w:r>
      <w:bookmarkEnd w:id="60"/>
    </w:p>
    <w:p w:rsidR="002E3DE8" w:rsidRDefault="002E3DE8">
      <w:pPr>
        <w:pStyle w:val="Sourcingcontractlevel2"/>
        <w:spacing w:line="270" w:lineRule="exact"/>
      </w:pPr>
      <w:r>
        <w:rPr>
          <w:szCs w:val="21"/>
        </w:rPr>
        <w:t xml:space="preserve">Leverancier </w:t>
      </w:r>
      <w:r>
        <w:t>verplicht zich beveiligingsmaatregelen te treffen conform [ISO 27001 en 27002].</w:t>
      </w:r>
      <w:r>
        <w:rPr>
          <w:rStyle w:val="Voetnootmarkering"/>
        </w:rPr>
        <w:footnoteReference w:id="43"/>
      </w:r>
    </w:p>
    <w:p w:rsidR="002E3DE8" w:rsidRDefault="002E3DE8">
      <w:pPr>
        <w:pStyle w:val="Sourcingcontractlevel1"/>
        <w:spacing w:line="270" w:lineRule="exact"/>
        <w:rPr>
          <w:b/>
          <w:szCs w:val="21"/>
        </w:rPr>
      </w:pPr>
      <w:bookmarkStart w:id="61" w:name="_Toc281925035"/>
      <w:r>
        <w:rPr>
          <w:b/>
        </w:rPr>
        <w:t>Wet</w:t>
      </w:r>
      <w:r>
        <w:t xml:space="preserve"> </w:t>
      </w:r>
      <w:r>
        <w:rPr>
          <w:b/>
        </w:rPr>
        <w:t>bescherming persoonsgegevens</w:t>
      </w:r>
      <w:bookmarkEnd w:id="61"/>
    </w:p>
    <w:p w:rsidR="002E3DE8" w:rsidRDefault="002E3DE8">
      <w:pPr>
        <w:pStyle w:val="Sourcingcontractlevel2"/>
        <w:spacing w:line="270" w:lineRule="exact"/>
      </w:pPr>
      <w:r>
        <w:rPr>
          <w:szCs w:val="21"/>
        </w:rPr>
        <w:t>Ieder der partijen zal de op haar rustende verplichtingen uit hoofde van de Wet bescherming persoonsgegevens</w:t>
      </w:r>
      <w:r>
        <w:t xml:space="preserve"> ("Wbp") naleven.</w:t>
      </w:r>
      <w:r>
        <w:rPr>
          <w:rStyle w:val="Voetnootmarkering"/>
        </w:rPr>
        <w:footnoteReference w:id="44"/>
      </w:r>
    </w:p>
    <w:p w:rsidR="002E3DE8" w:rsidRDefault="002E3DE8">
      <w:pPr>
        <w:pStyle w:val="Sourcingcontractlevel2"/>
        <w:spacing w:line="270" w:lineRule="exact"/>
      </w:pPr>
      <w:r>
        <w:t xml:space="preserve">Op voet van artikel 13 Wbp verplicht Leverancier zich om passende technische en organisatorische </w:t>
      </w:r>
      <w:r>
        <w:rPr>
          <w:szCs w:val="21"/>
        </w:rPr>
        <w:t>maatregelen</w:t>
      </w:r>
      <w:r>
        <w:t xml:space="preserve"> ten uitvoer leggen om persoonsgegevens te beveiligen </w:t>
      </w:r>
      <w:r>
        <w:lastRenderedPageBreak/>
        <w:t>tegen verlies of tegen enige vorm van onrechtmatige verwerking. Leverancier verplicht zich er op toe te zien dat deze maatregelen een passend beveiligingsniveau garanderen, rekening houdend met de stand van de techniek en de kosten van de tenuitvoerlegging, gelet op de risico's die de verwerking en de aard van te beschermen gegevens met zich meebrengen. De maatregelen zullen er mede op zijn gericht onnodige verzameling en verdere verwerking van persoonsgegevens te voorkomen.</w:t>
      </w:r>
    </w:p>
    <w:p w:rsidR="002E3DE8" w:rsidRDefault="002E3DE8">
      <w:pPr>
        <w:pStyle w:val="Sourcingcontractlevel2"/>
        <w:spacing w:line="270" w:lineRule="exact"/>
      </w:pPr>
      <w:r>
        <w:t>Partijen zullen elkaar over en weer vrijwaren voor aanspraken van derden die jegens de gevrijwaarde partij mochten worden ingesteld wegens een aan de vrijwarende partij toe te rekenen schending van de Wbp,</w:t>
      </w:r>
      <w:r>
        <w:rPr>
          <w:szCs w:val="21"/>
        </w:rPr>
        <w:t xml:space="preserve"> tenzij de vrijwarende partij aantoont dat de betreffende schending (mede) aan de andere partij is toe te rekenen.</w:t>
      </w:r>
    </w:p>
    <w:p w:rsidR="002E3DE8" w:rsidRDefault="002E3DE8">
      <w:pPr>
        <w:pStyle w:val="Sourcingcontractlevel2"/>
        <w:spacing w:line="270" w:lineRule="exact"/>
      </w:pPr>
      <w:r>
        <w:rPr>
          <w:szCs w:val="21"/>
        </w:rPr>
        <w:t xml:space="preserve">Klant is te allen tijde gerechtigd op eigen kosten door een register EDP-auditor te laten controleren of Leverancier het bepaalde in dit artikel naleeft. </w:t>
      </w:r>
      <w:r>
        <w:t>Leverancier is gerechtigd te verlangen dat de register EDP-auditor een geheimhoudingsverklaring ondertekent ten gunste van Leverancier. De geheimhoudingsverklaring zal die voorwaarden bevatten die gebruikelijk zijn voor dit soort verklaringen. Dergelijke controles zullen worden afgestemd met Leverancier, opdat de bedrijfsvoering van Leverancier zo min mogelijk wordt verstoord.</w:t>
      </w:r>
    </w:p>
    <w:p w:rsidR="002E3DE8" w:rsidRDefault="002E3DE8">
      <w:pPr>
        <w:pStyle w:val="Sourcingcontractlevel2"/>
        <w:spacing w:line="270" w:lineRule="exact"/>
      </w:pPr>
      <w:r>
        <w:t>Tenzij anders overeengekomen zal Leverancier geen van Klant afkomstige persoonsgegevens buiten de Europese Economische Ruimte brengen zonder voorafgaande schriftelijke toestemming van Klant. Deze toestemming zal niet op onredelijke gronden worden onthouden, maar kan aan redelijke voorwaarden worden verbonden.</w:t>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62" w:name="_Toc281925036"/>
      <w:r>
        <w:rPr>
          <w:rFonts w:ascii="Times New Roman" w:hAnsi="Times New Roman" w:cs="Times New Roman"/>
          <w:sz w:val="24"/>
        </w:rPr>
        <w:t>DUUR, BEËINDIGING EN EXITASSISTENTIE</w:t>
      </w:r>
      <w:bookmarkEnd w:id="62"/>
    </w:p>
    <w:p w:rsidR="002E3DE8" w:rsidRDefault="002E3DE8">
      <w:pPr>
        <w:pStyle w:val="Sourcingcontractlevel1"/>
        <w:spacing w:line="270" w:lineRule="exact"/>
        <w:rPr>
          <w:b/>
        </w:rPr>
      </w:pPr>
      <w:bookmarkStart w:id="63" w:name="_Toc281925037"/>
      <w:r>
        <w:rPr>
          <w:b/>
        </w:rPr>
        <w:t>Duur en beëindiging</w:t>
      </w:r>
      <w:bookmarkEnd w:id="63"/>
    </w:p>
    <w:p w:rsidR="002E3DE8" w:rsidRDefault="002E3DE8">
      <w:pPr>
        <w:pStyle w:val="Sourcingcontractlevel2"/>
        <w:spacing w:line="270" w:lineRule="exact"/>
      </w:pPr>
      <w:r>
        <w:t>Deze Overeenkomst treedt in werking op Ingangsdatum en is aangegaan voor de in het Contractblad vermelde duur. Na verloop van deze periode wordt de Overeenkomst van rechtswege stilzwijgend verlengd met een periode van […], tenzij de Overeenkomst door een der partijen tegen het einde van de looptijd schriftelijk wordt opgezegd, met inachtneming van een opzegtermijn van ten minste […] maanden.</w:t>
      </w:r>
      <w:r>
        <w:rPr>
          <w:rStyle w:val="Voetnootmarkering"/>
        </w:rPr>
        <w:footnoteReference w:id="45"/>
      </w:r>
    </w:p>
    <w:p w:rsidR="002E3DE8" w:rsidRDefault="002E3DE8">
      <w:pPr>
        <w:pStyle w:val="Sourcingcontractlevel2"/>
        <w:spacing w:line="270" w:lineRule="exact"/>
      </w:pPr>
      <w:r>
        <w:t xml:space="preserve">Buiten hetgeen elders in deze Overeenkomst is bepaald, is ieder der partijen gerechtigd deze Overeenkomst door middel van een aangetekend schrijven geheel of gedeeltelijk te ontbinden indien: </w:t>
      </w:r>
    </w:p>
    <w:p w:rsidR="002E3DE8" w:rsidRDefault="002E3DE8">
      <w:pPr>
        <w:pStyle w:val="Sourcingcontractpagnr"/>
        <w:tabs>
          <w:tab w:val="clear" w:pos="709"/>
          <w:tab w:val="num" w:pos="1440"/>
        </w:tabs>
        <w:spacing w:line="270" w:lineRule="exact"/>
        <w:ind w:left="1440" w:hanging="732"/>
        <w:rPr>
          <w:sz w:val="24"/>
        </w:rPr>
      </w:pPr>
      <w:r>
        <w:rPr>
          <w:sz w:val="24"/>
        </w:rPr>
        <w:t>de andere partij in Verzuim is, tenzij de tekortkoming, gezien haar bijzondere aard of geringe betekenis, deze ontbinding met haar gevolgen niet rechtvaardigt;</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de andere partij surseance van betaling aanvraagt of haar surseance van betaling wordt verleend;</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de andere partij haar faillissement aanvraagt of in staat van faillissement wordt verklaard;</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de onderneming van de andere partij wordt geliquideerd, of;</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de andere partij haar huidige onderneming staakt.</w:t>
      </w:r>
      <w:r>
        <w:rPr>
          <w:rStyle w:val="Voetnootmarkering"/>
          <w:sz w:val="24"/>
        </w:rPr>
        <w:footnoteReference w:id="46"/>
      </w:r>
    </w:p>
    <w:p w:rsidR="002E3DE8" w:rsidRDefault="002E3DE8">
      <w:pPr>
        <w:pStyle w:val="Sourcingcontractlevel2"/>
        <w:numPr>
          <w:ilvl w:val="0"/>
          <w:numId w:val="0"/>
        </w:numPr>
        <w:spacing w:line="270" w:lineRule="exact"/>
        <w:rPr>
          <w:szCs w:val="21"/>
        </w:rPr>
      </w:pPr>
    </w:p>
    <w:p w:rsidR="002E3DE8" w:rsidRDefault="002E3DE8">
      <w:pPr>
        <w:pStyle w:val="Sourcingcontractlevel2"/>
        <w:spacing w:line="270" w:lineRule="exact"/>
        <w:rPr>
          <w:szCs w:val="21"/>
        </w:rPr>
      </w:pPr>
      <w:r>
        <w:rPr>
          <w:szCs w:val="21"/>
        </w:rPr>
        <w:t xml:space="preserve">[Klant is gerechtigd om de Overeenkomst zonder nadere motivering tussentijds te beëindigen [tegen het einde van enig Contractjaar, voor het eerst tegen het einde van het […] </w:t>
      </w:r>
      <w:r>
        <w:t>Contractjaar</w:t>
      </w:r>
      <w:r>
        <w:rPr>
          <w:szCs w:val="21"/>
        </w:rPr>
        <w:t>] met inachtneming van een opzegtermijn van minstens [6] maanden, in welk geval Klant de volgende opzegvergoeding is verschuldigd:</w:t>
      </w:r>
    </w:p>
    <w:p w:rsidR="002E3DE8" w:rsidRDefault="002E3DE8">
      <w:pPr>
        <w:pStyle w:val="Sourcingcontractpagnr"/>
        <w:tabs>
          <w:tab w:val="clear" w:pos="709"/>
          <w:tab w:val="num" w:pos="1440"/>
        </w:tabs>
        <w:spacing w:line="270" w:lineRule="exact"/>
        <w:ind w:left="1440" w:hanging="732"/>
        <w:rPr>
          <w:sz w:val="24"/>
        </w:rPr>
      </w:pPr>
      <w:r>
        <w:rPr>
          <w:sz w:val="24"/>
        </w:rPr>
        <w:t>[…] bij beëindiging tegen het einde van het […] Contractjaar;</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 bij beëindiging tegen het einde van het […] Contractjaar;</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 bij beëindiging tegen het einde van het […] Contractjaar.]</w:t>
      </w:r>
      <w:r>
        <w:rPr>
          <w:rStyle w:val="Voetnootmarkering"/>
          <w:sz w:val="24"/>
        </w:rPr>
        <w:footnoteReference w:id="47"/>
      </w:r>
    </w:p>
    <w:p w:rsidR="002E3DE8" w:rsidRDefault="002E3DE8">
      <w:pPr>
        <w:pStyle w:val="Sourcingcontractpagnr"/>
        <w:numPr>
          <w:ilvl w:val="0"/>
          <w:numId w:val="0"/>
        </w:numPr>
        <w:spacing w:line="270" w:lineRule="exact"/>
        <w:ind w:left="708"/>
        <w:rPr>
          <w:sz w:val="24"/>
        </w:rPr>
      </w:pPr>
    </w:p>
    <w:p w:rsidR="002E3DE8" w:rsidRDefault="002E3DE8">
      <w:pPr>
        <w:pStyle w:val="Sourcingcontractlevel1"/>
        <w:spacing w:line="270" w:lineRule="exact"/>
        <w:rPr>
          <w:b/>
        </w:rPr>
      </w:pPr>
      <w:bookmarkStart w:id="64" w:name="_Toc281925038"/>
      <w:r>
        <w:rPr>
          <w:b/>
        </w:rPr>
        <w:t>Exit assistentie</w:t>
      </w:r>
      <w:bookmarkEnd w:id="64"/>
    </w:p>
    <w:p w:rsidR="002E3DE8" w:rsidRDefault="002E3DE8">
      <w:pPr>
        <w:pStyle w:val="Sourcingcontractlevel2"/>
        <w:spacing w:line="270" w:lineRule="exact"/>
      </w:pPr>
      <w:r>
        <w:rPr>
          <w:szCs w:val="21"/>
        </w:rPr>
        <w:t xml:space="preserve">Partijen verplichten zich om elkaar </w:t>
      </w:r>
      <w:r>
        <w:t>alle redelijke exit assistentie te verlenen conform het exitplan, teneinde:</w:t>
      </w:r>
    </w:p>
    <w:p w:rsidR="002E3DE8" w:rsidRDefault="002E3DE8">
      <w:pPr>
        <w:pStyle w:val="Sourcingcontractpagnr"/>
        <w:tabs>
          <w:tab w:val="clear" w:pos="709"/>
          <w:tab w:val="num" w:pos="1440"/>
        </w:tabs>
        <w:spacing w:line="270" w:lineRule="exact"/>
        <w:ind w:left="1440" w:hanging="732"/>
        <w:rPr>
          <w:sz w:val="24"/>
        </w:rPr>
      </w:pPr>
      <w:r>
        <w:rPr>
          <w:sz w:val="24"/>
        </w:rPr>
        <w:t>de terugovergang van de Diensten naar Klant per einddatum Overeenkomst soepel te laten verlopen; of</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tabs>
          <w:tab w:val="clear" w:pos="709"/>
          <w:tab w:val="num" w:pos="1440"/>
        </w:tabs>
        <w:spacing w:line="270" w:lineRule="exact"/>
        <w:ind w:left="1440" w:hanging="732"/>
        <w:rPr>
          <w:sz w:val="24"/>
        </w:rPr>
      </w:pPr>
      <w:r>
        <w:rPr>
          <w:sz w:val="24"/>
        </w:rPr>
        <w:t>de overgang van de Diensten naar de opvolgende leverancier per einddatum Overeenkomst soepel te laten verlopen;</w:t>
      </w:r>
    </w:p>
    <w:p w:rsidR="002E3DE8" w:rsidRDefault="002E3DE8">
      <w:pPr>
        <w:pStyle w:val="Sourcingcontractpagnr"/>
        <w:numPr>
          <w:ilvl w:val="0"/>
          <w:numId w:val="0"/>
        </w:numPr>
        <w:spacing w:line="270" w:lineRule="exact"/>
        <w:ind w:left="708"/>
        <w:rPr>
          <w:sz w:val="24"/>
        </w:rPr>
      </w:pPr>
    </w:p>
    <w:p w:rsidR="002E3DE8" w:rsidRDefault="002E3DE8">
      <w:pPr>
        <w:pStyle w:val="Sourcingcontractpagnr"/>
        <w:numPr>
          <w:ilvl w:val="0"/>
          <w:numId w:val="0"/>
        </w:numPr>
        <w:spacing w:line="270" w:lineRule="exact"/>
        <w:ind w:left="708"/>
        <w:rPr>
          <w:sz w:val="24"/>
        </w:rPr>
      </w:pPr>
      <w:r>
        <w:rPr>
          <w:sz w:val="24"/>
        </w:rPr>
        <w:t>dusdanig dat de bedrijfsvoering van Klant zo min mogelijk wordt verstoord.</w:t>
      </w:r>
    </w:p>
    <w:p w:rsidR="002E3DE8" w:rsidRDefault="002E3DE8">
      <w:pPr>
        <w:pStyle w:val="Sourcingcontractpagnr"/>
        <w:numPr>
          <w:ilvl w:val="0"/>
          <w:numId w:val="0"/>
        </w:numPr>
        <w:spacing w:line="270" w:lineRule="exact"/>
        <w:ind w:left="709" w:hanging="709"/>
        <w:rPr>
          <w:sz w:val="24"/>
        </w:rPr>
      </w:pPr>
    </w:p>
    <w:p w:rsidR="002E3DE8" w:rsidRDefault="002E3DE8">
      <w:pPr>
        <w:pStyle w:val="Sourcingcontractlevel2"/>
        <w:spacing w:line="270" w:lineRule="exact"/>
      </w:pPr>
      <w:r>
        <w:rPr>
          <w:szCs w:val="21"/>
        </w:rPr>
        <w:t xml:space="preserve">Gedurende de looptijd van deze Overeenkomst zullen partijen het exitplan actueel </w:t>
      </w:r>
      <w:r>
        <w:t>houden</w:t>
      </w:r>
      <w:r>
        <w:rPr>
          <w:szCs w:val="21"/>
        </w:rPr>
        <w:t>.</w:t>
      </w:r>
    </w:p>
    <w:p w:rsidR="002E3DE8" w:rsidRDefault="002E3DE8">
      <w:pPr>
        <w:pStyle w:val="Sourcingcontractlevel2"/>
        <w:spacing w:line="270" w:lineRule="exact"/>
      </w:pPr>
      <w:r>
        <w:t xml:space="preserve">Partijen conformeren zich terzake van de in dit artikel bedoelde exit assistentie aan de Gedragscode Retransitie van Platform Outsourcing Nederland, dat aan deze Overeenkomst is gehecht als </w:t>
      </w:r>
      <w:r>
        <w:rPr>
          <w:b/>
          <w:bCs/>
        </w:rPr>
        <w:t>Bijlage […] (Gedragscode Retransitie)</w:t>
      </w:r>
      <w:r>
        <w:t>. Partijen zijn de in de bijlage bij de Gedragscode Retransitie opgesomde afwijkingen overeengekomen op de gedragscode.</w:t>
      </w:r>
    </w:p>
    <w:p w:rsidR="002E3DE8" w:rsidRDefault="002E3DE8">
      <w:pPr>
        <w:pStyle w:val="Sourcingcontractlevel2"/>
        <w:spacing w:line="270" w:lineRule="exact"/>
      </w:pPr>
      <w:r>
        <w:t xml:space="preserve">Partijen zijn vooralsnog van oordeel dat de Wet overgang onderneming (artt. 7:662 e.v. BW) [wel/niet] van toepassing is bij einde van deze Overeenkomst. Mocht deze </w:t>
      </w:r>
      <w:r>
        <w:lastRenderedPageBreak/>
        <w:t>wet van toepassing zijn bij einde Overeenkomst, dan geldt de volgende regeling: […].</w:t>
      </w:r>
      <w:r>
        <w:rPr>
          <w:rStyle w:val="Voetnootmarkering"/>
        </w:rPr>
        <w:footnoteReference w:id="48"/>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65" w:name="_Toc281925039"/>
      <w:r>
        <w:rPr>
          <w:rFonts w:ascii="Times New Roman" w:hAnsi="Times New Roman" w:cs="Times New Roman"/>
          <w:sz w:val="24"/>
        </w:rPr>
        <w:t>TOEPASSELIJK RECHT EN GESCHILLENREGELING</w:t>
      </w:r>
      <w:bookmarkEnd w:id="65"/>
    </w:p>
    <w:p w:rsidR="002E3DE8" w:rsidRDefault="002E3DE8">
      <w:pPr>
        <w:pStyle w:val="Sourcingcontractlevel1"/>
        <w:spacing w:line="270" w:lineRule="exact"/>
        <w:rPr>
          <w:b/>
        </w:rPr>
      </w:pPr>
      <w:bookmarkStart w:id="66" w:name="_Toc281925040"/>
      <w:r>
        <w:rPr>
          <w:b/>
        </w:rPr>
        <w:t>Toepasselijk recht</w:t>
      </w:r>
      <w:bookmarkEnd w:id="66"/>
    </w:p>
    <w:p w:rsidR="002E3DE8" w:rsidRDefault="002E3DE8">
      <w:pPr>
        <w:pStyle w:val="Sourcingcontractlevel2"/>
        <w:spacing w:line="270" w:lineRule="exact"/>
      </w:pPr>
      <w:r>
        <w:rPr>
          <w:szCs w:val="21"/>
        </w:rPr>
        <w:t xml:space="preserve">Op deze Overeenkomst en de daaruit voortvloeiende overeenkomsten is uitsluitend </w:t>
      </w:r>
      <w:r>
        <w:t>Nederlands</w:t>
      </w:r>
      <w:r>
        <w:rPr>
          <w:szCs w:val="21"/>
        </w:rPr>
        <w:t xml:space="preserve"> recht van toepassing.</w:t>
      </w:r>
    </w:p>
    <w:p w:rsidR="002E3DE8" w:rsidRDefault="002E3DE8">
      <w:pPr>
        <w:pStyle w:val="Sourcingcontractlevel1"/>
        <w:spacing w:line="270" w:lineRule="exact"/>
      </w:pPr>
      <w:bookmarkStart w:id="67" w:name="_Toc281925041"/>
      <w:r>
        <w:rPr>
          <w:b/>
        </w:rPr>
        <w:t>Geschillenregeling</w:t>
      </w:r>
      <w:bookmarkEnd w:id="67"/>
    </w:p>
    <w:p w:rsidR="002E3DE8" w:rsidRDefault="002E3DE8">
      <w:pPr>
        <w:pStyle w:val="Sourcingcontractlevel2"/>
        <w:spacing w:line="270" w:lineRule="exact"/>
      </w:pPr>
      <w:r>
        <w:t xml:space="preserve">Partijen zullen zich </w:t>
      </w:r>
      <w:r>
        <w:rPr>
          <w:szCs w:val="21"/>
        </w:rPr>
        <w:t>naar beste vermogen inspannen om geschillen in der minne te regelen, alvorens zich tot de [rechtbank/arbiters] te wenden. Partijen komen overeen dat elk geschil geëscaleerd zal worden naar Servicemanagement en vervolgens Contractmanagement (waarbij beide overlegorganen [10] Werkdagen de tijd hebben om tot overeenstemming te komen) voordat een [rechtszaak/arbitraal geding]</w:t>
      </w:r>
      <w:r>
        <w:t xml:space="preserve"> aanhangig wordt gemaakt of andere rechtsmaatregelen worden getroffen, onverminderd het recht om als de spoedeisendheid dat verlangt, van deze procedure af te wijken.</w:t>
      </w:r>
    </w:p>
    <w:p w:rsidR="002E3DE8" w:rsidRDefault="002E3DE8">
      <w:pPr>
        <w:pStyle w:val="Sourcingcontractlevel1"/>
        <w:spacing w:line="270" w:lineRule="exact"/>
        <w:rPr>
          <w:b/>
        </w:rPr>
      </w:pPr>
      <w:bookmarkStart w:id="68" w:name="_Toc281925042"/>
      <w:r>
        <w:rPr>
          <w:b/>
        </w:rPr>
        <w:t>Bevoegde [rechter/arbitrage]</w:t>
      </w:r>
      <w:bookmarkEnd w:id="68"/>
    </w:p>
    <w:p w:rsidR="002E3DE8" w:rsidRDefault="002E3DE8">
      <w:pPr>
        <w:pStyle w:val="Sourcingcontractlevel2"/>
        <w:spacing w:line="270" w:lineRule="exact"/>
      </w:pPr>
      <w:r>
        <w:t xml:space="preserve">Wanneer het geschil </w:t>
      </w:r>
      <w:r>
        <w:rPr>
          <w:szCs w:val="21"/>
        </w:rPr>
        <w:t>niet</w:t>
      </w:r>
      <w:r>
        <w:t xml:space="preserve"> tot een oplossing als bedoeld in artikel 34.1 heeft geleid, wordt deze bij uitsluiting voorgelegd aan [de bevoegde rechter te […]/[arbitrage]].</w:t>
      </w:r>
      <w:r>
        <w:rPr>
          <w:rStyle w:val="Voetnootmarkering"/>
        </w:rPr>
        <w:footnoteReference w:id="49"/>
      </w:r>
    </w:p>
    <w:p w:rsidR="002E3DE8" w:rsidRDefault="002E3DE8" w:rsidP="002E3DE8">
      <w:pPr>
        <w:pStyle w:val="Kop1"/>
        <w:numPr>
          <w:ilvl w:val="2"/>
          <w:numId w:val="10"/>
        </w:numPr>
        <w:spacing w:line="270" w:lineRule="exact"/>
        <w:rPr>
          <w:rFonts w:ascii="Times New Roman" w:hAnsi="Times New Roman" w:cs="Times New Roman"/>
          <w:b w:val="0"/>
          <w:bCs/>
          <w:sz w:val="24"/>
        </w:rPr>
      </w:pPr>
      <w:bookmarkStart w:id="69" w:name="_Toc281925043"/>
      <w:r>
        <w:rPr>
          <w:rFonts w:ascii="Times New Roman" w:hAnsi="Times New Roman" w:cs="Times New Roman"/>
          <w:sz w:val="24"/>
        </w:rPr>
        <w:t>ALGEMENE BEPALINGEN</w:t>
      </w:r>
      <w:bookmarkEnd w:id="69"/>
    </w:p>
    <w:p w:rsidR="002E3DE8" w:rsidRDefault="002E3DE8">
      <w:pPr>
        <w:pStyle w:val="Sourcingcontractlevel1"/>
        <w:spacing w:line="270" w:lineRule="exact"/>
      </w:pPr>
      <w:bookmarkStart w:id="70" w:name="_Toc281925044"/>
      <w:r>
        <w:rPr>
          <w:b/>
        </w:rPr>
        <w:t>Rangorde</w:t>
      </w:r>
      <w:bookmarkEnd w:id="70"/>
    </w:p>
    <w:p w:rsidR="002E3DE8" w:rsidRDefault="002E3DE8">
      <w:pPr>
        <w:pStyle w:val="Sourcingcontractlevel2"/>
        <w:spacing w:line="270" w:lineRule="exact"/>
      </w:pPr>
      <w:r>
        <w:t>Bij strijdigheid tussen het Contractblad en deze Bijlage, prevaleert het bepaalde in deze Bijlage. Het Contractblad prevaleert boven de andere Bijlagen. Bij strijdigheid tussen verschillende Bijlagen, geldt de volgende rangorde, waarbij een hoger gerangschikte Bijlage prevaleert boven een lager gerangschikte Bijlage: […].</w:t>
      </w:r>
    </w:p>
    <w:p w:rsidR="002E3DE8" w:rsidRDefault="002E3DE8">
      <w:pPr>
        <w:pStyle w:val="Sourcingcontractlevel1"/>
        <w:spacing w:line="270" w:lineRule="exact"/>
      </w:pPr>
      <w:bookmarkStart w:id="71" w:name="_Toc281925045"/>
      <w:r>
        <w:rPr>
          <w:b/>
        </w:rPr>
        <w:t>Onderaanneming</w:t>
      </w:r>
      <w:bookmarkEnd w:id="71"/>
    </w:p>
    <w:p w:rsidR="002E3DE8" w:rsidRDefault="002E3DE8">
      <w:pPr>
        <w:pStyle w:val="Sourcingcontractlevel2"/>
        <w:spacing w:line="270" w:lineRule="exact"/>
      </w:pPr>
      <w:r>
        <w:t xml:space="preserve">Leverancier is slechts bevoegd over te gaan tot onderaanneming nadat hiervoor van Klant schriftelijke toestemming is verkregen. Klant zal deze toestemming niet op onredelijke gronden onthouden, maar kan hieraan wel redelijke voorwaarden </w:t>
      </w:r>
      <w:r>
        <w:lastRenderedPageBreak/>
        <w:t xml:space="preserve">verbinden. </w:t>
      </w:r>
      <w:r>
        <w:rPr>
          <w:bCs/>
        </w:rPr>
        <w:t>Geen toestemming is benodigd voor onderaanneming door een Nederlandse groepsmaatschappij, waarvan</w:t>
      </w:r>
      <w:r>
        <w:t xml:space="preserve"> de uiteindelijke zeggenschap over de groepsmaatschappij gelijk is aan de uiteindelijke zeggenschap over de Leverancier. Leverancier is ter zake de door hem ingeschakelde derden volledig verantwoordelijk voor de correcte uitvoering van de verplichtingen onder de Overeenkomst.</w:t>
      </w:r>
      <w:r>
        <w:rPr>
          <w:rStyle w:val="Voetnootmarkering"/>
        </w:rPr>
        <w:footnoteReference w:id="50"/>
      </w:r>
    </w:p>
    <w:p w:rsidR="002E3DE8" w:rsidRDefault="002E3DE8">
      <w:pPr>
        <w:pStyle w:val="Sourcingcontractlevel1"/>
        <w:spacing w:line="270" w:lineRule="exact"/>
        <w:rPr>
          <w:b/>
        </w:rPr>
      </w:pPr>
      <w:bookmarkStart w:id="72" w:name="_Toc281925046"/>
      <w:r>
        <w:rPr>
          <w:b/>
        </w:rPr>
        <w:t>Overdracht</w:t>
      </w:r>
      <w:bookmarkEnd w:id="72"/>
    </w:p>
    <w:p w:rsidR="002E3DE8" w:rsidRDefault="002E3DE8">
      <w:pPr>
        <w:pStyle w:val="Sourcingcontractlevel2"/>
        <w:spacing w:line="270" w:lineRule="exact"/>
      </w:pPr>
      <w:r>
        <w:t>Behoudens in de vorenbedoelde gevallen kan een partij haar rechten en verplichtingen uit de Overeenkomst niet overdragen zonder voorafgaande schriftelijke toestemming van de andere partij, welke toestemming niet op onredelijke gronden onthouden zal worden. De andere partij is echter gerechtigd om aan haar toestemming redelijke voorwaarden te verbinden. Overdracht binnen de groep waartoe een partij behoort behoeft geen goedkeuring van de andere partij, voor zover de uiteindelijke zeggenschap over de nieuwe partij gelijk is aan de uiteindelijke zeggenschap over de overdragende partij.</w:t>
      </w:r>
    </w:p>
    <w:p w:rsidR="002E3DE8" w:rsidRDefault="002E3DE8">
      <w:pPr>
        <w:pStyle w:val="Sourcingcontractlevel1"/>
        <w:spacing w:line="270" w:lineRule="exact"/>
      </w:pPr>
      <w:bookmarkStart w:id="73" w:name="_Toc281925047"/>
      <w:r>
        <w:rPr>
          <w:b/>
        </w:rPr>
        <w:t>Kennisgevingen</w:t>
      </w:r>
      <w:bookmarkEnd w:id="73"/>
    </w:p>
    <w:p w:rsidR="002E3DE8" w:rsidRDefault="002E3DE8">
      <w:pPr>
        <w:pStyle w:val="Sourcingcontractlevel2"/>
        <w:spacing w:line="270" w:lineRule="exact"/>
      </w:pPr>
      <w:r>
        <w:t>Alle kennisgevingen die de partijen aan elkaar verzenden in het kader van de Overeenkomst en waarvan de Overeenkomst eist dat deze schriftelijk worden gedaan, zullen (tevens) per aangetekende post, koerier of per fax worden verzonden ter attentie van de directie naar de bij de partijnamen vermelde adressen of naar een ander adres indien dit vooraf schriftelijk is aangegeven door de betreffende ontvangende partij.</w:t>
      </w:r>
    </w:p>
    <w:p w:rsidR="002E3DE8" w:rsidRDefault="002E3DE8">
      <w:pPr>
        <w:pStyle w:val="Sourcingcontractlevel1"/>
        <w:spacing w:line="270" w:lineRule="exact"/>
      </w:pPr>
      <w:bookmarkStart w:id="74" w:name="_Toc281925048"/>
      <w:r>
        <w:rPr>
          <w:b/>
        </w:rPr>
        <w:t>Overige</w:t>
      </w:r>
      <w:bookmarkEnd w:id="74"/>
    </w:p>
    <w:p w:rsidR="002E3DE8" w:rsidRDefault="002E3DE8">
      <w:pPr>
        <w:pStyle w:val="Sourcingcontractlevel2"/>
        <w:spacing w:line="270" w:lineRule="exact"/>
      </w:pPr>
      <w:r>
        <w:t xml:space="preserve">De algemene voorwaarden van geen der partijen, noch van derden zijn op deze Overeenkomst van </w:t>
      </w:r>
      <w:r>
        <w:rPr>
          <w:szCs w:val="21"/>
        </w:rPr>
        <w:t>toepassing.</w:t>
      </w:r>
    </w:p>
    <w:p w:rsidR="002E3DE8" w:rsidRDefault="002E3DE8">
      <w:pPr>
        <w:pStyle w:val="Sourcingcontractlevel2"/>
        <w:spacing w:line="270" w:lineRule="exact"/>
      </w:pPr>
      <w:r>
        <w:rPr>
          <w:szCs w:val="21"/>
        </w:rPr>
        <w:t>Deze Overeenkomst vervangt alle eerdere overeenkomsten tussen partijen met hetzelfde onderwerp, waaronder begrepen mondelinge en impliciete overeenkomsten.</w:t>
      </w:r>
    </w:p>
    <w:p w:rsidR="002E3DE8" w:rsidRDefault="002E3DE8">
      <w:pPr>
        <w:pStyle w:val="Sourcingcontractlevel2"/>
        <w:spacing w:line="270" w:lineRule="exact"/>
      </w:pPr>
      <w:r>
        <w:t>De nietigheid van een bepaling in deze Overeenkomst laat de overige bepalingen daarvan onverlet. Indien een bepaling nietig blijkt te zijn zullen partijen zich inspannen om deze te vervangen door een bepaling die niet nietig en zo veel mogelijk in overeenstemming is met de nietige bepaling.</w:t>
      </w:r>
    </w:p>
    <w:p w:rsidR="002E3DE8" w:rsidRDefault="002E3DE8">
      <w:pPr>
        <w:pStyle w:val="Sourcingcontractlevel2"/>
        <w:spacing w:line="270" w:lineRule="exact"/>
      </w:pPr>
      <w:r>
        <w:t>Indien zaken niet geregeld zijn in deze Overeenkomst zullen partijen zich inspannen om dit te regelen in een aanvulling op deze Overeenkomst.</w:t>
      </w:r>
    </w:p>
    <w:p w:rsidR="002E3DE8" w:rsidRDefault="002E3DE8">
      <w:pPr>
        <w:pStyle w:val="Sourcingcontractlevel2"/>
        <w:spacing w:line="270" w:lineRule="exact"/>
      </w:pPr>
      <w:r>
        <w:t>Afwijkingen van hetgeen in deze Overeenkomst is overeengekomen of in een van de Bijlagen binden partijen alleen, indien deze schriftelijk zijn vastgelegd en door daartoe bevoegde vertegenwoordigers van partijen zijn getekend.</w:t>
      </w:r>
    </w:p>
    <w:p w:rsidR="002E3DE8" w:rsidRDefault="002E3DE8">
      <w:pPr>
        <w:pStyle w:val="Level2"/>
        <w:rPr>
          <w:rFonts w:ascii="Times New Roman" w:hAnsi="Times New Roman" w:cs="Times New Roman"/>
          <w:b/>
          <w:bCs/>
          <w:sz w:val="24"/>
        </w:rPr>
        <w:sectPr w:rsidR="002E3DE8">
          <w:pgSz w:w="11907" w:h="16840" w:code="9"/>
          <w:pgMar w:top="1418" w:right="1418" w:bottom="1418" w:left="1418" w:header="709" w:footer="709" w:gutter="0"/>
          <w:pgNumType w:start="1"/>
          <w:cols w:space="720"/>
          <w:noEndnote/>
          <w:docGrid w:linePitch="299"/>
        </w:sectPr>
      </w:pPr>
    </w:p>
    <w:p w:rsidR="002E3DE8" w:rsidRDefault="002E3DE8">
      <w:pPr>
        <w:pStyle w:val="Level2"/>
        <w:rPr>
          <w:rFonts w:ascii="Times New Roman" w:hAnsi="Times New Roman" w:cs="Times New Roman"/>
          <w:b/>
          <w:bCs/>
          <w:sz w:val="24"/>
        </w:rPr>
      </w:pPr>
      <w:r>
        <w:rPr>
          <w:rFonts w:ascii="Times New Roman" w:hAnsi="Times New Roman" w:cs="Times New Roman"/>
          <w:b/>
          <w:bCs/>
          <w:sz w:val="24"/>
        </w:rPr>
        <w:lastRenderedPageBreak/>
        <w:t>Bijlage 2</w:t>
      </w:r>
      <w:r>
        <w:rPr>
          <w:rFonts w:ascii="Times New Roman" w:hAnsi="Times New Roman" w:cs="Times New Roman"/>
          <w:b/>
          <w:bCs/>
          <w:sz w:val="24"/>
        </w:rPr>
        <w:tab/>
        <w:t>Definities</w:t>
      </w:r>
    </w:p>
    <w:p w:rsidR="002E3DE8" w:rsidRDefault="002E3DE8">
      <w:pPr>
        <w:spacing w:line="270" w:lineRule="exact"/>
        <w:rPr>
          <w:b/>
        </w:rPr>
      </w:pPr>
    </w:p>
    <w:tbl>
      <w:tblPr>
        <w:tblW w:w="0" w:type="auto"/>
        <w:tblLook w:val="0000" w:firstRow="0" w:lastRow="0" w:firstColumn="0" w:lastColumn="0" w:noHBand="0" w:noVBand="0"/>
      </w:tblPr>
      <w:tblGrid>
        <w:gridCol w:w="2536"/>
        <w:gridCol w:w="6751"/>
      </w:tblGrid>
      <w:tr w:rsidR="002E3DE8">
        <w:tc>
          <w:tcPr>
            <w:tcW w:w="2536" w:type="dxa"/>
          </w:tcPr>
          <w:p w:rsidR="002E3DE8" w:rsidRDefault="002E3DE8">
            <w:pPr>
              <w:spacing w:line="270" w:lineRule="exact"/>
              <w:rPr>
                <w:b/>
              </w:rPr>
            </w:pPr>
            <w:r>
              <w:rPr>
                <w:b/>
              </w:rPr>
              <w:t>Acceptatieprocedure</w:t>
            </w:r>
          </w:p>
          <w:p w:rsidR="002E3DE8" w:rsidRDefault="002E3DE8">
            <w:pPr>
              <w:spacing w:line="270" w:lineRule="exact"/>
              <w:rPr>
                <w:b/>
              </w:rPr>
            </w:pPr>
          </w:p>
        </w:tc>
        <w:tc>
          <w:tcPr>
            <w:tcW w:w="6751" w:type="dxa"/>
          </w:tcPr>
          <w:p w:rsidR="002E3DE8" w:rsidRDefault="002E3DE8">
            <w:pPr>
              <w:widowControl w:val="0"/>
              <w:spacing w:line="270" w:lineRule="exact"/>
            </w:pPr>
            <w:r>
              <w:t xml:space="preserve">De als </w:t>
            </w:r>
            <w:r>
              <w:rPr>
                <w:b/>
                <w:bCs/>
              </w:rPr>
              <w:t xml:space="preserve">Bijlage […] (Acceptatieprocedure) </w:t>
            </w:r>
            <w:r>
              <w:t>opgenomen procedure voor het testen van resultaten van de Transitie, Transformatie, en Projecten [en, voor zover specifiek overeengekomen, van overige Diensten].</w:t>
            </w:r>
          </w:p>
          <w:p w:rsidR="002E3DE8" w:rsidRDefault="002E3DE8">
            <w:pPr>
              <w:spacing w:line="270" w:lineRule="exact"/>
            </w:pPr>
          </w:p>
        </w:tc>
      </w:tr>
      <w:tr w:rsidR="002E3DE8">
        <w:tc>
          <w:tcPr>
            <w:tcW w:w="2536" w:type="dxa"/>
          </w:tcPr>
          <w:p w:rsidR="002E3DE8" w:rsidRDefault="002E3DE8">
            <w:pPr>
              <w:spacing w:line="270" w:lineRule="exact"/>
              <w:rPr>
                <w:b/>
              </w:rPr>
            </w:pPr>
            <w:r>
              <w:rPr>
                <w:b/>
              </w:rPr>
              <w:t>Architectuurplan</w:t>
            </w:r>
          </w:p>
        </w:tc>
        <w:tc>
          <w:tcPr>
            <w:tcW w:w="6751" w:type="dxa"/>
          </w:tcPr>
          <w:p w:rsidR="002E3DE8" w:rsidRDefault="002E3DE8">
            <w:pPr>
              <w:spacing w:line="270" w:lineRule="exact"/>
            </w:pPr>
            <w:r>
              <w:t xml:space="preserve">De als </w:t>
            </w:r>
            <w:r>
              <w:rPr>
                <w:b/>
                <w:bCs/>
              </w:rPr>
              <w:t>Bijlage […] (Architectuurplan)</w:t>
            </w:r>
            <w:r>
              <w:t xml:space="preserve"> aangehechte beschrijving van de architectuur, inclusief technisch ontwerp, functioneel ontwerp en handleidingen.</w:t>
            </w:r>
          </w:p>
          <w:p w:rsidR="002E3DE8" w:rsidRDefault="002E3DE8">
            <w:pPr>
              <w:spacing w:line="270" w:lineRule="exact"/>
            </w:pPr>
          </w:p>
        </w:tc>
      </w:tr>
      <w:tr w:rsidR="002E3DE8">
        <w:tc>
          <w:tcPr>
            <w:tcW w:w="2536" w:type="dxa"/>
          </w:tcPr>
          <w:p w:rsidR="002E3DE8" w:rsidRDefault="002E3DE8">
            <w:pPr>
              <w:spacing w:line="270" w:lineRule="exact"/>
              <w:rPr>
                <w:b/>
              </w:rPr>
            </w:pPr>
            <w:r>
              <w:rPr>
                <w:b/>
              </w:rPr>
              <w:t>Benchmarkonderzoek</w:t>
            </w:r>
          </w:p>
          <w:p w:rsidR="002E3DE8" w:rsidRDefault="002E3DE8">
            <w:pPr>
              <w:spacing w:line="270" w:lineRule="exact"/>
              <w:rPr>
                <w:b/>
              </w:rPr>
            </w:pPr>
          </w:p>
        </w:tc>
        <w:tc>
          <w:tcPr>
            <w:tcW w:w="6751" w:type="dxa"/>
          </w:tcPr>
          <w:p w:rsidR="002E3DE8" w:rsidRDefault="002E3DE8">
            <w:pPr>
              <w:spacing w:line="270" w:lineRule="exact"/>
            </w:pPr>
            <w:r>
              <w:t>Het benchmarkonderzoek zoals bedoeld in artikel 20.1 van Bijlage 1 (Juridische voorwaarden).</w:t>
            </w:r>
          </w:p>
          <w:p w:rsidR="002E3DE8" w:rsidRDefault="002E3DE8">
            <w:pPr>
              <w:spacing w:line="270" w:lineRule="exact"/>
            </w:pPr>
          </w:p>
        </w:tc>
      </w:tr>
      <w:tr w:rsidR="002E3DE8">
        <w:tc>
          <w:tcPr>
            <w:tcW w:w="2536" w:type="dxa"/>
          </w:tcPr>
          <w:p w:rsidR="002E3DE8" w:rsidRDefault="002E3DE8">
            <w:pPr>
              <w:spacing w:line="270" w:lineRule="exact"/>
              <w:rPr>
                <w:b/>
              </w:rPr>
            </w:pPr>
            <w:r>
              <w:rPr>
                <w:b/>
              </w:rPr>
              <w:t>Bijlage</w:t>
            </w:r>
          </w:p>
          <w:p w:rsidR="002E3DE8" w:rsidRDefault="002E3DE8">
            <w:pPr>
              <w:spacing w:line="270" w:lineRule="exact"/>
              <w:rPr>
                <w:b/>
              </w:rPr>
            </w:pPr>
          </w:p>
        </w:tc>
        <w:tc>
          <w:tcPr>
            <w:tcW w:w="6751" w:type="dxa"/>
          </w:tcPr>
          <w:p w:rsidR="002E3DE8" w:rsidRDefault="002E3DE8">
            <w:pPr>
              <w:spacing w:line="270" w:lineRule="exact"/>
            </w:pPr>
            <w:r>
              <w:t>Een bijlage bij het Contractblad die onlosmakelijk deel uitmaakt van de Overeenkomst.</w:t>
            </w:r>
          </w:p>
          <w:p w:rsidR="002E3DE8" w:rsidRDefault="002E3DE8">
            <w:pPr>
              <w:spacing w:line="270" w:lineRule="exact"/>
            </w:pPr>
          </w:p>
        </w:tc>
      </w:tr>
      <w:tr w:rsidR="002E3DE8">
        <w:tc>
          <w:tcPr>
            <w:tcW w:w="2536" w:type="dxa"/>
          </w:tcPr>
          <w:p w:rsidR="002E3DE8" w:rsidRDefault="002E3DE8">
            <w:pPr>
              <w:spacing w:line="270" w:lineRule="exact"/>
              <w:rPr>
                <w:b/>
              </w:rPr>
            </w:pPr>
            <w:r>
              <w:rPr>
                <w:b/>
              </w:rPr>
              <w:t>Contractblad</w:t>
            </w:r>
          </w:p>
          <w:p w:rsidR="002E3DE8" w:rsidRDefault="002E3DE8">
            <w:pPr>
              <w:spacing w:line="270" w:lineRule="exact"/>
              <w:rPr>
                <w:b/>
              </w:rPr>
            </w:pPr>
          </w:p>
        </w:tc>
        <w:tc>
          <w:tcPr>
            <w:tcW w:w="6751" w:type="dxa"/>
          </w:tcPr>
          <w:p w:rsidR="002E3DE8" w:rsidRDefault="002E3DE8">
            <w:pPr>
              <w:spacing w:line="270" w:lineRule="exact"/>
            </w:pPr>
            <w:r>
              <w:t>Het door partijen ondertekende contractblad m.b.t. de outsourcing van […].</w:t>
            </w:r>
          </w:p>
          <w:p w:rsidR="002E3DE8" w:rsidRDefault="002E3DE8">
            <w:pPr>
              <w:spacing w:line="270" w:lineRule="exact"/>
            </w:pPr>
          </w:p>
        </w:tc>
      </w:tr>
      <w:tr w:rsidR="002E3DE8">
        <w:tc>
          <w:tcPr>
            <w:tcW w:w="2536" w:type="dxa"/>
          </w:tcPr>
          <w:p w:rsidR="002E3DE8" w:rsidRDefault="002E3DE8">
            <w:pPr>
              <w:spacing w:line="270" w:lineRule="exact"/>
              <w:rPr>
                <w:b/>
              </w:rPr>
            </w:pPr>
            <w:r>
              <w:rPr>
                <w:b/>
              </w:rPr>
              <w:t>Contractjaar</w:t>
            </w:r>
          </w:p>
        </w:tc>
        <w:tc>
          <w:tcPr>
            <w:tcW w:w="6751" w:type="dxa"/>
          </w:tcPr>
          <w:p w:rsidR="002E3DE8" w:rsidRDefault="002E3DE8">
            <w:pPr>
              <w:spacing w:line="270" w:lineRule="exact"/>
            </w:pPr>
            <w:r>
              <w:t>Het jaar ingaande op Ingangsdatum en eindigend 12 maanden later, alsmede ieder opvolgende periode van 12 maanden.</w:t>
            </w:r>
          </w:p>
          <w:p w:rsidR="002E3DE8" w:rsidRDefault="002E3DE8">
            <w:pPr>
              <w:spacing w:line="270" w:lineRule="exact"/>
            </w:pPr>
          </w:p>
        </w:tc>
      </w:tr>
      <w:tr w:rsidR="002E3DE8">
        <w:tc>
          <w:tcPr>
            <w:tcW w:w="2536" w:type="dxa"/>
          </w:tcPr>
          <w:p w:rsidR="002E3DE8" w:rsidRDefault="002E3DE8">
            <w:pPr>
              <w:pStyle w:val="Koptekst"/>
              <w:tabs>
                <w:tab w:val="clear" w:pos="4536"/>
                <w:tab w:val="clear" w:pos="9072"/>
              </w:tabs>
              <w:spacing w:line="270" w:lineRule="exact"/>
              <w:rPr>
                <w:rFonts w:ascii="Times New Roman" w:hAnsi="Times New Roman"/>
                <w:b/>
                <w:sz w:val="24"/>
              </w:rPr>
            </w:pPr>
            <w:r>
              <w:rPr>
                <w:rFonts w:ascii="Times New Roman" w:hAnsi="Times New Roman"/>
                <w:b/>
                <w:sz w:val="24"/>
              </w:rPr>
              <w:t>Contractmanagement</w:t>
            </w:r>
          </w:p>
        </w:tc>
        <w:tc>
          <w:tcPr>
            <w:tcW w:w="6751" w:type="dxa"/>
          </w:tcPr>
          <w:p w:rsidR="002E3DE8" w:rsidRDefault="002E3DE8">
            <w:pPr>
              <w:spacing w:line="270" w:lineRule="exact"/>
            </w:pPr>
            <w:r>
              <w:t>Overleg over en bewaking van de uitvoering van de Diensten op strategisch niveau.</w:t>
            </w:r>
          </w:p>
          <w:p w:rsidR="002E3DE8" w:rsidRDefault="002E3DE8">
            <w:pPr>
              <w:spacing w:line="270" w:lineRule="exact"/>
            </w:pPr>
            <w:r>
              <w:t xml:space="preserve"> </w:t>
            </w:r>
          </w:p>
        </w:tc>
      </w:tr>
      <w:tr w:rsidR="002E3DE8">
        <w:tc>
          <w:tcPr>
            <w:tcW w:w="2536" w:type="dxa"/>
          </w:tcPr>
          <w:p w:rsidR="002E3DE8" w:rsidRDefault="002E3DE8">
            <w:pPr>
              <w:spacing w:line="270" w:lineRule="exact"/>
              <w:rPr>
                <w:b/>
              </w:rPr>
            </w:pPr>
            <w:r>
              <w:rPr>
                <w:b/>
              </w:rPr>
              <w:t>DAP</w:t>
            </w:r>
          </w:p>
        </w:tc>
        <w:tc>
          <w:tcPr>
            <w:tcW w:w="6751" w:type="dxa"/>
          </w:tcPr>
          <w:p w:rsidR="002E3DE8" w:rsidRDefault="002E3DE8">
            <w:pPr>
              <w:spacing w:line="270" w:lineRule="exact"/>
            </w:pPr>
            <w:r>
              <w:t xml:space="preserve">Het als </w:t>
            </w:r>
            <w:r>
              <w:rPr>
                <w:b/>
                <w:bCs/>
              </w:rPr>
              <w:t xml:space="preserve">Bijlage […] (DAP) </w:t>
            </w:r>
            <w:r>
              <w:t>aangehechte Dossier Afspraken en Procedures.</w:t>
            </w:r>
          </w:p>
          <w:p w:rsidR="002E3DE8" w:rsidRDefault="002E3DE8">
            <w:pPr>
              <w:spacing w:line="270" w:lineRule="exact"/>
            </w:pPr>
          </w:p>
        </w:tc>
      </w:tr>
      <w:tr w:rsidR="002E3DE8">
        <w:tc>
          <w:tcPr>
            <w:tcW w:w="2536" w:type="dxa"/>
          </w:tcPr>
          <w:p w:rsidR="002E3DE8" w:rsidRDefault="002E3DE8">
            <w:pPr>
              <w:spacing w:line="270" w:lineRule="exact"/>
              <w:rPr>
                <w:b/>
              </w:rPr>
            </w:pPr>
            <w:r>
              <w:rPr>
                <w:b/>
              </w:rPr>
              <w:t>Diensten</w:t>
            </w:r>
          </w:p>
          <w:p w:rsidR="002E3DE8" w:rsidRDefault="002E3DE8">
            <w:pPr>
              <w:spacing w:line="270" w:lineRule="exact"/>
              <w:rPr>
                <w:b/>
              </w:rPr>
            </w:pPr>
          </w:p>
        </w:tc>
        <w:tc>
          <w:tcPr>
            <w:tcW w:w="6751" w:type="dxa"/>
          </w:tcPr>
          <w:p w:rsidR="002E3DE8" w:rsidRDefault="002E3DE8">
            <w:pPr>
              <w:spacing w:line="270" w:lineRule="exact"/>
            </w:pPr>
            <w:r>
              <w:t>Alle door Leverancier krachtens deze Overeenkomst ten behoeve van Klant te verrichten werkzaamheden.</w:t>
            </w:r>
          </w:p>
          <w:p w:rsidR="002E3DE8" w:rsidRDefault="002E3DE8">
            <w:pPr>
              <w:spacing w:line="270" w:lineRule="exact"/>
            </w:pPr>
          </w:p>
        </w:tc>
      </w:tr>
      <w:tr w:rsidR="002E3DE8">
        <w:tc>
          <w:tcPr>
            <w:tcW w:w="2536" w:type="dxa"/>
          </w:tcPr>
          <w:p w:rsidR="002E3DE8" w:rsidRDefault="002E3DE8">
            <w:pPr>
              <w:spacing w:line="270" w:lineRule="exact"/>
              <w:rPr>
                <w:b/>
              </w:rPr>
            </w:pPr>
            <w:r>
              <w:rPr>
                <w:b/>
              </w:rPr>
              <w:t>Gevrijwaarde Partij</w:t>
            </w:r>
          </w:p>
          <w:p w:rsidR="002E3DE8" w:rsidRDefault="002E3DE8">
            <w:pPr>
              <w:spacing w:line="270" w:lineRule="exact"/>
              <w:rPr>
                <w:b/>
              </w:rPr>
            </w:pPr>
          </w:p>
        </w:tc>
        <w:tc>
          <w:tcPr>
            <w:tcW w:w="6751" w:type="dxa"/>
          </w:tcPr>
          <w:p w:rsidR="002E3DE8" w:rsidRDefault="002E3DE8">
            <w:pPr>
              <w:spacing w:line="270" w:lineRule="exact"/>
            </w:pPr>
            <w:r>
              <w:t>De gevrijwaarde partij zoals bedoeld in artikel 27.3 van Bijlage 1 (Juridische voorwaarden).</w:t>
            </w:r>
          </w:p>
        </w:tc>
      </w:tr>
      <w:tr w:rsidR="002E3DE8">
        <w:tc>
          <w:tcPr>
            <w:tcW w:w="2536" w:type="dxa"/>
          </w:tcPr>
          <w:p w:rsidR="002E3DE8" w:rsidRDefault="002E3DE8">
            <w:pPr>
              <w:spacing w:line="270" w:lineRule="exact"/>
              <w:rPr>
                <w:b/>
              </w:rPr>
            </w:pPr>
            <w:r>
              <w:rPr>
                <w:b/>
              </w:rPr>
              <w:t>Ingangsdatum</w:t>
            </w:r>
          </w:p>
          <w:p w:rsidR="002E3DE8" w:rsidRDefault="002E3DE8">
            <w:pPr>
              <w:spacing w:line="270" w:lineRule="exact"/>
              <w:rPr>
                <w:b/>
              </w:rPr>
            </w:pPr>
          </w:p>
        </w:tc>
        <w:tc>
          <w:tcPr>
            <w:tcW w:w="6751" w:type="dxa"/>
          </w:tcPr>
          <w:p w:rsidR="002E3DE8" w:rsidRDefault="002E3DE8">
            <w:pPr>
              <w:spacing w:line="270" w:lineRule="exact"/>
            </w:pPr>
            <w:r>
              <w:t>[</w:t>
            </w:r>
            <w:r>
              <w:rPr>
                <w:i/>
                <w:iCs/>
              </w:rPr>
              <w:t>invullen datum</w:t>
            </w:r>
            <w:r>
              <w:t>]</w:t>
            </w:r>
          </w:p>
        </w:tc>
      </w:tr>
      <w:tr w:rsidR="002E3DE8">
        <w:tc>
          <w:tcPr>
            <w:tcW w:w="2536" w:type="dxa"/>
          </w:tcPr>
          <w:p w:rsidR="002E3DE8" w:rsidRDefault="002E3DE8">
            <w:pPr>
              <w:pStyle w:val="Kop2"/>
              <w:spacing w:line="270" w:lineRule="exact"/>
              <w:rPr>
                <w:rFonts w:ascii="Times New Roman" w:hAnsi="Times New Roman" w:cs="Times New Roman"/>
                <w:bCs w:val="0"/>
                <w:sz w:val="24"/>
              </w:rPr>
            </w:pPr>
            <w:r>
              <w:rPr>
                <w:rFonts w:ascii="Times New Roman" w:hAnsi="Times New Roman" w:cs="Times New Roman"/>
                <w:bCs w:val="0"/>
                <w:sz w:val="24"/>
              </w:rPr>
              <w:t>Opdrachtmanagement</w:t>
            </w:r>
          </w:p>
        </w:tc>
        <w:tc>
          <w:tcPr>
            <w:tcW w:w="6751" w:type="dxa"/>
          </w:tcPr>
          <w:p w:rsidR="002E3DE8" w:rsidRDefault="002E3DE8">
            <w:pPr>
              <w:spacing w:line="270" w:lineRule="exact"/>
            </w:pPr>
            <w:r>
              <w:t>Overleg over en bewaking van de uitvoering van de Diensten op operationeel niveau.</w:t>
            </w:r>
          </w:p>
          <w:p w:rsidR="002E3DE8" w:rsidRDefault="002E3DE8">
            <w:pPr>
              <w:spacing w:line="270" w:lineRule="exact"/>
              <w:ind w:left="360"/>
            </w:pPr>
          </w:p>
        </w:tc>
      </w:tr>
      <w:tr w:rsidR="002E3DE8">
        <w:tc>
          <w:tcPr>
            <w:tcW w:w="2536" w:type="dxa"/>
          </w:tcPr>
          <w:p w:rsidR="002E3DE8" w:rsidRDefault="002E3DE8">
            <w:pPr>
              <w:spacing w:line="270" w:lineRule="exact"/>
              <w:rPr>
                <w:b/>
              </w:rPr>
            </w:pPr>
            <w:r>
              <w:rPr>
                <w:b/>
              </w:rPr>
              <w:t xml:space="preserve">Overeenkomst </w:t>
            </w:r>
          </w:p>
          <w:p w:rsidR="002E3DE8" w:rsidRDefault="002E3DE8">
            <w:pPr>
              <w:spacing w:line="270" w:lineRule="exact"/>
              <w:rPr>
                <w:b/>
              </w:rPr>
            </w:pPr>
          </w:p>
        </w:tc>
        <w:tc>
          <w:tcPr>
            <w:tcW w:w="6751" w:type="dxa"/>
          </w:tcPr>
          <w:p w:rsidR="002E3DE8" w:rsidRDefault="002E3DE8">
            <w:pPr>
              <w:spacing w:line="270" w:lineRule="exact"/>
            </w:pPr>
            <w:r>
              <w:t>De in het Contractblad en bijbehorende Bijlagen vastgelegde sourcingsovereenkomst.</w:t>
            </w:r>
          </w:p>
          <w:p w:rsidR="002E3DE8" w:rsidRDefault="002E3DE8">
            <w:pPr>
              <w:spacing w:line="270" w:lineRule="exact"/>
            </w:pPr>
          </w:p>
        </w:tc>
      </w:tr>
      <w:tr w:rsidR="002E3DE8">
        <w:tc>
          <w:tcPr>
            <w:tcW w:w="2536" w:type="dxa"/>
          </w:tcPr>
          <w:p w:rsidR="002E3DE8" w:rsidRDefault="002E3DE8">
            <w:pPr>
              <w:spacing w:line="270" w:lineRule="exact"/>
              <w:rPr>
                <w:b/>
              </w:rPr>
            </w:pPr>
            <w:r>
              <w:rPr>
                <w:b/>
              </w:rPr>
              <w:t>[PDC]</w:t>
            </w:r>
          </w:p>
        </w:tc>
        <w:tc>
          <w:tcPr>
            <w:tcW w:w="6751" w:type="dxa"/>
          </w:tcPr>
          <w:p w:rsidR="002E3DE8" w:rsidRDefault="002E3DE8">
            <w:pPr>
              <w:pStyle w:val="Plattetekst2"/>
              <w:spacing w:line="270" w:lineRule="exact"/>
              <w:rPr>
                <w:sz w:val="24"/>
              </w:rPr>
            </w:pPr>
            <w:r>
              <w:rPr>
                <w:bCs/>
                <w:sz w:val="24"/>
              </w:rPr>
              <w:t>[</w:t>
            </w:r>
            <w:r>
              <w:rPr>
                <w:sz w:val="24"/>
              </w:rPr>
              <w:t>De als Bijlage […] (PDC) opgenomen Producten- en Dienstencatalogus waarin een overzicht en beschrijving is opgenomen van de diverse standaardproducten en -diensten die Leverancier kan leveren.]</w:t>
            </w:r>
            <w:r>
              <w:rPr>
                <w:rStyle w:val="Voetnootmarkering"/>
                <w:sz w:val="24"/>
              </w:rPr>
              <w:footnoteReference w:id="51"/>
            </w:r>
          </w:p>
          <w:p w:rsidR="002E3DE8" w:rsidRDefault="002E3DE8">
            <w:pPr>
              <w:pStyle w:val="Plattetekst2"/>
              <w:spacing w:line="270" w:lineRule="exact"/>
              <w:rPr>
                <w:sz w:val="24"/>
              </w:rPr>
            </w:pPr>
          </w:p>
        </w:tc>
      </w:tr>
      <w:tr w:rsidR="002E3DE8">
        <w:tc>
          <w:tcPr>
            <w:tcW w:w="2536" w:type="dxa"/>
          </w:tcPr>
          <w:p w:rsidR="002E3DE8" w:rsidRDefault="002E3DE8">
            <w:pPr>
              <w:spacing w:line="270" w:lineRule="exact"/>
              <w:rPr>
                <w:b/>
              </w:rPr>
            </w:pPr>
            <w:r>
              <w:rPr>
                <w:b/>
              </w:rPr>
              <w:lastRenderedPageBreak/>
              <w:t>Project</w:t>
            </w:r>
          </w:p>
          <w:p w:rsidR="002E3DE8" w:rsidRDefault="002E3DE8">
            <w:pPr>
              <w:spacing w:line="270" w:lineRule="exact"/>
              <w:rPr>
                <w:b/>
              </w:rPr>
            </w:pPr>
          </w:p>
        </w:tc>
        <w:tc>
          <w:tcPr>
            <w:tcW w:w="6751" w:type="dxa"/>
          </w:tcPr>
          <w:p w:rsidR="002E3DE8" w:rsidRDefault="002E3DE8">
            <w:pPr>
              <w:pStyle w:val="Plattetekst2"/>
              <w:spacing w:line="270" w:lineRule="exact"/>
              <w:rPr>
                <w:sz w:val="24"/>
              </w:rPr>
            </w:pPr>
            <w:r>
              <w:rPr>
                <w:sz w:val="24"/>
              </w:rPr>
              <w:t>Een separaat overeen te komen opdracht voor het verrichten van projectmatige werkzaamheden.</w:t>
            </w:r>
          </w:p>
          <w:p w:rsidR="002E3DE8" w:rsidRDefault="002E3DE8">
            <w:pPr>
              <w:spacing w:line="270" w:lineRule="exact"/>
            </w:pPr>
          </w:p>
        </w:tc>
      </w:tr>
      <w:tr w:rsidR="002E3DE8">
        <w:tc>
          <w:tcPr>
            <w:tcW w:w="2536" w:type="dxa"/>
          </w:tcPr>
          <w:p w:rsidR="002E3DE8" w:rsidRDefault="002E3DE8">
            <w:pPr>
              <w:spacing w:line="270" w:lineRule="exact"/>
              <w:rPr>
                <w:b/>
              </w:rPr>
            </w:pPr>
            <w:r>
              <w:rPr>
                <w:b/>
              </w:rPr>
              <w:t>Projectovereenkomst</w:t>
            </w:r>
          </w:p>
        </w:tc>
        <w:tc>
          <w:tcPr>
            <w:tcW w:w="6751" w:type="dxa"/>
          </w:tcPr>
          <w:p w:rsidR="002E3DE8" w:rsidRDefault="002E3DE8">
            <w:pPr>
              <w:spacing w:line="270" w:lineRule="exact"/>
            </w:pPr>
            <w:r>
              <w:t xml:space="preserve">Een overeenkomst voor de uitvoering van een Project. </w:t>
            </w:r>
          </w:p>
          <w:p w:rsidR="002E3DE8" w:rsidRDefault="002E3DE8">
            <w:pPr>
              <w:spacing w:line="270" w:lineRule="exact"/>
            </w:pPr>
          </w:p>
        </w:tc>
      </w:tr>
      <w:tr w:rsidR="002E3DE8">
        <w:tc>
          <w:tcPr>
            <w:tcW w:w="2536" w:type="dxa"/>
          </w:tcPr>
          <w:p w:rsidR="002E3DE8" w:rsidRDefault="002E3DE8">
            <w:pPr>
              <w:spacing w:line="270" w:lineRule="exact"/>
              <w:rPr>
                <w:b/>
              </w:rPr>
            </w:pPr>
            <w:r>
              <w:rPr>
                <w:b/>
              </w:rPr>
              <w:t>Service Level</w:t>
            </w:r>
          </w:p>
          <w:p w:rsidR="002E3DE8" w:rsidRDefault="002E3DE8">
            <w:pPr>
              <w:spacing w:line="270" w:lineRule="exact"/>
              <w:rPr>
                <w:b/>
              </w:rPr>
            </w:pPr>
          </w:p>
        </w:tc>
        <w:tc>
          <w:tcPr>
            <w:tcW w:w="6751" w:type="dxa"/>
          </w:tcPr>
          <w:p w:rsidR="002E3DE8" w:rsidRDefault="002E3DE8">
            <w:pPr>
              <w:spacing w:line="270" w:lineRule="exact"/>
              <w:rPr>
                <w:bCs/>
              </w:rPr>
            </w:pPr>
            <w:r>
              <w:rPr>
                <w:bCs/>
              </w:rPr>
              <w:t>Het door Leverancier te leveren niveau van een deelaspect van de Diensten, uitgedrukt door middel van een indicator.</w:t>
            </w:r>
          </w:p>
          <w:p w:rsidR="002E3DE8" w:rsidRDefault="002E3DE8">
            <w:pPr>
              <w:spacing w:line="270" w:lineRule="exact"/>
            </w:pPr>
          </w:p>
        </w:tc>
      </w:tr>
      <w:tr w:rsidR="002E3DE8">
        <w:tc>
          <w:tcPr>
            <w:tcW w:w="2536" w:type="dxa"/>
          </w:tcPr>
          <w:p w:rsidR="002E3DE8" w:rsidRDefault="002E3DE8">
            <w:pPr>
              <w:pStyle w:val="Kop2"/>
              <w:spacing w:line="270" w:lineRule="exact"/>
              <w:rPr>
                <w:rFonts w:ascii="Times New Roman" w:hAnsi="Times New Roman" w:cs="Times New Roman"/>
                <w:bCs w:val="0"/>
                <w:sz w:val="24"/>
              </w:rPr>
            </w:pPr>
            <w:r>
              <w:rPr>
                <w:rFonts w:ascii="Times New Roman" w:hAnsi="Times New Roman" w:cs="Times New Roman"/>
                <w:bCs w:val="0"/>
                <w:sz w:val="24"/>
              </w:rPr>
              <w:t>Servicemanagement</w:t>
            </w:r>
          </w:p>
        </w:tc>
        <w:tc>
          <w:tcPr>
            <w:tcW w:w="6751" w:type="dxa"/>
          </w:tcPr>
          <w:p w:rsidR="002E3DE8" w:rsidRDefault="002E3DE8">
            <w:pPr>
              <w:spacing w:line="270" w:lineRule="exact"/>
            </w:pPr>
            <w:r>
              <w:t>Overleg over en bewaking van de uitvoering van de Diensten op tactisch niveau.</w:t>
            </w:r>
          </w:p>
          <w:p w:rsidR="002E3DE8" w:rsidRDefault="002E3DE8">
            <w:pPr>
              <w:spacing w:line="270" w:lineRule="exact"/>
              <w:ind w:left="360"/>
            </w:pPr>
          </w:p>
        </w:tc>
      </w:tr>
      <w:tr w:rsidR="002E3DE8">
        <w:tc>
          <w:tcPr>
            <w:tcW w:w="2536" w:type="dxa"/>
          </w:tcPr>
          <w:p w:rsidR="002E3DE8" w:rsidRDefault="002E3DE8">
            <w:pPr>
              <w:spacing w:line="270" w:lineRule="exact"/>
              <w:rPr>
                <w:b/>
              </w:rPr>
            </w:pPr>
            <w:r>
              <w:rPr>
                <w:b/>
              </w:rPr>
              <w:t>SLA</w:t>
            </w:r>
          </w:p>
          <w:p w:rsidR="002E3DE8" w:rsidRDefault="002E3DE8">
            <w:pPr>
              <w:spacing w:line="270" w:lineRule="exact"/>
              <w:rPr>
                <w:b/>
              </w:rPr>
            </w:pPr>
          </w:p>
        </w:tc>
        <w:tc>
          <w:tcPr>
            <w:tcW w:w="6751" w:type="dxa"/>
          </w:tcPr>
          <w:p w:rsidR="002E3DE8" w:rsidRDefault="002E3DE8">
            <w:pPr>
              <w:spacing w:line="270" w:lineRule="exact"/>
            </w:pPr>
            <w:r>
              <w:t xml:space="preserve">De als </w:t>
            </w:r>
            <w:r>
              <w:rPr>
                <w:b/>
                <w:bCs/>
              </w:rPr>
              <w:t>Bijlage […] (Service Level Agreement)</w:t>
            </w:r>
            <w:r>
              <w:t xml:space="preserve"> opgenomen Service Level Agreement, waarin Diensten worden beschreven en waarin de Service Levels zijn opgenomen.</w:t>
            </w:r>
          </w:p>
          <w:p w:rsidR="002E3DE8" w:rsidRDefault="002E3DE8">
            <w:pPr>
              <w:spacing w:line="270" w:lineRule="exact"/>
            </w:pPr>
          </w:p>
        </w:tc>
      </w:tr>
      <w:tr w:rsidR="002E3DE8">
        <w:tc>
          <w:tcPr>
            <w:tcW w:w="2536" w:type="dxa"/>
          </w:tcPr>
          <w:p w:rsidR="002E3DE8" w:rsidRDefault="002E3DE8">
            <w:pPr>
              <w:spacing w:line="270" w:lineRule="exact"/>
              <w:rPr>
                <w:b/>
              </w:rPr>
            </w:pPr>
            <w:r>
              <w:rPr>
                <w:b/>
              </w:rPr>
              <w:t>Third Party Mededeling, TPM</w:t>
            </w:r>
          </w:p>
          <w:p w:rsidR="002E3DE8" w:rsidRDefault="002E3DE8">
            <w:pPr>
              <w:spacing w:line="270" w:lineRule="exact"/>
              <w:rPr>
                <w:b/>
              </w:rPr>
            </w:pPr>
          </w:p>
        </w:tc>
        <w:tc>
          <w:tcPr>
            <w:tcW w:w="6751" w:type="dxa"/>
          </w:tcPr>
          <w:p w:rsidR="002E3DE8" w:rsidRDefault="002E3DE8">
            <w:pPr>
              <w:spacing w:line="270" w:lineRule="exact"/>
            </w:pPr>
            <w:r>
              <w:t>De mededeling van een register EDP-auditor zoals bedoeld in artikel 18.1 van Bijlage 1 (Juridische voorwaarden).</w:t>
            </w:r>
          </w:p>
        </w:tc>
      </w:tr>
      <w:tr w:rsidR="002E3DE8">
        <w:tc>
          <w:tcPr>
            <w:tcW w:w="2536" w:type="dxa"/>
          </w:tcPr>
          <w:p w:rsidR="002E3DE8" w:rsidRDefault="002E3DE8">
            <w:pPr>
              <w:spacing w:line="270" w:lineRule="exact"/>
              <w:rPr>
                <w:b/>
              </w:rPr>
            </w:pPr>
            <w:r>
              <w:rPr>
                <w:b/>
              </w:rPr>
              <w:t>Transformatie</w:t>
            </w:r>
          </w:p>
          <w:p w:rsidR="002E3DE8" w:rsidRDefault="002E3DE8">
            <w:pPr>
              <w:spacing w:line="270" w:lineRule="exact"/>
              <w:rPr>
                <w:b/>
              </w:rPr>
            </w:pPr>
          </w:p>
        </w:tc>
        <w:tc>
          <w:tcPr>
            <w:tcW w:w="6751" w:type="dxa"/>
          </w:tcPr>
          <w:p w:rsidR="002E3DE8" w:rsidRDefault="002E3DE8">
            <w:pPr>
              <w:spacing w:line="270" w:lineRule="exact"/>
            </w:pPr>
            <w:r>
              <w:t>De transformatiewerkzaamheden zoals bedoeld in artikel 3.2 van Bijlage 1 (Juridische voorwaarden).</w:t>
            </w:r>
          </w:p>
          <w:p w:rsidR="002E3DE8" w:rsidRDefault="002E3DE8">
            <w:pPr>
              <w:spacing w:line="270" w:lineRule="exact"/>
            </w:pPr>
          </w:p>
        </w:tc>
      </w:tr>
      <w:tr w:rsidR="002E3DE8">
        <w:tc>
          <w:tcPr>
            <w:tcW w:w="2536" w:type="dxa"/>
          </w:tcPr>
          <w:p w:rsidR="002E3DE8" w:rsidRDefault="002E3DE8">
            <w:pPr>
              <w:spacing w:line="270" w:lineRule="exact"/>
              <w:rPr>
                <w:b/>
              </w:rPr>
            </w:pPr>
            <w:r>
              <w:rPr>
                <w:b/>
              </w:rPr>
              <w:t>Transformatieplan</w:t>
            </w:r>
          </w:p>
          <w:p w:rsidR="002E3DE8" w:rsidRDefault="002E3DE8">
            <w:pPr>
              <w:spacing w:line="270" w:lineRule="exact"/>
              <w:rPr>
                <w:b/>
              </w:rPr>
            </w:pPr>
          </w:p>
        </w:tc>
        <w:tc>
          <w:tcPr>
            <w:tcW w:w="6751" w:type="dxa"/>
          </w:tcPr>
          <w:p w:rsidR="002E3DE8" w:rsidRDefault="002E3DE8">
            <w:pPr>
              <w:spacing w:line="270" w:lineRule="exact"/>
            </w:pPr>
            <w:r>
              <w:t xml:space="preserve">Het in </w:t>
            </w:r>
            <w:r>
              <w:rPr>
                <w:b/>
                <w:bCs/>
              </w:rPr>
              <w:t xml:space="preserve">Bijlage […] (Transformatieplan) </w:t>
            </w:r>
            <w:r>
              <w:t>vastgelegde plan voor de uitvoering van de Transformatie.</w:t>
            </w:r>
          </w:p>
          <w:p w:rsidR="002E3DE8" w:rsidRDefault="002E3DE8">
            <w:pPr>
              <w:spacing w:line="270" w:lineRule="exact"/>
            </w:pPr>
          </w:p>
        </w:tc>
      </w:tr>
      <w:tr w:rsidR="002E3DE8">
        <w:tc>
          <w:tcPr>
            <w:tcW w:w="2536" w:type="dxa"/>
          </w:tcPr>
          <w:p w:rsidR="002E3DE8" w:rsidRDefault="002E3DE8">
            <w:pPr>
              <w:spacing w:line="270" w:lineRule="exact"/>
              <w:rPr>
                <w:b/>
              </w:rPr>
            </w:pPr>
            <w:r>
              <w:rPr>
                <w:b/>
              </w:rPr>
              <w:t>Transitie</w:t>
            </w:r>
          </w:p>
          <w:p w:rsidR="002E3DE8" w:rsidRDefault="002E3DE8">
            <w:pPr>
              <w:spacing w:line="270" w:lineRule="exact"/>
              <w:rPr>
                <w:b/>
              </w:rPr>
            </w:pPr>
          </w:p>
        </w:tc>
        <w:tc>
          <w:tcPr>
            <w:tcW w:w="6751" w:type="dxa"/>
          </w:tcPr>
          <w:p w:rsidR="002E3DE8" w:rsidRDefault="002E3DE8">
            <w:pPr>
              <w:spacing w:line="270" w:lineRule="exact"/>
            </w:pPr>
            <w:r>
              <w:t xml:space="preserve">De transitiewerkzaamheden zoals bedoeld in artikel 3.1 van </w:t>
            </w:r>
            <w:r>
              <w:rPr>
                <w:b/>
                <w:bCs/>
              </w:rPr>
              <w:t>Bijlage 1 (Juridische voorwaarden)</w:t>
            </w:r>
            <w:r>
              <w:t>.</w:t>
            </w:r>
          </w:p>
          <w:p w:rsidR="002E3DE8" w:rsidRDefault="002E3DE8">
            <w:pPr>
              <w:spacing w:line="270" w:lineRule="exact"/>
            </w:pPr>
          </w:p>
        </w:tc>
      </w:tr>
      <w:tr w:rsidR="002E3DE8">
        <w:tc>
          <w:tcPr>
            <w:tcW w:w="2536" w:type="dxa"/>
          </w:tcPr>
          <w:p w:rsidR="002E3DE8" w:rsidRDefault="002E3DE8">
            <w:pPr>
              <w:spacing w:line="270" w:lineRule="exact"/>
              <w:rPr>
                <w:b/>
              </w:rPr>
            </w:pPr>
            <w:r>
              <w:rPr>
                <w:b/>
              </w:rPr>
              <w:t>Transitieplan</w:t>
            </w:r>
          </w:p>
          <w:p w:rsidR="002E3DE8" w:rsidRDefault="002E3DE8">
            <w:pPr>
              <w:spacing w:line="270" w:lineRule="exact"/>
              <w:rPr>
                <w:b/>
              </w:rPr>
            </w:pPr>
          </w:p>
        </w:tc>
        <w:tc>
          <w:tcPr>
            <w:tcW w:w="6751" w:type="dxa"/>
          </w:tcPr>
          <w:p w:rsidR="002E3DE8" w:rsidRDefault="002E3DE8">
            <w:pPr>
              <w:spacing w:line="270" w:lineRule="exact"/>
            </w:pPr>
            <w:r>
              <w:t xml:space="preserve">Het in </w:t>
            </w:r>
            <w:r>
              <w:rPr>
                <w:b/>
                <w:bCs/>
              </w:rPr>
              <w:t xml:space="preserve">Bijlage […] (Transitieplan) </w:t>
            </w:r>
            <w:r>
              <w:t>vastgelegde plan voor de uitvoering van de Transitie.</w:t>
            </w:r>
          </w:p>
          <w:p w:rsidR="002E3DE8" w:rsidRDefault="002E3DE8">
            <w:pPr>
              <w:spacing w:line="270" w:lineRule="exact"/>
            </w:pPr>
          </w:p>
        </w:tc>
      </w:tr>
      <w:tr w:rsidR="002E3DE8">
        <w:tc>
          <w:tcPr>
            <w:tcW w:w="2536" w:type="dxa"/>
          </w:tcPr>
          <w:p w:rsidR="002E3DE8" w:rsidRDefault="002E3DE8">
            <w:pPr>
              <w:spacing w:line="270" w:lineRule="exact"/>
              <w:rPr>
                <w:b/>
              </w:rPr>
            </w:pPr>
            <w:r>
              <w:rPr>
                <w:b/>
              </w:rPr>
              <w:t>Vergoedingen</w:t>
            </w:r>
          </w:p>
        </w:tc>
        <w:tc>
          <w:tcPr>
            <w:tcW w:w="6751" w:type="dxa"/>
          </w:tcPr>
          <w:p w:rsidR="002E3DE8" w:rsidRDefault="002E3DE8">
            <w:pPr>
              <w:spacing w:line="270" w:lineRule="exact"/>
            </w:pPr>
            <w:r>
              <w:t xml:space="preserve">De in </w:t>
            </w:r>
            <w:r>
              <w:rPr>
                <w:b/>
                <w:bCs/>
              </w:rPr>
              <w:t>Bijlage […] (Vergoedingen)</w:t>
            </w:r>
            <w:r>
              <w:t xml:space="preserve"> opgenomen vergoedingen. </w:t>
            </w:r>
          </w:p>
          <w:p w:rsidR="002E3DE8" w:rsidRDefault="002E3DE8">
            <w:pPr>
              <w:spacing w:line="270" w:lineRule="exact"/>
            </w:pPr>
          </w:p>
        </w:tc>
      </w:tr>
      <w:tr w:rsidR="002E3DE8">
        <w:tc>
          <w:tcPr>
            <w:tcW w:w="2536" w:type="dxa"/>
          </w:tcPr>
          <w:p w:rsidR="002E3DE8" w:rsidRDefault="002E3DE8">
            <w:pPr>
              <w:spacing w:line="270" w:lineRule="exact"/>
              <w:rPr>
                <w:b/>
              </w:rPr>
            </w:pPr>
            <w:r>
              <w:rPr>
                <w:b/>
              </w:rPr>
              <w:t>Verzuim</w:t>
            </w:r>
          </w:p>
          <w:p w:rsidR="002E3DE8" w:rsidRDefault="002E3DE8">
            <w:pPr>
              <w:spacing w:line="270" w:lineRule="exact"/>
              <w:rPr>
                <w:b/>
              </w:rPr>
            </w:pPr>
          </w:p>
        </w:tc>
        <w:tc>
          <w:tcPr>
            <w:tcW w:w="6751" w:type="dxa"/>
          </w:tcPr>
          <w:p w:rsidR="002E3DE8" w:rsidRDefault="002E3DE8">
            <w:pPr>
              <w:widowControl w:val="0"/>
              <w:spacing w:line="270" w:lineRule="exact"/>
            </w:pPr>
            <w:r>
              <w:t>De situatie waarvan sprake is indien een prestatie uitblijft nadat zij opeisbaar is geworden en:</w:t>
            </w:r>
          </w:p>
          <w:p w:rsidR="002E3DE8" w:rsidRDefault="002E3DE8">
            <w:pPr>
              <w:widowControl w:val="0"/>
              <w:spacing w:line="270" w:lineRule="exact"/>
            </w:pPr>
            <w:r>
              <w:t>(a) een expliciet als fatale termijn overeengekomen termijn voor nakoming is overschreden zonder dat nakoming heeft plaatsgevonden; of</w:t>
            </w:r>
          </w:p>
          <w:p w:rsidR="002E3DE8" w:rsidRDefault="002E3DE8">
            <w:pPr>
              <w:widowControl w:val="0"/>
              <w:spacing w:line="270" w:lineRule="exact"/>
            </w:pPr>
            <w:r>
              <w:t>(b) correcte nakoming blijvend of tijdelijk onmogelijk is; of</w:t>
            </w:r>
          </w:p>
          <w:p w:rsidR="002E3DE8" w:rsidRDefault="002E3DE8">
            <w:pPr>
              <w:widowControl w:val="0"/>
              <w:spacing w:line="270" w:lineRule="exact"/>
            </w:pPr>
            <w:r>
              <w:t>(c) uit mededelingen of gedrag van de wederpartij afgeleid kan worden dat nakoming niet zal gaan plaatsvinden; of</w:t>
            </w:r>
          </w:p>
          <w:p w:rsidR="002E3DE8" w:rsidRDefault="002E3DE8">
            <w:pPr>
              <w:spacing w:line="270" w:lineRule="exact"/>
            </w:pPr>
            <w:r>
              <w:t>(d) de wederpartij ook na een ingebrekestelling stellende een redelijke termijn van maximaal 30 dagen in gebreke blijft in de nakoming van enige bepaling in de Overeenkomst;</w:t>
            </w:r>
          </w:p>
          <w:p w:rsidR="002E3DE8" w:rsidRDefault="002E3DE8">
            <w:pPr>
              <w:widowControl w:val="0"/>
              <w:spacing w:line="270" w:lineRule="exact"/>
            </w:pPr>
            <w:r>
              <w:t>danwel de situatie waarvan sprake is voordat de vordering op de wederpartij uit hoofde van de Overeenkomst opeisbaar is, indien:</w:t>
            </w:r>
          </w:p>
          <w:p w:rsidR="002E3DE8" w:rsidRDefault="002E3DE8">
            <w:pPr>
              <w:widowControl w:val="0"/>
              <w:spacing w:line="270" w:lineRule="exact"/>
            </w:pPr>
            <w:r>
              <w:t>(a) vaststaat dat nakoming zonder tekortkoming onmogelijk zal zijn; of</w:t>
            </w:r>
          </w:p>
          <w:p w:rsidR="002E3DE8" w:rsidRDefault="002E3DE8">
            <w:pPr>
              <w:widowControl w:val="0"/>
              <w:spacing w:line="270" w:lineRule="exact"/>
            </w:pPr>
            <w:r>
              <w:t>(b) uit een mededeling van de wederpartij moet worden afgeleid dat deze in de nakoming zal tekortschieten; of</w:t>
            </w:r>
          </w:p>
          <w:p w:rsidR="002E3DE8" w:rsidRDefault="002E3DE8">
            <w:pPr>
              <w:spacing w:line="270" w:lineRule="exact"/>
            </w:pPr>
            <w:r>
              <w:t xml:space="preserve">(c) goede gronden aanwezig zijn om te vrezen dat de wederpartij in </w:t>
            </w:r>
            <w:r>
              <w:lastRenderedPageBreak/>
              <w:t>de nakoming zal tekortschieten en deze niet voldoet aan een schriftelijke aanmaning met opgave van die gronden om zich binnen een bij die aanmaning gestelde redelijke termijn van maximaal 30 dagen bereid te verklaren zijn verplichtingen na te komen.</w:t>
            </w:r>
          </w:p>
          <w:p w:rsidR="002E3DE8" w:rsidRDefault="002E3DE8">
            <w:pPr>
              <w:spacing w:line="270" w:lineRule="exact"/>
            </w:pPr>
          </w:p>
        </w:tc>
      </w:tr>
      <w:tr w:rsidR="002E3DE8">
        <w:tc>
          <w:tcPr>
            <w:tcW w:w="2536" w:type="dxa"/>
          </w:tcPr>
          <w:p w:rsidR="002E3DE8" w:rsidRDefault="002E3DE8">
            <w:pPr>
              <w:spacing w:line="270" w:lineRule="exact"/>
              <w:rPr>
                <w:b/>
              </w:rPr>
            </w:pPr>
            <w:r>
              <w:rPr>
                <w:b/>
              </w:rPr>
              <w:lastRenderedPageBreak/>
              <w:t>Vrijwarende Partij</w:t>
            </w:r>
          </w:p>
          <w:p w:rsidR="002E3DE8" w:rsidRDefault="002E3DE8">
            <w:pPr>
              <w:spacing w:line="270" w:lineRule="exact"/>
              <w:rPr>
                <w:b/>
              </w:rPr>
            </w:pPr>
          </w:p>
        </w:tc>
        <w:tc>
          <w:tcPr>
            <w:tcW w:w="6751" w:type="dxa"/>
          </w:tcPr>
          <w:p w:rsidR="002E3DE8" w:rsidRDefault="002E3DE8">
            <w:pPr>
              <w:spacing w:line="270" w:lineRule="exact"/>
            </w:pPr>
            <w:r>
              <w:t xml:space="preserve">De vrijwarende partij zoals bedoeld in artikel 27.3 van </w:t>
            </w:r>
            <w:r>
              <w:rPr>
                <w:b/>
                <w:bCs/>
              </w:rPr>
              <w:t>Bijlage 1 (Juridische voorwaarden)</w:t>
            </w:r>
            <w:r>
              <w:t>.</w:t>
            </w:r>
          </w:p>
          <w:p w:rsidR="002E3DE8" w:rsidRDefault="002E3DE8">
            <w:pPr>
              <w:spacing w:line="270" w:lineRule="exact"/>
            </w:pPr>
          </w:p>
        </w:tc>
      </w:tr>
      <w:tr w:rsidR="002E3DE8">
        <w:tc>
          <w:tcPr>
            <w:tcW w:w="2536" w:type="dxa"/>
          </w:tcPr>
          <w:p w:rsidR="002E3DE8" w:rsidRDefault="002E3DE8">
            <w:pPr>
              <w:spacing w:line="270" w:lineRule="exact"/>
              <w:rPr>
                <w:b/>
              </w:rPr>
            </w:pPr>
            <w:r>
              <w:rPr>
                <w:b/>
              </w:rPr>
              <w:t>Werkdag</w:t>
            </w:r>
          </w:p>
        </w:tc>
        <w:tc>
          <w:tcPr>
            <w:tcW w:w="6751" w:type="dxa"/>
          </w:tcPr>
          <w:p w:rsidR="002E3DE8" w:rsidRDefault="002E3DE8">
            <w:pPr>
              <w:spacing w:line="270" w:lineRule="exact"/>
            </w:pPr>
            <w:r>
              <w:t>Iedere dag van 08.00-17.00 uur CET, uitgezonderd zaterdagen, zondagen en nationaal erkende feestdagen.</w:t>
            </w:r>
          </w:p>
          <w:p w:rsidR="002E3DE8" w:rsidRDefault="002E3DE8">
            <w:pPr>
              <w:spacing w:line="270" w:lineRule="exact"/>
            </w:pPr>
          </w:p>
        </w:tc>
      </w:tr>
      <w:tr w:rsidR="002E3DE8">
        <w:tc>
          <w:tcPr>
            <w:tcW w:w="2536" w:type="dxa"/>
          </w:tcPr>
          <w:p w:rsidR="002E3DE8" w:rsidRDefault="002E3DE8">
            <w:pPr>
              <w:spacing w:line="270" w:lineRule="exact"/>
              <w:rPr>
                <w:b/>
              </w:rPr>
            </w:pPr>
            <w:r>
              <w:rPr>
                <w:b/>
              </w:rPr>
              <w:t>Wijzigingsprocedure</w:t>
            </w:r>
          </w:p>
        </w:tc>
        <w:tc>
          <w:tcPr>
            <w:tcW w:w="6751" w:type="dxa"/>
          </w:tcPr>
          <w:p w:rsidR="002E3DE8" w:rsidRDefault="002E3DE8">
            <w:pPr>
              <w:spacing w:line="270" w:lineRule="exact"/>
            </w:pPr>
            <w:r>
              <w:t xml:space="preserve">De als </w:t>
            </w:r>
            <w:r>
              <w:rPr>
                <w:b/>
                <w:bCs/>
              </w:rPr>
              <w:t>Bijlage […] Wijzigingsprocedure</w:t>
            </w:r>
            <w:r>
              <w:t xml:space="preserve"> opgenomen procedure inzake wijzigingen van de Overeenkomst.</w:t>
            </w:r>
          </w:p>
          <w:p w:rsidR="002E3DE8" w:rsidRDefault="002E3DE8">
            <w:pPr>
              <w:spacing w:line="270" w:lineRule="exact"/>
            </w:pPr>
          </w:p>
        </w:tc>
      </w:tr>
    </w:tbl>
    <w:p w:rsidR="002E3DE8" w:rsidRDefault="002E3DE8">
      <w:pPr>
        <w:pStyle w:val="Level2"/>
        <w:rPr>
          <w:rFonts w:ascii="Times New Roman" w:hAnsi="Times New Roman" w:cs="Times New Roman"/>
          <w:sz w:val="24"/>
        </w:rPr>
      </w:pPr>
    </w:p>
    <w:p w:rsidR="002E3DE8" w:rsidRDefault="002E3DE8">
      <w:pPr>
        <w:pStyle w:val="Body2"/>
        <w:spacing w:line="270" w:lineRule="exact"/>
        <w:ind w:left="0"/>
        <w:jc w:val="left"/>
        <w:rPr>
          <w:rFonts w:ascii="Times New Roman" w:hAnsi="Times New Roman" w:cs="Times New Roman"/>
          <w:b/>
          <w:bCs/>
          <w:sz w:val="24"/>
        </w:rPr>
        <w:sectPr w:rsidR="002E3DE8">
          <w:pgSz w:w="11907" w:h="16840" w:code="9"/>
          <w:pgMar w:top="1418" w:right="1418" w:bottom="1418" w:left="1418" w:header="709" w:footer="709" w:gutter="0"/>
          <w:pgNumType w:start="1"/>
          <w:cols w:space="720"/>
          <w:noEndnote/>
          <w:docGrid w:linePitch="299"/>
        </w:sectPr>
      </w:pPr>
    </w:p>
    <w:p w:rsidR="002E3DE8" w:rsidRDefault="002E3DE8">
      <w:pPr>
        <w:pStyle w:val="Body2"/>
        <w:spacing w:line="270" w:lineRule="exact"/>
        <w:ind w:left="0"/>
        <w:jc w:val="left"/>
        <w:rPr>
          <w:rFonts w:ascii="Times New Roman" w:hAnsi="Times New Roman" w:cs="Times New Roman"/>
          <w:b/>
          <w:bCs/>
          <w:sz w:val="24"/>
        </w:rPr>
      </w:pPr>
      <w:r>
        <w:rPr>
          <w:rFonts w:ascii="Times New Roman" w:hAnsi="Times New Roman" w:cs="Times New Roman"/>
          <w:b/>
          <w:bCs/>
          <w:sz w:val="24"/>
        </w:rPr>
        <w:lastRenderedPageBreak/>
        <w:t>BIJLAGE[…] Wijzigingsprocedure</w:t>
      </w:r>
    </w:p>
    <w:p w:rsidR="002E3DE8" w:rsidRDefault="002E3DE8">
      <w:pPr>
        <w:spacing w:line="270" w:lineRule="exact"/>
        <w:rPr>
          <w:b/>
          <w:bCs/>
        </w:rPr>
      </w:pPr>
    </w:p>
    <w:p w:rsidR="002E3DE8" w:rsidRDefault="002E3DE8" w:rsidP="002E3DE8">
      <w:pPr>
        <w:numPr>
          <w:ilvl w:val="0"/>
          <w:numId w:val="7"/>
        </w:numPr>
        <w:spacing w:line="270" w:lineRule="exact"/>
      </w:pPr>
      <w:r>
        <w:t>Van tijd tot tijd kan ieder der partijen aan de andere partij een voorstel doen deze Overeenkomst te wijzigen. Naar aanleiding van een dergelijk verzoek zullen partijen binnen een redelijke termijn, doch niet later dan […] Werkdagen met elkaar in overleg treden over de voorgestelde wijziging en de mogelijke consequenties daarvan.</w:t>
      </w:r>
      <w:r>
        <w:rPr>
          <w:rStyle w:val="Voetnootmarkering"/>
        </w:rPr>
        <w:footnoteReference w:id="52"/>
      </w:r>
    </w:p>
    <w:p w:rsidR="002E3DE8" w:rsidRDefault="002E3DE8">
      <w:pPr>
        <w:spacing w:line="270" w:lineRule="exact"/>
      </w:pPr>
    </w:p>
    <w:p w:rsidR="002E3DE8" w:rsidRDefault="002E3DE8" w:rsidP="002E3DE8">
      <w:pPr>
        <w:numPr>
          <w:ilvl w:val="0"/>
          <w:numId w:val="7"/>
        </w:numPr>
        <w:spacing w:line="270" w:lineRule="exact"/>
      </w:pPr>
      <w:r>
        <w:t>Naar aanleiding van de in het eerste artikellid genoemde overleg kan ieder der partijen een schriftelijk voorstel doen voor een wijziging van de Overeenkomst. Als dit verzoek van Klant afkomstig is, zal Leverancier vervolgens binnen 10 Werkdagen, of zoveel later indien deze termijn redelijkerwijs niet realistisch is, Klant schriftelijk rapporteren of hij akkoord gaat met de wijziging en zo ja, op welke wijze de wijziging zou moeten worden doorgevoerd in de tekst van de Overeenkomst en de eventueel aan de wijziging te verbinden financiële consequenties. Als dit verzoek van Leverancier afkomstig is, zal hij daarbij aangeven op welke wijze de wijziging zou moeten worden doorgevoerd in de tekst van de Overeenkomst en de eventueel aan de wijziging te verbinden financiële consequenties.</w:t>
      </w:r>
      <w:r>
        <w:rPr>
          <w:rStyle w:val="Voetnootmarkering"/>
        </w:rPr>
        <w:footnoteReference w:id="53"/>
      </w:r>
    </w:p>
    <w:p w:rsidR="002E3DE8" w:rsidRDefault="002E3DE8">
      <w:pPr>
        <w:spacing w:line="270" w:lineRule="exact"/>
      </w:pPr>
    </w:p>
    <w:p w:rsidR="002E3DE8" w:rsidRDefault="002E3DE8" w:rsidP="002E3DE8">
      <w:pPr>
        <w:numPr>
          <w:ilvl w:val="0"/>
          <w:numId w:val="7"/>
        </w:numPr>
        <w:spacing w:line="270" w:lineRule="exact"/>
      </w:pPr>
      <w:r>
        <w:t>Klant zal binnen maximaal […] Werkdagen na bedoelde schriftelijke rapportage van Leverancier, of zoveel later indien deze termijn redelijkerwijs niet realistisch is, schriftelijk kenbaar maken dat zij:</w:t>
      </w:r>
    </w:p>
    <w:p w:rsidR="002E3DE8" w:rsidRDefault="002E3DE8" w:rsidP="002E3DE8">
      <w:pPr>
        <w:numPr>
          <w:ilvl w:val="1"/>
          <w:numId w:val="7"/>
        </w:numPr>
        <w:spacing w:line="270" w:lineRule="exact"/>
      </w:pPr>
      <w:r>
        <w:t>met de voorgestelde wijzigingen, inclusief de daaraan verbonden financiële consequenties akkoord is;</w:t>
      </w:r>
    </w:p>
    <w:p w:rsidR="002E3DE8" w:rsidRDefault="002E3DE8" w:rsidP="002E3DE8">
      <w:pPr>
        <w:numPr>
          <w:ilvl w:val="1"/>
          <w:numId w:val="7"/>
        </w:numPr>
        <w:spacing w:line="270" w:lineRule="exact"/>
      </w:pPr>
      <w:r>
        <w:t>een alternatieve handelswijze voorstaat, waarna partijen te goeder trouw overeenstemming zullen trachten te bereiken; of</w:t>
      </w:r>
    </w:p>
    <w:p w:rsidR="002E3DE8" w:rsidRDefault="002E3DE8" w:rsidP="002E3DE8">
      <w:pPr>
        <w:numPr>
          <w:ilvl w:val="1"/>
          <w:numId w:val="7"/>
        </w:numPr>
        <w:spacing w:line="270" w:lineRule="exact"/>
      </w:pPr>
      <w:r>
        <w:t>niet akkoord is met de voorgestelde wijziging en de daaraan verbonden financiële consequenties.</w:t>
      </w:r>
    </w:p>
    <w:p w:rsidR="002E3DE8" w:rsidRDefault="002E3DE8">
      <w:pPr>
        <w:spacing w:line="270" w:lineRule="exact"/>
        <w:rPr>
          <w:bCs/>
        </w:rPr>
      </w:pPr>
    </w:p>
    <w:p w:rsidR="002E3DE8" w:rsidRDefault="002E3DE8" w:rsidP="002E3DE8">
      <w:pPr>
        <w:numPr>
          <w:ilvl w:val="0"/>
          <w:numId w:val="7"/>
        </w:numPr>
        <w:spacing w:line="270" w:lineRule="exact"/>
        <w:rPr>
          <w:rStyle w:val="Heading1Text"/>
          <w:rFonts w:ascii="Times New Roman" w:hAnsi="Times New Roman" w:cs="Times New Roman"/>
          <w:b w:val="0"/>
          <w:bCs/>
          <w:caps w:val="0"/>
          <w:sz w:val="24"/>
        </w:rPr>
      </w:pPr>
      <w:r>
        <w:t>Zodra partijen overeenstemming hebben bereikt zullen zij dit vastleggen in een door beide partijen te tekenen aanvulling op de Overeenkomst.</w:t>
      </w:r>
    </w:p>
    <w:p w:rsidR="002E3DE8" w:rsidRDefault="002E3DE8">
      <w:pPr>
        <w:pStyle w:val="Body2"/>
        <w:spacing w:line="270" w:lineRule="exact"/>
        <w:jc w:val="left"/>
        <w:rPr>
          <w:rFonts w:ascii="Times New Roman" w:hAnsi="Times New Roman" w:cs="Times New Roman"/>
          <w:sz w:val="24"/>
        </w:rPr>
      </w:pPr>
    </w:p>
    <w:p w:rsidR="002E3DE8" w:rsidRDefault="002E3DE8">
      <w:pPr>
        <w:spacing w:line="270" w:lineRule="exact"/>
        <w:rPr>
          <w:b/>
          <w:bCs/>
        </w:rPr>
        <w:sectPr w:rsidR="002E3DE8">
          <w:pgSz w:w="11907" w:h="16840" w:code="9"/>
          <w:pgMar w:top="1418" w:right="1418" w:bottom="1418" w:left="1418" w:header="709" w:footer="709" w:gutter="0"/>
          <w:pgNumType w:start="1"/>
          <w:cols w:space="720"/>
          <w:noEndnote/>
          <w:docGrid w:linePitch="299"/>
        </w:sectPr>
      </w:pPr>
    </w:p>
    <w:p w:rsidR="002E3DE8" w:rsidRDefault="002E3DE8">
      <w:pPr>
        <w:spacing w:line="270" w:lineRule="exact"/>
      </w:pPr>
      <w:r>
        <w:rPr>
          <w:b/>
          <w:bCs/>
        </w:rPr>
        <w:lastRenderedPageBreak/>
        <w:t>BIJLAGE […] Acceptatieprocedure</w:t>
      </w:r>
    </w:p>
    <w:p w:rsidR="002E3DE8" w:rsidRDefault="002E3DE8">
      <w:pPr>
        <w:spacing w:line="270" w:lineRule="exact"/>
      </w:pPr>
    </w:p>
    <w:p w:rsidR="002E3DE8" w:rsidRDefault="002E3DE8">
      <w:pPr>
        <w:spacing w:line="270" w:lineRule="exact"/>
      </w:pPr>
    </w:p>
    <w:p w:rsidR="002E3DE8" w:rsidRDefault="002E3DE8" w:rsidP="002E3DE8">
      <w:pPr>
        <w:numPr>
          <w:ilvl w:val="0"/>
          <w:numId w:val="5"/>
        </w:numPr>
        <w:spacing w:line="270" w:lineRule="exact"/>
      </w:pPr>
      <w:r>
        <w:t>Behoudens voor zover is overeengekomen dat geen acceptatietest plaatsvindt, zullen de resultaten van de Transitie, Transformatie en Projecten onderworpen aan een acceptatietest. [Hetzelfde geldt voor resultaten van overige Diensten, indien dat specifiek is overeengekomen.] De wijze van uitvoering van de acceptatietest en de acceptatiecriteria zijn vastgelegd in het Transitie-, Transformatie- respectievelijk Projectplan [of anderszins door partijen terzake overeengekomen document]. Tenzij anders overeengekomen, wordt de acceptatietest uitgevoerd door de Klant. [Klant is daarbij gerechtigd de acceptatietest door een deskundige derde</w:t>
      </w:r>
      <w:r>
        <w:rPr>
          <w:rStyle w:val="Voetnootmarkering"/>
        </w:rPr>
        <w:footnoteReference w:id="54"/>
      </w:r>
      <w:r>
        <w:t xml:space="preserve"> te laten uitvoeren. Leverancier is gerechtigd te verlangen dat de deskundige een geheimhoudingsverklaring tekent ten gunste van Leverancier (waarvan Leverancier een exemplaar krijgt). De geheimhoudingsverklaring dient die voorwaarden te bevatten die gebruikelijk zijn voor dit soort verklaringen.]Bij het inschakelen van de betreffende derde zal Klant de redelijke belangen van Leverancier laten meewegen, waaronder -onder omstandigheden- het belang dat de derde onafhankelijk is.</w:t>
      </w:r>
    </w:p>
    <w:p w:rsidR="002E3DE8" w:rsidRDefault="002E3DE8">
      <w:pPr>
        <w:spacing w:line="270" w:lineRule="exact"/>
      </w:pPr>
    </w:p>
    <w:p w:rsidR="002E3DE8" w:rsidRDefault="002E3DE8" w:rsidP="002E3DE8">
      <w:pPr>
        <w:numPr>
          <w:ilvl w:val="0"/>
          <w:numId w:val="5"/>
        </w:numPr>
        <w:spacing w:line="270" w:lineRule="exact"/>
      </w:pPr>
      <w:r>
        <w:t>[Klant/Leverancier] dient een Ontwikkel-, Test- en Acceptatie (OTA)-omgeving beschikbaar te stellen voor iedere acceptatietest.</w:t>
      </w:r>
    </w:p>
    <w:p w:rsidR="002E3DE8" w:rsidRDefault="002E3DE8">
      <w:pPr>
        <w:spacing w:line="270" w:lineRule="exact"/>
      </w:pPr>
    </w:p>
    <w:p w:rsidR="002E3DE8" w:rsidRDefault="002E3DE8" w:rsidP="002E3DE8">
      <w:pPr>
        <w:numPr>
          <w:ilvl w:val="0"/>
          <w:numId w:val="5"/>
        </w:numPr>
        <w:spacing w:line="270" w:lineRule="exact"/>
      </w:pPr>
      <w:bookmarkStart w:id="75" w:name="_Ref280276535"/>
      <w:r>
        <w:t>Direct nadat een acceptatietest heeft plaatsgevonden, wordt door partijen een proces-verbaal opgemaakt en ondertekend. In dit proces-verbaal zal concreet worden vastgelegd in welke opzicht de conform het voorgaande ter acceptatie aangeboden resultaten van de Diensten achterblijven bij hetgeen is overeengekomen en voorts of deze resultaten van de Diensten door Klant zijn goedgekeurd, dan wel afgekeurd. Indien de Klant binnen […] Werkdagen na de overeengekomen oplevering nalaat om het geleverde af te keuren dan wel binnen deze termijn het geleverde in operationeel gebruik neemt, wordt het geleverde geacht te zijn geaccepteerd.</w:t>
      </w:r>
      <w:bookmarkEnd w:id="75"/>
      <w:r>
        <w:rPr>
          <w:rStyle w:val="Voetnootmarkering"/>
        </w:rPr>
        <w:footnoteReference w:id="55"/>
      </w:r>
    </w:p>
    <w:p w:rsidR="002E3DE8" w:rsidRDefault="002E3DE8">
      <w:pPr>
        <w:spacing w:line="270" w:lineRule="exact"/>
      </w:pPr>
    </w:p>
    <w:p w:rsidR="002E3DE8" w:rsidRDefault="002E3DE8" w:rsidP="002E3DE8">
      <w:pPr>
        <w:numPr>
          <w:ilvl w:val="0"/>
          <w:numId w:val="5"/>
        </w:numPr>
        <w:spacing w:line="270" w:lineRule="exact"/>
      </w:pPr>
      <w:r>
        <w:t>Kleine gebreken, waartoe gerekend worden gebreken, die door hun aard en/of aantal bedrijfsmatige ingebruikname van de resultaten van de Diensten redelijkerwijze niet in de weg staan, zullen geen reden tot onthouding van de goedkeuring zijn, onverminderd de verplichting van Leverancier tot kosteloos herstel van zodanige gebreken.</w:t>
      </w:r>
      <w:r>
        <w:rPr>
          <w:rStyle w:val="Voetnootmarkering"/>
        </w:rPr>
        <w:footnoteReference w:id="56"/>
      </w:r>
    </w:p>
    <w:p w:rsidR="002E3DE8" w:rsidRDefault="002E3DE8">
      <w:pPr>
        <w:spacing w:line="270" w:lineRule="exact"/>
      </w:pPr>
    </w:p>
    <w:p w:rsidR="002E3DE8" w:rsidRDefault="002E3DE8" w:rsidP="002E3DE8">
      <w:pPr>
        <w:numPr>
          <w:ilvl w:val="0"/>
          <w:numId w:val="5"/>
        </w:numPr>
        <w:spacing w:line="270" w:lineRule="exact"/>
      </w:pPr>
      <w:r>
        <w:t>Zo spoedig mogelijk, doch uiterlijk binnen [10] Werkdagen na de datum van het proces-verbaal als bedoeld in lid [</w:t>
      </w:r>
      <w:r>
        <w:fldChar w:fldCharType="begin"/>
      </w:r>
      <w:r>
        <w:instrText xml:space="preserve"> REF _Ref280276535 \r \h </w:instrText>
      </w:r>
      <w:r>
        <w:fldChar w:fldCharType="separate"/>
      </w:r>
      <w:r>
        <w:t>3</w:t>
      </w:r>
      <w:r>
        <w:fldChar w:fldCharType="end"/>
      </w:r>
      <w:r>
        <w:t>] [of zoveel later indien deze termijn redelijkerwijs niet realistisch is], zal Leverancier de in het proces-verbaal vastgelegde gebreken voor eigen rekening verhelpen.</w:t>
      </w:r>
    </w:p>
    <w:p w:rsidR="002E3DE8" w:rsidRDefault="002E3DE8">
      <w:pPr>
        <w:spacing w:line="270" w:lineRule="exact"/>
      </w:pPr>
    </w:p>
    <w:p w:rsidR="002E3DE8" w:rsidRDefault="002E3DE8" w:rsidP="002E3DE8">
      <w:pPr>
        <w:numPr>
          <w:ilvl w:val="0"/>
          <w:numId w:val="5"/>
        </w:numPr>
        <w:spacing w:line="270" w:lineRule="exact"/>
      </w:pPr>
      <w:r>
        <w:lastRenderedPageBreak/>
        <w:t xml:space="preserve">Indien Klant de resultaten van de Diensten niet bij de eerste uitvoering van een acceptatietest heeft goedgekeurd, en op voorwaarde dat Leverancier de gebreken conform het voorgaande artikellid tijdig heeft hersteld en de resultaten binnen die termijn opnieuw heeft opgeleverd ter acceptatie, zal uiterlijk binnen […] Werkdagen na de hernieuwde oplevering de in lid </w:t>
      </w:r>
      <w:r>
        <w:fldChar w:fldCharType="begin"/>
      </w:r>
      <w:r>
        <w:instrText xml:space="preserve"> REF _Ref280276535 \r \h </w:instrText>
      </w:r>
      <w:r>
        <w:fldChar w:fldCharType="separate"/>
      </w:r>
      <w:r>
        <w:t>3</w:t>
      </w:r>
      <w:r>
        <w:fldChar w:fldCharType="end"/>
      </w:r>
      <w:r>
        <w:t xml:space="preserve"> bedoelde acceptatietest worden herhaald. In een tweede proces-verbaal zal worden vastgelegd of de in het eerste proces-verbaal opgenomen gebreken zijn verholpen en - in geval van afkeuring - of de resultaten van de Diensten thans zijn goedgekeurd.</w:t>
      </w:r>
    </w:p>
    <w:p w:rsidR="002E3DE8" w:rsidRDefault="002E3DE8">
      <w:pPr>
        <w:spacing w:line="270" w:lineRule="exact"/>
        <w:ind w:left="567"/>
      </w:pPr>
    </w:p>
    <w:p w:rsidR="002E3DE8" w:rsidRDefault="002E3DE8" w:rsidP="002E3DE8">
      <w:pPr>
        <w:numPr>
          <w:ilvl w:val="0"/>
          <w:numId w:val="5"/>
        </w:numPr>
        <w:spacing w:line="270" w:lineRule="exact"/>
      </w:pPr>
      <w:r>
        <w:t>Indien de resultaten van de Diensten na de tweede acceptatietest opnieuw door Klant worden afgekeurd, is Klant gerechtigd de betreffende Projectovereenkomst - eventueel voorwaardelijk of gedeeltelijk - buiten rechte te ontbinden zonder dat daarvoor enige aanmaning of ingebrekestelling is vereist en zonder dat Klant tot enige vergoeding dienaangaande gehouden is. Het bepaalde in dit artikel laat eventuele overige ontbindingsbevoegdheden en rechten onverlet.</w:t>
      </w:r>
      <w:r>
        <w:rPr>
          <w:rStyle w:val="Voetnootmarkering"/>
        </w:rPr>
        <w:footnoteReference w:id="57"/>
      </w:r>
    </w:p>
    <w:p w:rsidR="002E3DE8" w:rsidRDefault="002E3DE8">
      <w:pPr>
        <w:spacing w:line="270" w:lineRule="exact"/>
      </w:pPr>
    </w:p>
    <w:p w:rsidR="002E3DE8" w:rsidRDefault="002E3DE8" w:rsidP="002E3DE8">
      <w:pPr>
        <w:numPr>
          <w:ilvl w:val="0"/>
          <w:numId w:val="5"/>
        </w:numPr>
        <w:spacing w:line="270" w:lineRule="exact"/>
      </w:pPr>
      <w:r>
        <w:t>Indien de resultaten van de Diensten door Klant worden goedgekeurd, zal de datum waarop het betreffende proces-verbaal is opgesteld en ondertekend, gelden als de datum van acceptatie.</w:t>
      </w:r>
    </w:p>
    <w:p w:rsidR="002E3DE8" w:rsidRDefault="002E3DE8">
      <w:pPr>
        <w:pStyle w:val="Body2"/>
        <w:spacing w:line="270" w:lineRule="exact"/>
        <w:ind w:left="0"/>
        <w:jc w:val="left"/>
        <w:rPr>
          <w:rFonts w:ascii="Times New Roman" w:hAnsi="Times New Roman" w:cs="Times New Roman"/>
          <w:b/>
          <w:sz w:val="24"/>
        </w:rPr>
        <w:sectPr w:rsidR="002E3DE8">
          <w:pgSz w:w="11907" w:h="16840" w:code="9"/>
          <w:pgMar w:top="1418" w:right="1418" w:bottom="1418" w:left="1418" w:header="709" w:footer="709" w:gutter="0"/>
          <w:pgNumType w:start="1"/>
          <w:cols w:space="720"/>
          <w:noEndnote/>
          <w:docGrid w:linePitch="299"/>
        </w:sectPr>
      </w:pPr>
    </w:p>
    <w:p w:rsidR="002E3DE8" w:rsidRDefault="002E3DE8">
      <w:pPr>
        <w:spacing w:line="270" w:lineRule="exact"/>
        <w:rPr>
          <w:b/>
          <w:bCs/>
        </w:rPr>
      </w:pPr>
      <w:r>
        <w:rPr>
          <w:b/>
        </w:rPr>
        <w:lastRenderedPageBreak/>
        <w:t>BIJLAGE […] Gedragscode Retransitie</w:t>
      </w:r>
      <w:r>
        <w:rPr>
          <w:b/>
          <w:bCs/>
          <w:caps/>
          <w:szCs w:val="28"/>
        </w:rPr>
        <w:t xml:space="preserve"> (</w:t>
      </w:r>
      <w:r>
        <w:rPr>
          <w:b/>
          <w:bCs/>
        </w:rPr>
        <w:t>Platform Outsourcing Nederland)</w:t>
      </w:r>
      <w:r>
        <w:rPr>
          <w:rStyle w:val="Voetnootmarkering"/>
        </w:rPr>
        <w:footnoteReference w:id="58"/>
      </w:r>
    </w:p>
    <w:p w:rsidR="002E3DE8" w:rsidRDefault="002E3DE8">
      <w:pPr>
        <w:spacing w:line="270" w:lineRule="exact"/>
        <w:rPr>
          <w:b/>
        </w:rPr>
      </w:pPr>
    </w:p>
    <w:p w:rsidR="002E3DE8" w:rsidRDefault="002E3DE8">
      <w:pPr>
        <w:autoSpaceDE w:val="0"/>
        <w:autoSpaceDN w:val="0"/>
        <w:adjustRightInd w:val="0"/>
        <w:spacing w:line="270" w:lineRule="exact"/>
        <w:rPr>
          <w:b/>
          <w:bCs/>
          <w:szCs w:val="28"/>
        </w:rPr>
      </w:pPr>
      <w:r>
        <w:rPr>
          <w:b/>
          <w:bCs/>
          <w:szCs w:val="28"/>
        </w:rPr>
        <w:t>1. Doelstellingen van deze gedragscode</w:t>
      </w:r>
    </w:p>
    <w:p w:rsidR="002E3DE8" w:rsidRDefault="002E3DE8">
      <w:pPr>
        <w:autoSpaceDE w:val="0"/>
        <w:autoSpaceDN w:val="0"/>
        <w:adjustRightInd w:val="0"/>
        <w:spacing w:line="270" w:lineRule="exact"/>
        <w:rPr>
          <w:b/>
          <w:bCs/>
          <w:szCs w:val="28"/>
        </w:rPr>
      </w:pPr>
    </w:p>
    <w:p w:rsidR="002E3DE8" w:rsidRDefault="002E3DE8" w:rsidP="002E3DE8">
      <w:pPr>
        <w:numPr>
          <w:ilvl w:val="6"/>
          <w:numId w:val="11"/>
        </w:numPr>
        <w:autoSpaceDE w:val="0"/>
        <w:autoSpaceDN w:val="0"/>
        <w:adjustRightInd w:val="0"/>
        <w:spacing w:line="270" w:lineRule="exact"/>
        <w:ind w:left="540" w:hanging="540"/>
        <w:rPr>
          <w:szCs w:val="20"/>
        </w:rPr>
      </w:pPr>
      <w:r>
        <w:rPr>
          <w:szCs w:val="20"/>
        </w:rPr>
        <w:t>Transparantie van het outsourcingsproces vergroten, zodat de continuïteit van de dienstverlening bij de klant wordt gewaarborgd.</w:t>
      </w:r>
    </w:p>
    <w:p w:rsidR="002E3DE8" w:rsidRDefault="002E3DE8" w:rsidP="002E3DE8">
      <w:pPr>
        <w:numPr>
          <w:ilvl w:val="6"/>
          <w:numId w:val="11"/>
        </w:numPr>
        <w:autoSpaceDE w:val="0"/>
        <w:autoSpaceDN w:val="0"/>
        <w:adjustRightInd w:val="0"/>
        <w:spacing w:line="270" w:lineRule="exact"/>
        <w:ind w:left="540" w:hanging="540"/>
        <w:rPr>
          <w:szCs w:val="20"/>
        </w:rPr>
      </w:pPr>
      <w:r>
        <w:rPr>
          <w:szCs w:val="20"/>
        </w:rPr>
        <w:t>Gedragscode levert de basisprincipes/minimum voorwaarden die door alle deelnemende dienstverleners onderschreven worden.</w:t>
      </w:r>
    </w:p>
    <w:p w:rsidR="002E3DE8" w:rsidRDefault="002E3DE8" w:rsidP="002E3DE8">
      <w:pPr>
        <w:numPr>
          <w:ilvl w:val="6"/>
          <w:numId w:val="11"/>
        </w:numPr>
        <w:autoSpaceDE w:val="0"/>
        <w:autoSpaceDN w:val="0"/>
        <w:adjustRightInd w:val="0"/>
        <w:spacing w:line="270" w:lineRule="exact"/>
        <w:ind w:left="540" w:hanging="540"/>
        <w:rPr>
          <w:szCs w:val="20"/>
        </w:rPr>
      </w:pPr>
      <w:r>
        <w:rPr>
          <w:szCs w:val="20"/>
        </w:rPr>
        <w:t>Artikelen in de gedragscode vervangen of vormen geen contractueel overeengekomen afspraken.</w:t>
      </w:r>
    </w:p>
    <w:p w:rsidR="002E3DE8" w:rsidRDefault="002E3DE8" w:rsidP="002E3DE8">
      <w:pPr>
        <w:numPr>
          <w:ilvl w:val="6"/>
          <w:numId w:val="11"/>
        </w:numPr>
        <w:autoSpaceDE w:val="0"/>
        <w:autoSpaceDN w:val="0"/>
        <w:adjustRightInd w:val="0"/>
        <w:spacing w:line="270" w:lineRule="exact"/>
        <w:ind w:left="540" w:hanging="540"/>
        <w:rPr>
          <w:szCs w:val="20"/>
        </w:rPr>
      </w:pPr>
      <w:r>
        <w:rPr>
          <w:szCs w:val="20"/>
        </w:rPr>
        <w:t>Items benoemen die in de primaire onderhandelingsfase al besproken moeten worden in het kader van een mogelijke overdracht van de dienstverlening na contractbeëindiging.</w:t>
      </w:r>
    </w:p>
    <w:p w:rsidR="002E3DE8" w:rsidRDefault="002E3DE8" w:rsidP="002E3DE8">
      <w:pPr>
        <w:numPr>
          <w:ilvl w:val="6"/>
          <w:numId w:val="11"/>
        </w:numPr>
        <w:spacing w:line="270" w:lineRule="exact"/>
        <w:ind w:left="540" w:hanging="540"/>
        <w:rPr>
          <w:szCs w:val="20"/>
        </w:rPr>
      </w:pPr>
      <w:r>
        <w:rPr>
          <w:szCs w:val="20"/>
        </w:rPr>
        <w:t>Waar mogelijk op termijn aangeven van best practices.</w:t>
      </w:r>
    </w:p>
    <w:p w:rsidR="002E3DE8" w:rsidRDefault="002E3DE8">
      <w:pPr>
        <w:spacing w:line="270" w:lineRule="exact"/>
        <w:rPr>
          <w:b/>
          <w:bCs/>
          <w:caps/>
        </w:rPr>
      </w:pPr>
    </w:p>
    <w:p w:rsidR="002E3DE8" w:rsidRDefault="002E3DE8">
      <w:pPr>
        <w:autoSpaceDE w:val="0"/>
        <w:autoSpaceDN w:val="0"/>
        <w:adjustRightInd w:val="0"/>
        <w:spacing w:line="270" w:lineRule="exact"/>
        <w:rPr>
          <w:b/>
          <w:bCs/>
          <w:szCs w:val="28"/>
        </w:rPr>
      </w:pPr>
      <w:r>
        <w:rPr>
          <w:b/>
          <w:bCs/>
          <w:szCs w:val="28"/>
        </w:rPr>
        <w:t>2. Uitgangspunten van deze gedragscode</w:t>
      </w:r>
    </w:p>
    <w:p w:rsidR="002E3DE8" w:rsidRDefault="002E3DE8">
      <w:pPr>
        <w:autoSpaceDE w:val="0"/>
        <w:autoSpaceDN w:val="0"/>
        <w:adjustRightInd w:val="0"/>
        <w:spacing w:line="270" w:lineRule="exact"/>
        <w:rPr>
          <w:b/>
          <w:bCs/>
          <w:szCs w:val="28"/>
        </w:rPr>
      </w:pPr>
    </w:p>
    <w:p w:rsidR="002E3DE8" w:rsidRDefault="002E3DE8" w:rsidP="002E3DE8">
      <w:pPr>
        <w:numPr>
          <w:ilvl w:val="0"/>
          <w:numId w:val="12"/>
        </w:numPr>
        <w:tabs>
          <w:tab w:val="clear" w:pos="720"/>
          <w:tab w:val="num" w:pos="540"/>
        </w:tabs>
        <w:autoSpaceDE w:val="0"/>
        <w:autoSpaceDN w:val="0"/>
        <w:adjustRightInd w:val="0"/>
        <w:spacing w:line="270" w:lineRule="exact"/>
        <w:ind w:left="540" w:hanging="540"/>
        <w:rPr>
          <w:szCs w:val="20"/>
        </w:rPr>
      </w:pPr>
      <w:r>
        <w:rPr>
          <w:szCs w:val="20"/>
        </w:rPr>
        <w:t>Overdracht vindt plaats naar een andere dan de huidige dienstverlener of naar de klantorganisatie. Waar gesproken wordt van toekomstige dienstverlener kan ook de klantorganisatie gelezen worden.</w:t>
      </w:r>
    </w:p>
    <w:p w:rsidR="002E3DE8" w:rsidRDefault="002E3DE8" w:rsidP="002E3DE8">
      <w:pPr>
        <w:numPr>
          <w:ilvl w:val="0"/>
          <w:numId w:val="12"/>
        </w:numPr>
        <w:tabs>
          <w:tab w:val="clear" w:pos="720"/>
          <w:tab w:val="num" w:pos="540"/>
        </w:tabs>
        <w:autoSpaceDE w:val="0"/>
        <w:autoSpaceDN w:val="0"/>
        <w:adjustRightInd w:val="0"/>
        <w:spacing w:line="270" w:lineRule="exact"/>
        <w:ind w:left="540" w:hanging="540"/>
        <w:rPr>
          <w:szCs w:val="20"/>
        </w:rPr>
      </w:pPr>
      <w:r>
        <w:rPr>
          <w:szCs w:val="20"/>
        </w:rPr>
        <w:t>Alle betrokken partijen respecteren ieders belang, intellectueel eigendom en vertrouwelijkheid van informatie.</w:t>
      </w:r>
    </w:p>
    <w:p w:rsidR="002E3DE8" w:rsidRDefault="002E3DE8" w:rsidP="002E3DE8">
      <w:pPr>
        <w:numPr>
          <w:ilvl w:val="0"/>
          <w:numId w:val="12"/>
        </w:numPr>
        <w:tabs>
          <w:tab w:val="clear" w:pos="720"/>
          <w:tab w:val="num" w:pos="540"/>
        </w:tabs>
        <w:autoSpaceDE w:val="0"/>
        <w:autoSpaceDN w:val="0"/>
        <w:adjustRightInd w:val="0"/>
        <w:spacing w:line="270" w:lineRule="exact"/>
        <w:ind w:left="540" w:hanging="540"/>
        <w:rPr>
          <w:szCs w:val="20"/>
        </w:rPr>
      </w:pPr>
      <w:r>
        <w:rPr>
          <w:szCs w:val="20"/>
        </w:rPr>
        <w:t>Klant moet zo min mogelijk hindernissen ervaren door contractbeëindiging en de overdracht van de dienstverlening naar de toekomstige dienstverlener.</w:t>
      </w:r>
    </w:p>
    <w:p w:rsidR="002E3DE8" w:rsidRDefault="002E3DE8" w:rsidP="002E3DE8">
      <w:pPr>
        <w:numPr>
          <w:ilvl w:val="0"/>
          <w:numId w:val="12"/>
        </w:numPr>
        <w:tabs>
          <w:tab w:val="clear" w:pos="720"/>
          <w:tab w:val="num" w:pos="540"/>
        </w:tabs>
        <w:autoSpaceDE w:val="0"/>
        <w:autoSpaceDN w:val="0"/>
        <w:adjustRightInd w:val="0"/>
        <w:spacing w:line="270" w:lineRule="exact"/>
        <w:ind w:left="540" w:hanging="540"/>
        <w:rPr>
          <w:szCs w:val="20"/>
        </w:rPr>
      </w:pPr>
      <w:r>
        <w:rPr>
          <w:szCs w:val="20"/>
        </w:rPr>
        <w:t>Alle betrokken partijen committeren zich aan een coöperatieve samenwerking gedurende het retransitieproces.</w:t>
      </w:r>
    </w:p>
    <w:p w:rsidR="002E3DE8" w:rsidRDefault="002E3DE8" w:rsidP="002E3DE8">
      <w:pPr>
        <w:numPr>
          <w:ilvl w:val="0"/>
          <w:numId w:val="12"/>
        </w:numPr>
        <w:tabs>
          <w:tab w:val="clear" w:pos="720"/>
          <w:tab w:val="num" w:pos="540"/>
        </w:tabs>
        <w:spacing w:line="270" w:lineRule="exact"/>
        <w:ind w:left="540" w:hanging="540"/>
        <w:rPr>
          <w:szCs w:val="20"/>
        </w:rPr>
      </w:pPr>
      <w:r>
        <w:rPr>
          <w:szCs w:val="20"/>
        </w:rPr>
        <w:t>Ook bij verlenging wordt indien noodzakelijk direct een nieuw retransitieplan vastgelegd.</w:t>
      </w:r>
    </w:p>
    <w:p w:rsidR="002E3DE8" w:rsidRDefault="002E3DE8">
      <w:pPr>
        <w:spacing w:line="270" w:lineRule="exact"/>
        <w:rPr>
          <w:b/>
          <w:bCs/>
          <w:caps/>
        </w:rPr>
      </w:pPr>
    </w:p>
    <w:p w:rsidR="002E3DE8" w:rsidRDefault="002E3DE8">
      <w:pPr>
        <w:pStyle w:val="Kop7"/>
        <w:autoSpaceDE w:val="0"/>
        <w:autoSpaceDN w:val="0"/>
        <w:adjustRightInd w:val="0"/>
        <w:spacing w:line="270" w:lineRule="exact"/>
        <w:rPr>
          <w:bCs/>
          <w:szCs w:val="28"/>
        </w:rPr>
      </w:pPr>
      <w:r>
        <w:rPr>
          <w:bCs/>
          <w:szCs w:val="28"/>
        </w:rPr>
        <w:t>3. Basisprincipes (re)transitie</w:t>
      </w:r>
    </w:p>
    <w:p w:rsidR="002E3DE8" w:rsidRDefault="002E3DE8">
      <w:pPr>
        <w:spacing w:line="270" w:lineRule="exact"/>
      </w:pP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De retransitie wordt georganiseerd als een project, waarbij de huidige dienstverlener de activiteiten overdraagt aan de toekomstige dienstverlener. Dit project wordt uitgevoerd onder verantwoordelijkheid van de klant.</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De huidige dienstverlener is verantwoordelijk dat de in het contract afgesproken service levels, voor de services die (nog) onder zijn beheer zijn tot de overdracht van de services aan de toekomstige dienstverlener, gehandhaafd blijven.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lastRenderedPageBreak/>
        <w:t>Bij het aangaan van een overeenkomst tussen dienstverlener en klant wordt reeds een globaal projectplan voor de retransitie opgesteld. Dit plan wordt voor aanvang van de daadwerkelijke retransitie in goed overleg tussen de dienstverlener(s) en de klant uitgewerkt.</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Het retransitieplan zal voortvarend aangepakt worden. De toekomstige dienstverlener zal zijn transitieplan voor het overnemen van de dienstverlening op het retransitieplan doen aansluiten en de transitie zo snel als mogelijk doen plaatsvinden.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De huidige dienstverlener levert de inspanning voor de retransitie op basis van werkelijk gemaakte kosten, welke worden begroot. Voorwaarden en tarieven van de oorspronkelijke overeenkomst blijven tijdens retransitie van toepassing.</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De huidige dienstverlener draagt zorg voor de overdracht van wezenlijke kennis, documentatie en middelen die nodig zijn voor de continuïteit van de dienstverlening. In dit kader zullen huidige en toekomstige dienstverlener en klant in goed overleg met betrokken medewerkers vaststellen welke medewerkers van de huidige dienstverlener naar de toekomstige dienstverlener over kunnen gaan. Huidige en toekomstige dienstverlener werken mee aan contacten met sociale partners en personeel-vertegenwoordigingen.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Van alle zaken die tijdens de dienstverlening worden ontwikkeld, wordt vastgelegd tot wiens eigendomsdomein dit behoort. Zaken die eigendom van de klant zijn worden door de huidige dienstverlener overgedragen, voor zaken die voor de continuïteit van de dienstverlening essentieel zijn verleent de huidige dienstverlener een gebruiksrecht.</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De huidige dienstverlener zal alle vertrouwelijke informatie van de klant aan het einde van de overeenkomst cq. aan het einde van de retransitie aan de klant retourneren, zonder daar een kopie van te behouden.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Indien opportuun vindt overname van middelen plaats op basis van "as-is". Met andere woorden, tijdens de retransitie worden geen zaken aangepast ten behoeve van de overname. Indien de klant zaken wil aanpassen, kan dat vooraf (projectopdracht) of achteraf (onder verantwoordelijkheid nieuwe dienstverlener).</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Het einde van de retransitie wordt altijd in een formeel decharge document vastgelegd en overeengekomen.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Alle betrokken partijen zullen meewerken aan de vereiste rechtshandelingen zoals contracten met toeleveranciers en leveringshandelingen.</w:t>
      </w:r>
    </w:p>
    <w:p w:rsidR="002E3DE8" w:rsidRDefault="002E3DE8" w:rsidP="002E3DE8">
      <w:pPr>
        <w:numPr>
          <w:ilvl w:val="0"/>
          <w:numId w:val="13"/>
        </w:numPr>
        <w:tabs>
          <w:tab w:val="clear" w:pos="720"/>
          <w:tab w:val="num" w:pos="540"/>
        </w:tabs>
        <w:autoSpaceDE w:val="0"/>
        <w:autoSpaceDN w:val="0"/>
        <w:adjustRightInd w:val="0"/>
        <w:spacing w:line="270" w:lineRule="exact"/>
        <w:ind w:left="540" w:hanging="540"/>
        <w:rPr>
          <w:szCs w:val="20"/>
        </w:rPr>
      </w:pPr>
      <w:r>
        <w:rPr>
          <w:szCs w:val="20"/>
        </w:rPr>
        <w:t>Bij een retransitie is de huidige dienstverlener niet verplicht de volgende zaken over te dragen:</w:t>
      </w:r>
    </w:p>
    <w:p w:rsidR="002E3DE8" w:rsidRDefault="002E3DE8">
      <w:pPr>
        <w:autoSpaceDE w:val="0"/>
        <w:autoSpaceDN w:val="0"/>
        <w:adjustRightInd w:val="0"/>
        <w:spacing w:line="270" w:lineRule="exact"/>
        <w:rPr>
          <w:szCs w:val="20"/>
        </w:rPr>
      </w:pPr>
    </w:p>
    <w:p w:rsidR="002E3DE8" w:rsidRDefault="002E3DE8" w:rsidP="002E3DE8">
      <w:pPr>
        <w:numPr>
          <w:ilvl w:val="7"/>
          <w:numId w:val="11"/>
        </w:numPr>
        <w:autoSpaceDE w:val="0"/>
        <w:autoSpaceDN w:val="0"/>
        <w:adjustRightInd w:val="0"/>
        <w:spacing w:line="270" w:lineRule="exact"/>
        <w:ind w:left="1260" w:hanging="540"/>
        <w:rPr>
          <w:szCs w:val="20"/>
        </w:rPr>
      </w:pPr>
      <w:r>
        <w:rPr>
          <w:szCs w:val="20"/>
        </w:rPr>
        <w:t>Interne procedures en werkinstructies. Vanaf de raakvlakken (zoals beschreven in een DAP) zijn deze wel eigendom van de klant.</w:t>
      </w:r>
    </w:p>
    <w:p w:rsidR="002E3DE8" w:rsidRDefault="002E3DE8" w:rsidP="002E3DE8">
      <w:pPr>
        <w:numPr>
          <w:ilvl w:val="7"/>
          <w:numId w:val="11"/>
        </w:numPr>
        <w:autoSpaceDE w:val="0"/>
        <w:autoSpaceDN w:val="0"/>
        <w:adjustRightInd w:val="0"/>
        <w:spacing w:line="270" w:lineRule="exact"/>
        <w:ind w:left="1260" w:hanging="540"/>
        <w:rPr>
          <w:szCs w:val="20"/>
        </w:rPr>
      </w:pPr>
      <w:r>
        <w:rPr>
          <w:szCs w:val="20"/>
        </w:rPr>
        <w:t>Interne hulpmiddelen, waaronder de (inrichting van de) management tools. De klantinformatie in bedoelde hulpmiddelen is wel eigendom van de klant.</w:t>
      </w:r>
    </w:p>
    <w:p w:rsidR="002E3DE8" w:rsidRDefault="002E3DE8" w:rsidP="002E3DE8">
      <w:pPr>
        <w:numPr>
          <w:ilvl w:val="7"/>
          <w:numId w:val="11"/>
        </w:numPr>
        <w:autoSpaceDE w:val="0"/>
        <w:autoSpaceDN w:val="0"/>
        <w:adjustRightInd w:val="0"/>
        <w:spacing w:line="270" w:lineRule="exact"/>
        <w:ind w:left="1260" w:hanging="540"/>
        <w:rPr>
          <w:szCs w:val="20"/>
        </w:rPr>
      </w:pPr>
      <w:r>
        <w:rPr>
          <w:szCs w:val="20"/>
        </w:rPr>
        <w:t>Rapportagesystemen. De rapportages zelf zijn wel eigendom van de klant.</w:t>
      </w:r>
    </w:p>
    <w:p w:rsidR="002E3DE8" w:rsidRDefault="002E3DE8" w:rsidP="002E3DE8">
      <w:pPr>
        <w:numPr>
          <w:ilvl w:val="7"/>
          <w:numId w:val="11"/>
        </w:numPr>
        <w:autoSpaceDE w:val="0"/>
        <w:autoSpaceDN w:val="0"/>
        <w:adjustRightInd w:val="0"/>
        <w:spacing w:line="270" w:lineRule="exact"/>
        <w:ind w:left="1260" w:hanging="540"/>
        <w:rPr>
          <w:szCs w:val="20"/>
        </w:rPr>
      </w:pPr>
      <w:r>
        <w:rPr>
          <w:szCs w:val="20"/>
        </w:rPr>
        <w:t>Specifiek ten behoeve van de retransitie ingezette middelen, tenzij anders overeengekomen.</w:t>
      </w:r>
    </w:p>
    <w:p w:rsidR="002E3DE8" w:rsidRDefault="002E3DE8" w:rsidP="002E3DE8">
      <w:pPr>
        <w:numPr>
          <w:ilvl w:val="7"/>
          <w:numId w:val="11"/>
        </w:numPr>
        <w:autoSpaceDE w:val="0"/>
        <w:autoSpaceDN w:val="0"/>
        <w:adjustRightInd w:val="0"/>
        <w:spacing w:line="270" w:lineRule="exact"/>
        <w:ind w:left="1260" w:hanging="540"/>
        <w:rPr>
          <w:szCs w:val="20"/>
        </w:rPr>
      </w:pPr>
      <w:r>
        <w:rPr>
          <w:szCs w:val="20"/>
        </w:rPr>
        <w:t>Intellectueel eigendom. De dienstverlening is gebaseerd op ideeën, werkwijzen, methoden en standaarden bedacht, ontwikkeld en uitgewerkt door de dienstverlener. De weerslag hiervan is beschikbaar in documenten, waarvan de intellectuele eigendom bij de betreffende dienstverlener ligt. Deze zaken worden ook aangewend voor andere klanten en de rechten hierop zijn zodoende niet overdraagbaar.</w:t>
      </w:r>
    </w:p>
    <w:p w:rsidR="002E3DE8" w:rsidRDefault="002E3DE8">
      <w:pPr>
        <w:autoSpaceDE w:val="0"/>
        <w:autoSpaceDN w:val="0"/>
        <w:adjustRightInd w:val="0"/>
        <w:spacing w:line="270" w:lineRule="exact"/>
        <w:rPr>
          <w:szCs w:val="20"/>
        </w:rPr>
      </w:pPr>
    </w:p>
    <w:p w:rsidR="002E3DE8" w:rsidRDefault="002E3DE8">
      <w:pPr>
        <w:autoSpaceDE w:val="0"/>
        <w:autoSpaceDN w:val="0"/>
        <w:adjustRightInd w:val="0"/>
        <w:spacing w:line="270" w:lineRule="exact"/>
        <w:rPr>
          <w:b/>
          <w:bCs/>
        </w:rPr>
      </w:pPr>
      <w:r>
        <w:rPr>
          <w:b/>
          <w:bCs/>
        </w:rPr>
        <w:br w:type="page"/>
      </w:r>
      <w:r>
        <w:rPr>
          <w:b/>
          <w:bCs/>
        </w:rPr>
        <w:lastRenderedPageBreak/>
        <w:t>BIJLAGE […] Overlegstructuur</w:t>
      </w:r>
      <w:r>
        <w:rPr>
          <w:rStyle w:val="Voetnootmarkering"/>
        </w:rPr>
        <w:footnoteReference w:id="59"/>
      </w:r>
    </w:p>
    <w:p w:rsidR="002E3DE8" w:rsidRDefault="002E3DE8">
      <w:pPr>
        <w:autoSpaceDE w:val="0"/>
        <w:autoSpaceDN w:val="0"/>
        <w:adjustRightInd w:val="0"/>
        <w:spacing w:line="270" w:lineRule="exact"/>
        <w:rPr>
          <w:szCs w:val="20"/>
        </w:rPr>
      </w:pPr>
    </w:p>
    <w:p w:rsidR="002E3DE8" w:rsidRDefault="002E3DE8">
      <w:pPr>
        <w:widowControl w:val="0"/>
        <w:spacing w:line="270" w:lineRule="exact"/>
      </w:pPr>
      <w:r>
        <w:t>Partijen zijn een governance model overeengekomen dat bestaat uit drie lagen: operationeel, tactisch en strategisch, met in alle lagen deelnemers uit beide organisaties. Indien het zinvol of gewenst is, kunnen op bepaalde momenten ook vertegenwoordigers van andere leveranciers of partners worden toegevoegd.</w:t>
      </w:r>
    </w:p>
    <w:p w:rsidR="002E3DE8" w:rsidRDefault="002E3DE8">
      <w:pPr>
        <w:widowControl w:val="0"/>
        <w:spacing w:line="270" w:lineRule="exact"/>
      </w:pPr>
    </w:p>
    <w:p w:rsidR="002E3DE8" w:rsidRDefault="002E3DE8">
      <w:pPr>
        <w:widowControl w:val="0"/>
        <w:spacing w:line="270" w:lineRule="exact"/>
        <w:rPr>
          <w:b/>
          <w:bCs/>
        </w:rPr>
      </w:pPr>
      <w:r>
        <w:rPr>
          <w:b/>
          <w:bCs/>
        </w:rPr>
        <w:t>Operationeel overleg</w:t>
      </w:r>
    </w:p>
    <w:p w:rsidR="002E3DE8" w:rsidRDefault="002E3DE8">
      <w:pPr>
        <w:widowControl w:val="0"/>
        <w:spacing w:line="270" w:lineRule="exact"/>
      </w:pPr>
      <w:r>
        <w:t>Het operationeel overleg is gericht op de uitvoering van de dienstverlening, in lijn met</w:t>
      </w:r>
    </w:p>
    <w:p w:rsidR="002E3DE8" w:rsidRDefault="002E3DE8">
      <w:pPr>
        <w:widowControl w:val="0"/>
        <w:spacing w:line="270" w:lineRule="exact"/>
      </w:pPr>
      <w:r>
        <w:t>de SLA. Het operationeel niveau:</w:t>
      </w:r>
    </w:p>
    <w:p w:rsidR="002E3DE8" w:rsidRDefault="002E3DE8" w:rsidP="002E3DE8">
      <w:pPr>
        <w:widowControl w:val="0"/>
        <w:numPr>
          <w:ilvl w:val="0"/>
          <w:numId w:val="14"/>
        </w:numPr>
        <w:spacing w:line="270" w:lineRule="exact"/>
      </w:pPr>
      <w:r>
        <w:t>Houdt zich bezig met service levels, changes, incidenten, problemen op dagelijkse basis.</w:t>
      </w:r>
    </w:p>
    <w:p w:rsidR="002E3DE8" w:rsidRDefault="002E3DE8" w:rsidP="002E3DE8">
      <w:pPr>
        <w:widowControl w:val="0"/>
        <w:numPr>
          <w:ilvl w:val="0"/>
          <w:numId w:val="14"/>
        </w:numPr>
        <w:spacing w:line="270" w:lineRule="exact"/>
      </w:pPr>
      <w:r>
        <w:t>Houdt toezicht op de SLA en rapporteert samenvattingen aan het tactisch overleg.</w:t>
      </w:r>
    </w:p>
    <w:p w:rsidR="002E3DE8" w:rsidRDefault="002E3DE8" w:rsidP="002E3DE8">
      <w:pPr>
        <w:widowControl w:val="0"/>
        <w:numPr>
          <w:ilvl w:val="0"/>
          <w:numId w:val="14"/>
        </w:numPr>
        <w:spacing w:line="270" w:lineRule="exact"/>
      </w:pPr>
      <w:r>
        <w:t>Wisselt informatie uit over geplande activiteiten voor de komende periode die invloed kunnen hebben op de uitbestede processen en werkzaamheden.</w:t>
      </w:r>
    </w:p>
    <w:p w:rsidR="002E3DE8" w:rsidRDefault="002E3DE8" w:rsidP="002E3DE8">
      <w:pPr>
        <w:widowControl w:val="0"/>
        <w:numPr>
          <w:ilvl w:val="0"/>
          <w:numId w:val="14"/>
        </w:numPr>
        <w:spacing w:line="270" w:lineRule="exact"/>
      </w:pPr>
      <w:r>
        <w:t>Neemt initiatieven om zaken te escaleren naar het tactisch overleg indien ze op operationeel niveau onvoldoende of onvoldoende structureel worden opgelost. Bijvoorbeeld: incidenten / problemen, verbeteringacties of innovaties.</w:t>
      </w:r>
    </w:p>
    <w:p w:rsidR="002E3DE8" w:rsidRDefault="002E3DE8" w:rsidP="002E3DE8">
      <w:pPr>
        <w:widowControl w:val="0"/>
        <w:numPr>
          <w:ilvl w:val="0"/>
          <w:numId w:val="14"/>
        </w:numPr>
        <w:spacing w:line="270" w:lineRule="exact"/>
      </w:pPr>
      <w:r>
        <w:t>Bespreekt zaken die op operationeel gebied betrekking hebben op contractuele en commerciële zaken. Indien er geen overeenstemming wordt bereikt, kan er geëscaleerd worden naar het tactisch overleg.</w:t>
      </w:r>
    </w:p>
    <w:p w:rsidR="002E3DE8" w:rsidRDefault="002E3DE8" w:rsidP="002E3DE8">
      <w:pPr>
        <w:widowControl w:val="0"/>
        <w:numPr>
          <w:ilvl w:val="0"/>
          <w:numId w:val="14"/>
        </w:numPr>
        <w:spacing w:line="270" w:lineRule="exact"/>
      </w:pPr>
      <w:r>
        <w:t>Ontvangt van het tactisch overleg input voor processen, SLA, monitoring, etc.</w:t>
      </w:r>
    </w:p>
    <w:p w:rsidR="002E3DE8" w:rsidRDefault="002E3DE8">
      <w:pPr>
        <w:widowControl w:val="0"/>
        <w:spacing w:line="270" w:lineRule="exact"/>
      </w:pPr>
    </w:p>
    <w:p w:rsidR="002E3DE8" w:rsidRDefault="002E3DE8">
      <w:pPr>
        <w:widowControl w:val="0"/>
        <w:spacing w:line="270" w:lineRule="exact"/>
        <w:rPr>
          <w:b/>
          <w:bCs/>
        </w:rPr>
      </w:pPr>
      <w:r>
        <w:rPr>
          <w:b/>
          <w:bCs/>
        </w:rPr>
        <w:t>Tactisch overleg</w:t>
      </w:r>
    </w:p>
    <w:p w:rsidR="002E3DE8" w:rsidRDefault="002E3DE8">
      <w:pPr>
        <w:widowControl w:val="0"/>
        <w:spacing w:line="270" w:lineRule="exact"/>
      </w:pPr>
      <w:r>
        <w:t>Het tactisch overleg heeft een aantal eigen agendapunten die een wat langere</w:t>
      </w:r>
    </w:p>
    <w:p w:rsidR="002E3DE8" w:rsidRDefault="002E3DE8">
      <w:pPr>
        <w:widowControl w:val="0"/>
        <w:spacing w:line="270" w:lineRule="exact"/>
      </w:pPr>
      <w:r>
        <w:t>tijdshorizon hebben, en gaat daarnaast aan de slag met zaken die uit het operationele</w:t>
      </w:r>
    </w:p>
    <w:p w:rsidR="002E3DE8" w:rsidRDefault="002E3DE8">
      <w:pPr>
        <w:widowControl w:val="0"/>
        <w:spacing w:line="270" w:lineRule="exact"/>
      </w:pPr>
      <w:r>
        <w:t>of strategisch overleg komen. Het tactisch overleg geeft input aan het Strategisch</w:t>
      </w:r>
    </w:p>
    <w:p w:rsidR="002E3DE8" w:rsidRDefault="002E3DE8">
      <w:pPr>
        <w:widowControl w:val="0"/>
        <w:spacing w:line="270" w:lineRule="exact"/>
      </w:pPr>
      <w:r>
        <w:t>overleg en kan – indien nodig – daarnaar escaleren. Het tactisch overleg behandelt:</w:t>
      </w:r>
    </w:p>
    <w:p w:rsidR="002E3DE8" w:rsidRDefault="002E3DE8" w:rsidP="002E3DE8">
      <w:pPr>
        <w:widowControl w:val="0"/>
        <w:numPr>
          <w:ilvl w:val="0"/>
          <w:numId w:val="15"/>
        </w:numPr>
        <w:spacing w:line="270" w:lineRule="exact"/>
      </w:pPr>
      <w:r>
        <w:t>Escalaties uit het operationeel overleg betreffende SLA, performance, escalaties, architectuur impact, etc.</w:t>
      </w:r>
    </w:p>
    <w:p w:rsidR="002E3DE8" w:rsidRDefault="002E3DE8" w:rsidP="002E3DE8">
      <w:pPr>
        <w:widowControl w:val="0"/>
        <w:numPr>
          <w:ilvl w:val="0"/>
          <w:numId w:val="15"/>
        </w:numPr>
        <w:spacing w:line="270" w:lineRule="exact"/>
      </w:pPr>
      <w:r>
        <w:t>Voorstellen voor wijzigingen in de SLA, in de rapportages, in processen, of in andere afspraken.</w:t>
      </w:r>
    </w:p>
    <w:p w:rsidR="002E3DE8" w:rsidRDefault="002E3DE8" w:rsidP="002E3DE8">
      <w:pPr>
        <w:widowControl w:val="0"/>
        <w:numPr>
          <w:ilvl w:val="0"/>
          <w:numId w:val="15"/>
        </w:numPr>
        <w:spacing w:line="270" w:lineRule="exact"/>
      </w:pPr>
      <w:r>
        <w:t>Monitoring en trendanalyses van performance, capaciteit en eventuele vervolgacties daaruit.</w:t>
      </w:r>
    </w:p>
    <w:p w:rsidR="002E3DE8" w:rsidRDefault="002E3DE8" w:rsidP="002E3DE8">
      <w:pPr>
        <w:widowControl w:val="0"/>
        <w:numPr>
          <w:ilvl w:val="0"/>
          <w:numId w:val="15"/>
        </w:numPr>
        <w:spacing w:line="270" w:lineRule="exact"/>
      </w:pPr>
      <w:r>
        <w:t>Initiatieven voor innovatie en additionele dienstverlening.</w:t>
      </w:r>
    </w:p>
    <w:p w:rsidR="002E3DE8" w:rsidRDefault="002E3DE8" w:rsidP="002E3DE8">
      <w:pPr>
        <w:widowControl w:val="0"/>
        <w:numPr>
          <w:ilvl w:val="0"/>
          <w:numId w:val="15"/>
        </w:numPr>
        <w:spacing w:line="270" w:lineRule="exact"/>
      </w:pPr>
      <w:r>
        <w:t>Initiatieven betreffende de raakvlakken met server-, backup- en netwerkomgevingen.</w:t>
      </w:r>
    </w:p>
    <w:p w:rsidR="002E3DE8" w:rsidRDefault="002E3DE8" w:rsidP="002E3DE8">
      <w:pPr>
        <w:widowControl w:val="0"/>
        <w:numPr>
          <w:ilvl w:val="0"/>
          <w:numId w:val="15"/>
        </w:numPr>
        <w:spacing w:line="270" w:lineRule="exact"/>
      </w:pPr>
      <w:r>
        <w:t>Rapporteert aan het strategisch overleg.</w:t>
      </w:r>
    </w:p>
    <w:p w:rsidR="002E3DE8" w:rsidRDefault="002E3DE8" w:rsidP="002E3DE8">
      <w:pPr>
        <w:widowControl w:val="0"/>
        <w:numPr>
          <w:ilvl w:val="0"/>
          <w:numId w:val="15"/>
        </w:numPr>
        <w:spacing w:line="270" w:lineRule="exact"/>
      </w:pPr>
      <w:r>
        <w:t>Het tactisch overleg kan taken of actiepunten overdragen aan het operationeel overleg.</w:t>
      </w:r>
    </w:p>
    <w:p w:rsidR="002E3DE8" w:rsidRDefault="002E3DE8">
      <w:pPr>
        <w:widowControl w:val="0"/>
        <w:spacing w:line="270" w:lineRule="exact"/>
      </w:pPr>
    </w:p>
    <w:p w:rsidR="002E3DE8" w:rsidRDefault="002E3DE8">
      <w:pPr>
        <w:widowControl w:val="0"/>
        <w:spacing w:line="270" w:lineRule="exact"/>
        <w:rPr>
          <w:b/>
          <w:bCs/>
        </w:rPr>
      </w:pPr>
      <w:r>
        <w:rPr>
          <w:b/>
          <w:bCs/>
        </w:rPr>
        <w:t>Strategisch overleg</w:t>
      </w:r>
    </w:p>
    <w:p w:rsidR="002E3DE8" w:rsidRDefault="002E3DE8">
      <w:pPr>
        <w:widowControl w:val="0"/>
        <w:spacing w:line="270" w:lineRule="exact"/>
      </w:pPr>
      <w:r>
        <w:t>Het Strategisch overleg richt zich op de alignment van de dienstverlening met de doelen en prioriteiten van Klant. Het wordt gevoed door input uit het tactische en</w:t>
      </w:r>
    </w:p>
    <w:p w:rsidR="002E3DE8" w:rsidRDefault="002E3DE8">
      <w:pPr>
        <w:widowControl w:val="0"/>
        <w:spacing w:line="270" w:lineRule="exact"/>
      </w:pPr>
      <w:r>
        <w:t>operationele overleg en door ontwikkelingen in beide organisaties: Klant en Leverancier. Het strategisch overleg kan doestellingen of taken formuleren voor het tactisch overleg. Het strategisch overleg:</w:t>
      </w:r>
    </w:p>
    <w:p w:rsidR="002E3DE8" w:rsidRDefault="002E3DE8" w:rsidP="002E3DE8">
      <w:pPr>
        <w:widowControl w:val="0"/>
        <w:numPr>
          <w:ilvl w:val="0"/>
          <w:numId w:val="16"/>
        </w:numPr>
        <w:spacing w:line="270" w:lineRule="exact"/>
      </w:pPr>
      <w:r>
        <w:t>Richt zich op de alignment van de dienstverlening met de doelen en prioriteiten van Klant.</w:t>
      </w:r>
    </w:p>
    <w:p w:rsidR="002E3DE8" w:rsidRDefault="002E3DE8" w:rsidP="002E3DE8">
      <w:pPr>
        <w:widowControl w:val="0"/>
        <w:numPr>
          <w:ilvl w:val="0"/>
          <w:numId w:val="16"/>
        </w:numPr>
        <w:spacing w:line="270" w:lineRule="exact"/>
      </w:pPr>
      <w:r>
        <w:t>Houdt zich bezig met strategische ontwikkelingen.</w:t>
      </w:r>
    </w:p>
    <w:p w:rsidR="002E3DE8" w:rsidRDefault="002E3DE8" w:rsidP="002E3DE8">
      <w:pPr>
        <w:widowControl w:val="0"/>
        <w:numPr>
          <w:ilvl w:val="0"/>
          <w:numId w:val="16"/>
        </w:numPr>
        <w:spacing w:line="270" w:lineRule="exact"/>
      </w:pPr>
      <w:r>
        <w:t>Richt zich op het ontwikkelen van de relatie op een hoog niveau.</w:t>
      </w:r>
    </w:p>
    <w:p w:rsidR="002E3DE8" w:rsidRDefault="002E3DE8" w:rsidP="002E3DE8">
      <w:pPr>
        <w:widowControl w:val="0"/>
        <w:numPr>
          <w:ilvl w:val="0"/>
          <w:numId w:val="16"/>
        </w:numPr>
        <w:spacing w:line="270" w:lineRule="exact"/>
      </w:pPr>
      <w:r>
        <w:lastRenderedPageBreak/>
        <w:t>Houdt zich bezig met innovatie.</w:t>
      </w:r>
    </w:p>
    <w:p w:rsidR="002E3DE8" w:rsidRDefault="002E3DE8">
      <w:pPr>
        <w:widowControl w:val="0"/>
        <w:spacing w:line="270" w:lineRule="exact"/>
      </w:pPr>
    </w:p>
    <w:p w:rsidR="002E3DE8" w:rsidRDefault="002E3DE8">
      <w:pPr>
        <w:widowControl w:val="0"/>
        <w:spacing w:line="270" w:lineRule="exact"/>
        <w:rPr>
          <w:b/>
          <w:bCs/>
        </w:rPr>
      </w:pPr>
      <w:r>
        <w:rPr>
          <w:b/>
          <w:bCs/>
        </w:rPr>
        <w:t>Frequentie</w:t>
      </w:r>
    </w:p>
    <w:p w:rsidR="002E3DE8" w:rsidRDefault="002E3DE8">
      <w:pPr>
        <w:widowControl w:val="0"/>
        <w:spacing w:line="270" w:lineRule="exact"/>
      </w:pPr>
      <w:r>
        <w:t>Voor de verschillende overleggen is de volgende frequentie overeengekomen:</w:t>
      </w:r>
    </w:p>
    <w:p w:rsidR="002E3DE8" w:rsidRDefault="002E3DE8" w:rsidP="002E3DE8">
      <w:pPr>
        <w:widowControl w:val="0"/>
        <w:numPr>
          <w:ilvl w:val="0"/>
          <w:numId w:val="17"/>
        </w:numPr>
        <w:spacing w:line="270" w:lineRule="exact"/>
      </w:pPr>
      <w:r>
        <w:t>Operationeel overleg: 1 x per maand</w:t>
      </w:r>
    </w:p>
    <w:p w:rsidR="002E3DE8" w:rsidRDefault="002E3DE8" w:rsidP="002E3DE8">
      <w:pPr>
        <w:widowControl w:val="0"/>
        <w:numPr>
          <w:ilvl w:val="0"/>
          <w:numId w:val="17"/>
        </w:numPr>
        <w:spacing w:line="270" w:lineRule="exact"/>
      </w:pPr>
      <w:r>
        <w:t>Tactisch overleg: 1 x per kwartaal</w:t>
      </w:r>
    </w:p>
    <w:p w:rsidR="002E3DE8" w:rsidRDefault="002E3DE8" w:rsidP="002E3DE8">
      <w:pPr>
        <w:widowControl w:val="0"/>
        <w:numPr>
          <w:ilvl w:val="0"/>
          <w:numId w:val="17"/>
        </w:numPr>
        <w:spacing w:line="270" w:lineRule="exact"/>
      </w:pPr>
      <w:r>
        <w:t>Strategisch overleg: 1 x per half jaar</w:t>
      </w:r>
    </w:p>
    <w:p w:rsidR="002E3DE8" w:rsidRDefault="002E3DE8">
      <w:pPr>
        <w:widowControl w:val="0"/>
        <w:spacing w:line="270" w:lineRule="exact"/>
      </w:pPr>
    </w:p>
    <w:p w:rsidR="002E3DE8" w:rsidRDefault="002E3DE8">
      <w:pPr>
        <w:widowControl w:val="0"/>
        <w:spacing w:line="270" w:lineRule="exact"/>
        <w:rPr>
          <w:b/>
          <w:bCs/>
        </w:rPr>
      </w:pPr>
      <w:r>
        <w:rPr>
          <w:b/>
          <w:bCs/>
        </w:rPr>
        <w:t>Deelnemers</w:t>
      </w:r>
    </w:p>
    <w:p w:rsidR="002E3DE8" w:rsidRDefault="002E3DE8">
      <w:pPr>
        <w:widowControl w:val="0"/>
        <w:spacing w:line="270" w:lineRule="exact"/>
      </w:pPr>
      <w:r>
        <w:t>In onderstaand overzicht zullen de verschillende functionarissen die vanuit beide partijen bij de verschillende overleggen aanwezig zijn, benoemd worden. In dit overzicht worden geen namen genoemd, in verband met mogelijke wijzigingen die hierin met enige regelmaat zullen plaatsvinden.</w:t>
      </w:r>
    </w:p>
    <w:p w:rsidR="002E3DE8" w:rsidRDefault="002E3DE8">
      <w:pPr>
        <w:widowControl w:val="0"/>
        <w:spacing w:line="270" w:lineRule="exac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27"/>
        <w:gridCol w:w="2927"/>
      </w:tblGrid>
      <w:tr w:rsidR="002E3DE8">
        <w:tc>
          <w:tcPr>
            <w:tcW w:w="2926" w:type="dxa"/>
          </w:tcPr>
          <w:p w:rsidR="002E3DE8" w:rsidRDefault="002E3DE8">
            <w:pPr>
              <w:tabs>
                <w:tab w:val="left" w:pos="567"/>
              </w:tabs>
              <w:spacing w:line="270" w:lineRule="exact"/>
            </w:pPr>
          </w:p>
        </w:tc>
        <w:tc>
          <w:tcPr>
            <w:tcW w:w="2927" w:type="dxa"/>
          </w:tcPr>
          <w:p w:rsidR="002E3DE8" w:rsidRDefault="002E3DE8">
            <w:pPr>
              <w:tabs>
                <w:tab w:val="left" w:pos="567"/>
              </w:tabs>
              <w:spacing w:line="270" w:lineRule="exact"/>
              <w:rPr>
                <w:b/>
              </w:rPr>
            </w:pPr>
            <w:r>
              <w:rPr>
                <w:b/>
              </w:rPr>
              <w:t>Klant</w:t>
            </w:r>
          </w:p>
        </w:tc>
        <w:tc>
          <w:tcPr>
            <w:tcW w:w="2927" w:type="dxa"/>
          </w:tcPr>
          <w:p w:rsidR="002E3DE8" w:rsidRDefault="002E3DE8">
            <w:pPr>
              <w:tabs>
                <w:tab w:val="left" w:pos="567"/>
              </w:tabs>
              <w:spacing w:line="270" w:lineRule="exact"/>
              <w:rPr>
                <w:b/>
              </w:rPr>
            </w:pPr>
            <w:r>
              <w:rPr>
                <w:b/>
              </w:rPr>
              <w:t>Leverancier</w:t>
            </w:r>
          </w:p>
        </w:tc>
      </w:tr>
      <w:tr w:rsidR="002E3DE8">
        <w:tc>
          <w:tcPr>
            <w:tcW w:w="2926" w:type="dxa"/>
          </w:tcPr>
          <w:p w:rsidR="002E3DE8" w:rsidRDefault="002E3DE8">
            <w:pPr>
              <w:tabs>
                <w:tab w:val="left" w:pos="567"/>
              </w:tabs>
              <w:spacing w:line="270" w:lineRule="exact"/>
              <w:rPr>
                <w:b/>
              </w:rPr>
            </w:pPr>
            <w:r>
              <w:rPr>
                <w:b/>
              </w:rPr>
              <w:t>Operationeel overleg</w:t>
            </w:r>
          </w:p>
        </w:tc>
        <w:tc>
          <w:tcPr>
            <w:tcW w:w="2927" w:type="dxa"/>
          </w:tcPr>
          <w:p w:rsidR="002E3DE8" w:rsidRDefault="002E3DE8">
            <w:pPr>
              <w:tabs>
                <w:tab w:val="left" w:pos="567"/>
              </w:tabs>
              <w:spacing w:line="270" w:lineRule="exact"/>
            </w:pPr>
          </w:p>
        </w:tc>
        <w:tc>
          <w:tcPr>
            <w:tcW w:w="2927" w:type="dxa"/>
          </w:tcPr>
          <w:p w:rsidR="002E3DE8" w:rsidRDefault="002E3DE8">
            <w:pPr>
              <w:tabs>
                <w:tab w:val="left" w:pos="567"/>
              </w:tabs>
              <w:spacing w:line="270" w:lineRule="exact"/>
            </w:pPr>
          </w:p>
        </w:tc>
      </w:tr>
      <w:tr w:rsidR="002E3DE8">
        <w:tc>
          <w:tcPr>
            <w:tcW w:w="2926" w:type="dxa"/>
          </w:tcPr>
          <w:p w:rsidR="002E3DE8" w:rsidRDefault="002E3DE8">
            <w:pPr>
              <w:tabs>
                <w:tab w:val="left" w:pos="567"/>
              </w:tabs>
              <w:spacing w:line="270" w:lineRule="exact"/>
              <w:rPr>
                <w:b/>
              </w:rPr>
            </w:pPr>
            <w:r>
              <w:rPr>
                <w:b/>
              </w:rPr>
              <w:t>Tactisch overleg</w:t>
            </w:r>
          </w:p>
        </w:tc>
        <w:tc>
          <w:tcPr>
            <w:tcW w:w="2927" w:type="dxa"/>
          </w:tcPr>
          <w:p w:rsidR="002E3DE8" w:rsidRDefault="002E3DE8">
            <w:pPr>
              <w:tabs>
                <w:tab w:val="left" w:pos="567"/>
              </w:tabs>
              <w:spacing w:line="270" w:lineRule="exact"/>
              <w:rPr>
                <w:lang w:val="en-US"/>
              </w:rPr>
            </w:pPr>
          </w:p>
        </w:tc>
        <w:tc>
          <w:tcPr>
            <w:tcW w:w="2927" w:type="dxa"/>
          </w:tcPr>
          <w:p w:rsidR="002E3DE8" w:rsidRDefault="002E3DE8">
            <w:pPr>
              <w:tabs>
                <w:tab w:val="left" w:pos="567"/>
              </w:tabs>
              <w:spacing w:line="270" w:lineRule="exact"/>
            </w:pPr>
          </w:p>
        </w:tc>
      </w:tr>
      <w:tr w:rsidR="002E3DE8">
        <w:tc>
          <w:tcPr>
            <w:tcW w:w="2926" w:type="dxa"/>
          </w:tcPr>
          <w:p w:rsidR="002E3DE8" w:rsidRDefault="002E3DE8">
            <w:pPr>
              <w:tabs>
                <w:tab w:val="left" w:pos="567"/>
              </w:tabs>
              <w:spacing w:line="270" w:lineRule="exact"/>
              <w:rPr>
                <w:b/>
              </w:rPr>
            </w:pPr>
            <w:r>
              <w:rPr>
                <w:b/>
              </w:rPr>
              <w:t>Strategisch overleg</w:t>
            </w:r>
          </w:p>
        </w:tc>
        <w:tc>
          <w:tcPr>
            <w:tcW w:w="2927" w:type="dxa"/>
          </w:tcPr>
          <w:p w:rsidR="002E3DE8" w:rsidRDefault="002E3DE8">
            <w:pPr>
              <w:tabs>
                <w:tab w:val="left" w:pos="567"/>
              </w:tabs>
              <w:spacing w:line="270" w:lineRule="exact"/>
              <w:rPr>
                <w:lang w:val="en-US"/>
              </w:rPr>
            </w:pPr>
          </w:p>
        </w:tc>
        <w:tc>
          <w:tcPr>
            <w:tcW w:w="2927" w:type="dxa"/>
          </w:tcPr>
          <w:p w:rsidR="002E3DE8" w:rsidRDefault="002E3DE8">
            <w:pPr>
              <w:tabs>
                <w:tab w:val="left" w:pos="567"/>
              </w:tabs>
              <w:spacing w:line="270" w:lineRule="exact"/>
            </w:pPr>
          </w:p>
        </w:tc>
      </w:tr>
    </w:tbl>
    <w:p w:rsidR="002E3DE8" w:rsidRDefault="002E3DE8">
      <w:pPr>
        <w:widowControl w:val="0"/>
        <w:spacing w:line="270" w:lineRule="exact"/>
        <w:rPr>
          <w:b/>
          <w:bCs/>
        </w:rPr>
      </w:pPr>
    </w:p>
    <w:p w:rsidR="002E3DE8" w:rsidRDefault="002E3DE8">
      <w:pPr>
        <w:autoSpaceDE w:val="0"/>
        <w:autoSpaceDN w:val="0"/>
        <w:adjustRightInd w:val="0"/>
        <w:spacing w:line="270" w:lineRule="exact"/>
        <w:rPr>
          <w:szCs w:val="20"/>
        </w:rPr>
      </w:pPr>
    </w:p>
    <w:sectPr w:rsidR="002E3DE8">
      <w:pgSz w:w="11907" w:h="16840" w:code="9"/>
      <w:pgMar w:top="1418" w:right="1418" w:bottom="1418" w:left="1418" w:header="709" w:footer="709" w:gutter="0"/>
      <w:pgNumType w:start="1"/>
      <w:cols w:space="720"/>
      <w:noEndnote/>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9C9" w:rsidRDefault="00A709C9">
      <w:r>
        <w:separator/>
      </w:r>
    </w:p>
  </w:endnote>
  <w:endnote w:type="continuationSeparator" w:id="0">
    <w:p w:rsidR="00A709C9" w:rsidRDefault="00A7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E8" w:rsidRDefault="002E3DE8">
    <w:pPr>
      <w:pStyle w:val="Sourcingcontractpagnr"/>
      <w:numPr>
        <w:ilvl w:val="0"/>
        <w:numId w:val="0"/>
      </w:num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E8" w:rsidRDefault="002E3DE8">
    <w:pPr>
      <w:pStyle w:val="Sourcingcontractpagnr"/>
      <w:numPr>
        <w:ilvl w:val="0"/>
        <w:numId w:val="0"/>
      </w:numPr>
    </w:pPr>
    <w:r>
      <w:rPr>
        <w:rStyle w:val="Paginanummer"/>
        <w:szCs w:val="24"/>
      </w:rPr>
      <w:fldChar w:fldCharType="begin"/>
    </w:r>
    <w:r>
      <w:rPr>
        <w:rStyle w:val="Paginanummer"/>
        <w:szCs w:val="24"/>
      </w:rPr>
      <w:instrText xml:space="preserve"> PAGE </w:instrText>
    </w:r>
    <w:r>
      <w:rPr>
        <w:rStyle w:val="Paginanummer"/>
        <w:szCs w:val="24"/>
      </w:rPr>
      <w:fldChar w:fldCharType="separate"/>
    </w:r>
    <w:r w:rsidR="007906B8">
      <w:rPr>
        <w:rStyle w:val="Paginanummer"/>
        <w:noProof/>
        <w:szCs w:val="24"/>
      </w:rPr>
      <w:t>4</w:t>
    </w:r>
    <w:r>
      <w:rPr>
        <w:rStyle w:val="Paginanummer"/>
        <w:szCs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9C9" w:rsidRDefault="00A709C9">
      <w:r>
        <w:separator/>
      </w:r>
    </w:p>
  </w:footnote>
  <w:footnote w:type="continuationSeparator" w:id="0">
    <w:p w:rsidR="00A709C9" w:rsidRDefault="00A709C9">
      <w:r>
        <w:continuationSeparator/>
      </w:r>
    </w:p>
  </w:footnote>
  <w:footnote w:id="1">
    <w:p w:rsidR="002E3DE8" w:rsidRDefault="002E3DE8">
      <w:pPr>
        <w:widowControl w:val="0"/>
        <w:spacing w:line="270" w:lineRule="exact"/>
      </w:pPr>
      <w:r>
        <w:rPr>
          <w:rStyle w:val="Voetnootmarkering"/>
        </w:rPr>
        <w:footnoteRef/>
      </w:r>
      <w:r>
        <w:t xml:space="preserve"> </w:t>
      </w:r>
      <w:r>
        <w:rPr>
          <w:bCs/>
          <w:sz w:val="20"/>
        </w:rPr>
        <w:t>Overige Bijlagen kunnen bijv. zijn: Overnameovereenkomst, Transitieplan, Transformatieplan, SLA, DAP, Vergoedingen, Wijzigingsprocedure, Continuïteitsprocessen, Escrowovereenkomst, Duurzaamheid, Overleg, Acceptatieprocedure, Bonus-malusregeling, Exitprotocol, Bewerkersovereenkomst, Projectovereenkomst, Exitplan.</w:t>
      </w:r>
    </w:p>
  </w:footnote>
  <w:footnote w:id="2">
    <w:p w:rsidR="002E3DE8" w:rsidRDefault="002E3DE8">
      <w:pPr>
        <w:pStyle w:val="Voetnoottekst"/>
      </w:pPr>
      <w:r>
        <w:rPr>
          <w:rStyle w:val="Voetnootmarkering"/>
        </w:rPr>
        <w:footnoteRef/>
      </w:r>
      <w:r>
        <w:t xml:space="preserve"> </w:t>
      </w:r>
      <w:r>
        <w:t>Er kan voor worden gekozen om hier doelstellingen van Klant op te nemen (zoals bijv. het terugdringen van het aantal gebruikte applicaties), alsmede de bevestiging dat Leverancier heeft aangegeven deze doelstellingen te onderschrijven. Soms worden ook de doelstellingen van Leverancier opgenomen (zoals de doelstelling de diensten te gaan verrichten van een generiek platform). Het al dan niet opnemen van de doelstellingen zal onder meer afhangen van de inhoud van het contract (wordt er al voorzien in de doelstellingen) en de mate waarin de andere partij invloed kan uitoefenen op het bereiken ervan.</w:t>
      </w:r>
    </w:p>
  </w:footnote>
  <w:footnote w:id="3">
    <w:p w:rsidR="002E3DE8" w:rsidRDefault="002E3DE8">
      <w:pPr>
        <w:pStyle w:val="Voetnoottekst"/>
      </w:pPr>
      <w:r>
        <w:rPr>
          <w:rStyle w:val="Voetnootmarkering"/>
        </w:rPr>
        <w:footnoteRef/>
      </w:r>
      <w:r>
        <w:t xml:space="preserve"> </w:t>
      </w:r>
      <w:r>
        <w:t>Partijen kunnen overwegen om precies vast te leggen welke informatie is gedeeld, zodat daar later geen verschil van mening over kan bestaan.</w:t>
      </w:r>
    </w:p>
  </w:footnote>
  <w:footnote w:id="4">
    <w:p w:rsidR="002E3DE8" w:rsidRDefault="002E3DE8">
      <w:pPr>
        <w:pStyle w:val="Voetnoottekst"/>
      </w:pPr>
      <w:r>
        <w:rPr>
          <w:rStyle w:val="Voetnootmarkering"/>
        </w:rPr>
        <w:footnoteRef/>
      </w:r>
      <w:r>
        <w:t xml:space="preserve"> </w:t>
      </w:r>
      <w:r>
        <w:t>Aan te passen aan feitelijke gang van zaken. Niet altijd zullen er meerdere offertes worden uitgebracht. In een openbare aanbesteding zal in beginsel niet kunnen worden onderhandeld (anders dan door middel van een concurrentiegerichte dialoog).</w:t>
      </w:r>
    </w:p>
  </w:footnote>
  <w:footnote w:id="5">
    <w:p w:rsidR="002E3DE8" w:rsidRDefault="002E3DE8">
      <w:pPr>
        <w:pStyle w:val="Voetnoottekst"/>
      </w:pPr>
      <w:r>
        <w:rPr>
          <w:rStyle w:val="Voetnootmarkering"/>
        </w:rPr>
        <w:footnoteRef/>
      </w:r>
      <w:r>
        <w:t xml:space="preserve"> </w:t>
      </w:r>
      <w:r>
        <w:t xml:space="preserve">De Overnameovereenkomst valt buiten het bestek van het onderhavige modelcontract. De Overnameovereenkomst zal ook de eventuele toepasselijkheid van de Wet overgang onderneming kunnen adresseren (bij aanvang contract). Omdat overname een eenmalige gebeurtenis is, en de dienstverlening daarna nog jaren door kan lopen kan ook overwogen worden om beide contracten echt separaat te houden. </w:t>
      </w:r>
    </w:p>
    <w:p w:rsidR="002E3DE8" w:rsidRDefault="002E3DE8">
      <w:pPr>
        <w:pStyle w:val="Voetnoottekst"/>
      </w:pPr>
      <w:r>
        <w:t>Een overnameovereenkomst zal primair bedoeld zijn voor de overname van activa (en passiva). De Wet overgang onderneming kan echter ook van toepassing zijn indien van een dergelijke overname geen sprake is. Overname van activa (en passiva) is geen constitutief vereiste. Als er dus geen overnameovereenkomst is, kan er dus toch behoefte zijn aan een regeling voor de Wet overgang onderneming.</w:t>
      </w:r>
    </w:p>
  </w:footnote>
  <w:footnote w:id="6">
    <w:p w:rsidR="002E3DE8" w:rsidRDefault="002E3DE8">
      <w:pPr>
        <w:pStyle w:val="Voetnoottekst"/>
      </w:pPr>
      <w:r>
        <w:rPr>
          <w:rStyle w:val="Voetnootmarkering"/>
        </w:rPr>
        <w:footnoteRef/>
      </w:r>
      <w:r>
        <w:t xml:space="preserve"> </w:t>
      </w:r>
      <w:r>
        <w:t>Doorgaans verdient het de voorkeur om, waar mogelijk, de acceptatiecriteria al in het Transitieplan op te nemen.</w:t>
      </w:r>
    </w:p>
  </w:footnote>
  <w:footnote w:id="7">
    <w:p w:rsidR="002E3DE8" w:rsidRDefault="002E3DE8">
      <w:pPr>
        <w:pStyle w:val="Voetnoottekst"/>
      </w:pPr>
      <w:r>
        <w:rPr>
          <w:rStyle w:val="Voetnootmarkering"/>
        </w:rPr>
        <w:footnoteRef/>
      </w:r>
      <w:r>
        <w:t xml:space="preserve"> </w:t>
      </w:r>
      <w:r>
        <w:t>Doorgaans verdient het de voorkeur om, waar mogelijk, de acceptatiecriteria al in het Transformatieplan op te nemen. Onder omstandigheden zouden de Transitie en de Transformatie ook als één pakket aan activiteiten kunnen worden beschouwd, en derhalve in één "Transitieplan" kunnen worden samengevoegd. De standaardisering of efficiencyslag die wenselijk wordt geacht zou daarbij ook een uiting kunnen vinden in de SLA.</w:t>
      </w:r>
    </w:p>
  </w:footnote>
  <w:footnote w:id="8">
    <w:p w:rsidR="002E3DE8" w:rsidRDefault="002E3DE8">
      <w:pPr>
        <w:pStyle w:val="Voetnoottekst"/>
      </w:pPr>
      <w:r>
        <w:rPr>
          <w:rStyle w:val="Voetnootmarkering"/>
        </w:rPr>
        <w:footnoteRef/>
      </w:r>
      <w:r>
        <w:t xml:space="preserve"> </w:t>
      </w:r>
      <w:r>
        <w:rPr>
          <w:bCs/>
        </w:rPr>
        <w:t>Het is niet ongebruikelijk om in de SLA (of het Transitie- en/of Transformatieplan) te bepalen dat de Diensten een bepaalde periode (bijv. 3 maanden) op inspanningsbasis zullen worden verricht. Gedurende die periode kunnen partijen kijken of de beschreven situatie overeenstemt met de as-is situatie. Hetzelfde kan gelden ten aanzien van eventuele verplichtingen die voortvloeien uit andere bijlagen, zoals de interne regels van de Klant.</w:t>
      </w:r>
    </w:p>
  </w:footnote>
  <w:footnote w:id="9">
    <w:p w:rsidR="002E3DE8" w:rsidRDefault="002E3DE8">
      <w:pPr>
        <w:pStyle w:val="Voetnoottekst"/>
      </w:pPr>
      <w:r>
        <w:rPr>
          <w:rStyle w:val="Voetnootmarkering"/>
        </w:rPr>
        <w:footnoteRef/>
      </w:r>
      <w:r>
        <w:t xml:space="preserve"> </w:t>
      </w:r>
      <w:r>
        <w:rPr>
          <w:bCs/>
        </w:rPr>
        <w:t>Indien van toepassing. De kosten die Leverancier maakt om te voldoen aan plichten uit toezichtwet- en regelgeving die op de Klant van toepassing zijn, vormen doorgaans punt van onderhandeling. Enerzijds zal een Klant vaak stellen dat Leverancier als gespecialiseerde leverancier deze kosten als gewone bedrijfskosten dient te beschouwen. Anderzijds zal een Leverancier vaak stellen dat dit specifieke kosten betreft die niet zijn verdisconteerd in de standaarddienstverlening en die een Klant zonder outsourcing ook voor zijn rekening zou hebben moeten nemen. Bovendien geldt hier dat het vaak gaat om langlopende contracten waarvan het derhalve soms moeilijk is in te schatten welke kosten hiermee zullen zijn gemoeid.</w:t>
      </w:r>
    </w:p>
  </w:footnote>
  <w:footnote w:id="10">
    <w:p w:rsidR="002E3DE8" w:rsidRDefault="002E3DE8">
      <w:pPr>
        <w:pStyle w:val="Voetnoottekst"/>
      </w:pPr>
      <w:r>
        <w:rPr>
          <w:rStyle w:val="Voetnootmarkering"/>
        </w:rPr>
        <w:footnoteRef/>
      </w:r>
      <w:r>
        <w:t xml:space="preserve"> </w:t>
      </w:r>
      <w:r>
        <w:rPr>
          <w:bCs/>
        </w:rPr>
        <w:t>Indien van toepassing.</w:t>
      </w:r>
    </w:p>
  </w:footnote>
  <w:footnote w:id="11">
    <w:p w:rsidR="002E3DE8" w:rsidRDefault="002E3DE8">
      <w:pPr>
        <w:pStyle w:val="Voetnoottekst"/>
      </w:pPr>
      <w:r>
        <w:rPr>
          <w:rStyle w:val="Voetnootmarkering"/>
        </w:rPr>
        <w:footnoteRef/>
      </w:r>
      <w:r>
        <w:t xml:space="preserve"> </w:t>
      </w:r>
      <w:r>
        <w:rPr>
          <w:bCs/>
        </w:rPr>
        <w:t>In sommige gevallen waar Leverancier structureel bedrijfsruimte of andere faciliteiten van Klant gebruikt worden terzake separate afspraken gemaakt (incl. financiële afspraken), bijv. in de vorm van een huurovereenkomst.</w:t>
      </w:r>
    </w:p>
  </w:footnote>
  <w:footnote w:id="12">
    <w:p w:rsidR="002E3DE8" w:rsidRDefault="002E3DE8">
      <w:pPr>
        <w:pStyle w:val="Voetnoottekst"/>
      </w:pPr>
      <w:r>
        <w:rPr>
          <w:rStyle w:val="Voetnootmarkering"/>
        </w:rPr>
        <w:footnoteRef/>
      </w:r>
      <w:r>
        <w:t xml:space="preserve"> </w:t>
      </w:r>
      <w:r>
        <w:rPr>
          <w:bCs/>
        </w:rPr>
        <w:t>Vaak bevatten het Transitieplan, Transformatieplan, SLA en exitplan randvoorwaarden waaruit specifieke verplichtingen van de Klant blijken. Een separate bijlage is dan niet nodig. Soms zal de Klant verlangen dat bepaald wordt dat de Overeenkomst uitputtend zijn verplichtingen beschrijft; afhankelijk van de omstandigheden (voorzienbaarheid, complexiteit, etc.) zal een Leverancier hier wel of niet (of onder andere condities, bijv. onder verwijzing naar de wijzigingsprocedure) aan tegemoet willen komen. In het algemeen staan leveranciers onwelwillend tegenover dit soort volledigheidsgaranties.</w:t>
      </w:r>
    </w:p>
  </w:footnote>
  <w:footnote w:id="13">
    <w:p w:rsidR="002E3DE8" w:rsidRDefault="002E3DE8">
      <w:pPr>
        <w:pStyle w:val="Voetnoottekst"/>
      </w:pPr>
      <w:r>
        <w:rPr>
          <w:rStyle w:val="Voetnootmarkering"/>
        </w:rPr>
        <w:footnoteRef/>
      </w:r>
      <w:r>
        <w:t xml:space="preserve"> </w:t>
      </w:r>
      <w:r>
        <w:t>Dit kan bijvoorbeeld het geval zijn bij legacysystemen.</w:t>
      </w:r>
    </w:p>
  </w:footnote>
  <w:footnote w:id="14">
    <w:p w:rsidR="002E3DE8" w:rsidRDefault="002E3DE8">
      <w:pPr>
        <w:pStyle w:val="Voetnoottekst"/>
      </w:pPr>
      <w:r>
        <w:rPr>
          <w:rStyle w:val="Voetnootmarkering"/>
        </w:rPr>
        <w:footnoteRef/>
      </w:r>
      <w:r>
        <w:t xml:space="preserve"> </w:t>
      </w:r>
      <w:r>
        <w:t>Deze optie zal met name relevant kunnen zijn indien de diensten worden verricht op een Klant-specifiek systeem dat na einde contract weer in beheer komt bij Klant c.q. een door Klant aan te wijzen derde. Voor diensten die vanaf een generiek platform van Leverancier worden verricht is dit artikellid niet bedoeld.</w:t>
      </w:r>
    </w:p>
  </w:footnote>
  <w:footnote w:id="15">
    <w:p w:rsidR="002E3DE8" w:rsidRDefault="002E3DE8">
      <w:pPr>
        <w:pStyle w:val="Voetnoottekst"/>
      </w:pPr>
      <w:r>
        <w:rPr>
          <w:rStyle w:val="Voetnootmarkering"/>
        </w:rPr>
        <w:footnoteRef/>
      </w:r>
      <w:r>
        <w:t xml:space="preserve"> </w:t>
      </w:r>
      <w:r>
        <w:t>Optioneel artikel, dat met name zou kunnen spelen indien de diensten worden verricht op een Klant-specifiek systeem dat na einde contract weer in beheer komt bij Klant c.q. een door Klant aan te wijzen derde. De technische kwaliteit zou nader kunnen worden beschreven, bijvoorbeeld door voor onderhoudbaarheid te verwijzen naar bepaalde minimumstandaarden.</w:t>
      </w:r>
    </w:p>
  </w:footnote>
  <w:footnote w:id="16">
    <w:p w:rsidR="002E3DE8" w:rsidRDefault="002E3DE8">
      <w:pPr>
        <w:pStyle w:val="Voetnoottekst"/>
      </w:pPr>
      <w:r>
        <w:rPr>
          <w:rStyle w:val="Voetnootmarkering"/>
        </w:rPr>
        <w:footnoteRef/>
      </w:r>
      <w:r>
        <w:t xml:space="preserve"> </w:t>
      </w:r>
      <w:r>
        <w:t>Deze optie zal met name relevant kunnen zijn indien de Diensten worden verricht op een Klant-specifiek systeem dat na einde contract weer in beheer komt bij Klant c.q. een door Klant aan te wijzen derde. Afhankelijk van de wensen van de Klant zal de meest gerede oplossing vaak echter zijn het toevoegen van standaard software van derden of open source software.</w:t>
      </w:r>
    </w:p>
  </w:footnote>
  <w:footnote w:id="17">
    <w:p w:rsidR="002E3DE8" w:rsidRDefault="002E3DE8">
      <w:pPr>
        <w:pStyle w:val="Voetnoottekst"/>
      </w:pPr>
      <w:r>
        <w:rPr>
          <w:rStyle w:val="Voetnootmarkering"/>
        </w:rPr>
        <w:footnoteRef/>
      </w:r>
      <w:r>
        <w:t xml:space="preserve"> </w:t>
      </w:r>
      <w:r>
        <w:t>Dit artikel spreekt de intentie tot innovatie uit, maar geeft daar geen concrete invulling aan. Innovatie is een complex onderwerp waarvan de invulling sterk afhangt van de specifieke omstandigheden en het vaak moeilijk is daaraan handen en voeten te geven. Waar partijen concrete ideeën hebben over innovatie, verdient het de voorkeur dit nader uit te werken, bijvoorbeeld in een bijlage. Zo is het met betrekking tot software bijvoorbeeld mogelijk de huidige kwaliteit te meten en aan te geven waar verbeteringen haalbaar zijn en hoeveel bezuinigingen dit oplevert. Dit kan een concrete methodiek zijn voor innovatie waarbij zowel Leverancier als Klant objectief kunnen vaststellen wat zij zouden moeten doen.</w:t>
      </w:r>
    </w:p>
  </w:footnote>
  <w:footnote w:id="18">
    <w:p w:rsidR="002E3DE8" w:rsidRDefault="002E3DE8">
      <w:pPr>
        <w:pStyle w:val="Voetnoottekst"/>
      </w:pPr>
      <w:r>
        <w:rPr>
          <w:rStyle w:val="Voetnootmarkering"/>
        </w:rPr>
        <w:footnoteRef/>
      </w:r>
      <w:r>
        <w:t xml:space="preserve"> </w:t>
      </w:r>
      <w:r>
        <w:t>Bij een meer concrete invulling zouden partijen kunnen overeenkomen dat een werkgroep wordt ingesteld die zich concreet bezig houdt met innovatie. Een bijlage kan dan regelen hoe frequent de werkgroep bij elkaar komt en welke output wordt verwacht.</w:t>
      </w:r>
    </w:p>
  </w:footnote>
  <w:footnote w:id="19">
    <w:p w:rsidR="002E3DE8" w:rsidRDefault="002E3DE8">
      <w:pPr>
        <w:pStyle w:val="Voetnoottekst"/>
      </w:pPr>
      <w:r>
        <w:rPr>
          <w:rStyle w:val="Voetnootmarkering"/>
        </w:rPr>
        <w:footnoteRef/>
      </w:r>
      <w:r>
        <w:t xml:space="preserve"> </w:t>
      </w:r>
      <w:r>
        <w:t>Regelingen over de kosten van innovaties zijn vaak complex en er is geen algemene standaard. Soms wordt bepaald dat de Klant alles betaalt, soms wordt voorzien in een bepaalde innovatie-inspanning die is inbegrepen in de Vergoedingen, of wordt een andere regeling getroffen.</w:t>
      </w:r>
    </w:p>
  </w:footnote>
  <w:footnote w:id="20">
    <w:p w:rsidR="002E3DE8" w:rsidRDefault="002E3DE8">
      <w:pPr>
        <w:pStyle w:val="Voetnoottekst"/>
      </w:pPr>
      <w:r>
        <w:rPr>
          <w:rStyle w:val="Voetnootmarkering"/>
        </w:rPr>
        <w:footnoteRef/>
      </w:r>
      <w:r>
        <w:t xml:space="preserve"> </w:t>
      </w:r>
      <w:r>
        <w:t xml:space="preserve">Bij een escrowregeling verdienen de releasecriteria (de situaties waarin de Klant gerechtigd is tot afgifte uit escrow) en de afgifteprocedure (op eerste verzoek of na hoor en wederhoor) bijzondere aandacht. Een reguliere escrowregeling voorziet in het </w:t>
      </w:r>
      <w:r>
        <w:rPr>
          <w:u w:val="single"/>
        </w:rPr>
        <w:t>periodiek</w:t>
      </w:r>
      <w:r>
        <w:t xml:space="preserve"> in bewaring geven van nieuwe versies van de broncode en bepaalt dat de escrow mede omvat de documentatie. Evt. wordt ook bepaald dat de escrow de evt. testcode bevat alsmede alle andere informatie die voor het onderhouden van de software van belang is. (Dit is ook van belang bij exit.)</w:t>
      </w:r>
    </w:p>
  </w:footnote>
  <w:footnote w:id="21">
    <w:p w:rsidR="002E3DE8" w:rsidRDefault="002E3DE8">
      <w:pPr>
        <w:pStyle w:val="Voetnoottekst"/>
      </w:pPr>
      <w:r>
        <w:rPr>
          <w:rStyle w:val="Voetnootmarkering"/>
        </w:rPr>
        <w:footnoteRef/>
      </w:r>
      <w:r>
        <w:t xml:space="preserve"> </w:t>
      </w:r>
      <w:r>
        <w:t>Step-in rights komen hoogst zelden voor, zijn vaak voorzien van vele randvoorwaarden en worden in de praktijk zelden uitgeoefend. Step-in rights zijn rechten die Klant in staat stellen om tijdelijk verantwoordelijkheid te nemen voor de uitvoering van de overeenkomst. Step-in rights komen met name voor bij grotere transacties terzake van klantspecifieke dienstverlening. Een step-in right is minder goed uitvoerbaar bij een generiek platform van Leverancier (gezien de belangen van andere klanten van Leverancier). Bij een Klant-specifiek systeem dat na einde contract weer in beheer komt bij Klant c.q. een door Klant aan te wijzen derde, kan een step-in right eventueel een waardevolle aanvulling vormen op het pallet aan continuïteitswaarborgen.</w:t>
      </w:r>
    </w:p>
  </w:footnote>
  <w:footnote w:id="22">
    <w:p w:rsidR="002E3DE8" w:rsidRDefault="002E3DE8">
      <w:pPr>
        <w:pStyle w:val="Voetnoottekst"/>
      </w:pPr>
      <w:r>
        <w:rPr>
          <w:rStyle w:val="Voetnootmarkering"/>
        </w:rPr>
        <w:footnoteRef/>
      </w:r>
      <w:r>
        <w:t xml:space="preserve"> </w:t>
      </w:r>
      <w:r>
        <w:t>In sommige gevallen wordt geheel afgezien van indexering. Dit komt niet vaak voor.</w:t>
      </w:r>
    </w:p>
  </w:footnote>
  <w:footnote w:id="23">
    <w:p w:rsidR="002E3DE8" w:rsidRDefault="002E3DE8">
      <w:pPr>
        <w:pStyle w:val="Voetnoottekst"/>
      </w:pPr>
      <w:r>
        <w:rPr>
          <w:rStyle w:val="Voetnootmarkering"/>
        </w:rPr>
        <w:footnoteRef/>
      </w:r>
      <w:r>
        <w:t xml:space="preserve"> </w:t>
      </w:r>
      <w:r>
        <w:t>Afhankelijk van de randvoorwaarden kunnen partijen overeenkomen dat vergoedingen marktconform dienen te zijn. Vaak wordt dan nader uitgewerkt wat onder marktconform wordt verstaan, bijv. door nader te bepalen om welke soort diensten het moet gaan, de 'peer'-groep nader te omschrijven, te voorzien in acceptabele bandbreedtes, de bijzonderheden van de transactie te verdisconteren, etc. In sommige gevallen is er geen verband met marktconforme prijzen, bijvoorbeeld indien er veel investeringen moeten worden gedaan.</w:t>
      </w:r>
    </w:p>
  </w:footnote>
  <w:footnote w:id="24">
    <w:p w:rsidR="002E3DE8" w:rsidRDefault="002E3DE8">
      <w:pPr>
        <w:pStyle w:val="Voetnoottekst"/>
      </w:pPr>
      <w:r>
        <w:rPr>
          <w:rStyle w:val="Voetnootmarkering"/>
        </w:rPr>
        <w:footnoteRef/>
      </w:r>
      <w:r>
        <w:t xml:space="preserve"> </w:t>
      </w:r>
      <w:r>
        <w:t>Bij transacties met een internationale component kan het nodig zijn een regeling te treffen voor valutarisico's.</w:t>
      </w:r>
    </w:p>
  </w:footnote>
  <w:footnote w:id="25">
    <w:p w:rsidR="002E3DE8" w:rsidRDefault="002E3DE8">
      <w:pPr>
        <w:pStyle w:val="Voetnoottekst"/>
      </w:pPr>
      <w:r>
        <w:rPr>
          <w:rStyle w:val="Voetnootmarkering"/>
        </w:rPr>
        <w:footnoteRef/>
      </w:r>
      <w:r>
        <w:t xml:space="preserve"> </w:t>
      </w:r>
      <w:r>
        <w:t>In de regel wordt ook een specifieke regeling opgenomen terzake het betwisten van facturen. Zo wordt vaak bepaald dat ingeval van betwisting van een factuur in ieder geval het onbetwiste deel daarvan binnen de betaaltermijn dient te worden voldaan. Ook wordt doorgaans bepaald wat de gevolgen zijn van te late betaling (rente en kosten).</w:t>
      </w:r>
    </w:p>
  </w:footnote>
  <w:footnote w:id="26">
    <w:p w:rsidR="002E3DE8" w:rsidRDefault="002E3DE8">
      <w:pPr>
        <w:pStyle w:val="Voetnoottekst"/>
      </w:pPr>
      <w:r>
        <w:rPr>
          <w:rStyle w:val="Voetnootmarkering"/>
        </w:rPr>
        <w:footnoteRef/>
      </w:r>
      <w:r>
        <w:t xml:space="preserve"> </w:t>
      </w:r>
      <w:r>
        <w:t>Andere overlegstructuren zijn uiteraard mogelijk. In de praktijk wordt vaak gewerkt met het onderscheid Strategisch/Tactisch en Operationeel overleg, en in dit model hebben wij dat daarom als uitgangspunt genomen. Bij een andere opzet van overleg dienen de corresponderende artikelen derhalve te worden aangepast.</w:t>
      </w:r>
    </w:p>
  </w:footnote>
  <w:footnote w:id="27">
    <w:p w:rsidR="002E3DE8" w:rsidRDefault="002E3DE8">
      <w:pPr>
        <w:pStyle w:val="Voetnoottekst"/>
      </w:pPr>
      <w:r>
        <w:rPr>
          <w:rStyle w:val="Voetnootmarkering"/>
        </w:rPr>
        <w:footnoteRef/>
      </w:r>
      <w:r>
        <w:t xml:space="preserve"> </w:t>
      </w:r>
      <w:r>
        <w:t>Dit soort bepalingen komt met name voor bij grotere transacties of bij transacties die onder toezicht staan. De beschikbaarheid van een TPM is afhankelijk van een groot aantal factoren, zoals het soort dienst en de vergoedingen. Sommige leveranciers geven generieke TPM's af, andere zien het als een specifieke dienst waar een betaling tegenover moet staan. In sommige gevallen wordt in plaats van een TPM voorzien in de plicht van Leverancier om een verklaring af te geven conform de ISAE 3402 standaard van de International Auditing and Assurance Standards Board (IAASB) (welke standaard de SAS 70 Type II verklaring zal vervangen) of daarmee vergelijkbare verklaringen.</w:t>
      </w:r>
    </w:p>
  </w:footnote>
  <w:footnote w:id="28">
    <w:p w:rsidR="002E3DE8" w:rsidRDefault="002E3DE8">
      <w:pPr>
        <w:pStyle w:val="Voetnoottekst"/>
      </w:pPr>
      <w:r>
        <w:rPr>
          <w:rStyle w:val="Voetnootmarkering"/>
        </w:rPr>
        <w:footnoteRef/>
      </w:r>
      <w:r>
        <w:t xml:space="preserve"> </w:t>
      </w:r>
      <w:r>
        <w:t xml:space="preserve">Zie noot bij </w:t>
      </w:r>
      <w:r>
        <w:fldChar w:fldCharType="begin"/>
      </w:r>
      <w:r>
        <w:instrText xml:space="preserve"> REF _Ref280198826 \r \h </w:instrText>
      </w:r>
      <w:r>
        <w:fldChar w:fldCharType="separate"/>
      </w:r>
      <w:r>
        <w:t>19.2</w:t>
      </w:r>
      <w:r>
        <w:fldChar w:fldCharType="end"/>
      </w:r>
    </w:p>
  </w:footnote>
  <w:footnote w:id="29">
    <w:p w:rsidR="002E3DE8" w:rsidRDefault="002E3DE8">
      <w:pPr>
        <w:pStyle w:val="Voetnoottekst"/>
      </w:pPr>
      <w:r>
        <w:rPr>
          <w:rStyle w:val="Voetnootmarkering"/>
        </w:rPr>
        <w:footnoteRef/>
      </w:r>
      <w:r>
        <w:t xml:space="preserve"> </w:t>
      </w:r>
      <w:r>
        <w:t xml:space="preserve">Dit soort bepalingen komt met name voor bij grotere transacties of bij transacties die onder toezicht staan. Gebruikelijk is om hiernaast in ieder geval afspraken te maken over de frequentie, de noodzaak van een aanleiding voor een audit en de kosten. Terzake van frequentie wordt vaak 1 audit per jaar aangehouden (uitgezonderd vervolg audits). Voor Klanten die onder de bepalingen van de Wet Financieel toezicht vallen dient in art. 19 te worden voorzien in een regeling met betrekking tot toezichthouders, zie de optionele artikelen </w:t>
      </w:r>
      <w:r>
        <w:fldChar w:fldCharType="begin"/>
      </w:r>
      <w:r>
        <w:instrText xml:space="preserve"> REF _Ref280198917 \r \h </w:instrText>
      </w:r>
      <w:r>
        <w:fldChar w:fldCharType="separate"/>
      </w:r>
      <w:r>
        <w:t>19.5</w:t>
      </w:r>
      <w:r>
        <w:fldChar w:fldCharType="end"/>
      </w:r>
      <w:r>
        <w:t xml:space="preserve"> en </w:t>
      </w:r>
      <w:r>
        <w:fldChar w:fldCharType="begin"/>
      </w:r>
      <w:r>
        <w:instrText xml:space="preserve"> REF _Ref280198934 \r \h </w:instrText>
      </w:r>
      <w:r>
        <w:fldChar w:fldCharType="separate"/>
      </w:r>
      <w:r>
        <w:t>19.6</w:t>
      </w:r>
      <w:r>
        <w:fldChar w:fldCharType="end"/>
      </w:r>
      <w:r>
        <w:t xml:space="preserve"> hieronder.</w:t>
      </w:r>
    </w:p>
  </w:footnote>
  <w:footnote w:id="30">
    <w:p w:rsidR="002E3DE8" w:rsidRDefault="002E3DE8">
      <w:pPr>
        <w:pStyle w:val="Voetnoottekst"/>
      </w:pPr>
      <w:r>
        <w:rPr>
          <w:rStyle w:val="Voetnootmarkering"/>
        </w:rPr>
        <w:footnoteRef/>
      </w:r>
      <w:r>
        <w:t xml:space="preserve"> </w:t>
      </w:r>
      <w:r>
        <w:t>Er kan uiteraard worden gekozen voor een andere soort auditors of derde-deskundigen. Bijv. indien een audit kan plaatsvinden naar de productkwaliteit van software, zou voorzien kunnen worden in een audit/onderzoek door een IT-deskundige. Partijen zullen dan vaak wel procesafspraken maken, bijv. inzake het recht van Leverancier op voorinzage en het recht dat zijn kanttekeningen in het rapport worden opgenomen.</w:t>
      </w:r>
    </w:p>
  </w:footnote>
  <w:footnote w:id="31">
    <w:p w:rsidR="002E3DE8" w:rsidRDefault="002E3DE8">
      <w:pPr>
        <w:pStyle w:val="Voetnoottekst"/>
      </w:pPr>
      <w:r>
        <w:rPr>
          <w:rStyle w:val="Voetnootmarkering"/>
        </w:rPr>
        <w:footnoteRef/>
      </w:r>
      <w:r>
        <w:t xml:space="preserve"> </w:t>
      </w:r>
      <w:r>
        <w:t>Doorgaans worden ook afspraken gemaakt over de kosten. Gebruikelijk is om te bepalen dat Leverancier de redelijke kosten die hij terzake van een audit door een toezichthouder moet maken bij de Klant in rekening kan brengen, tenzij de audit wordt veroorzaakt door toedoen van de Leverancier.</w:t>
      </w:r>
    </w:p>
  </w:footnote>
  <w:footnote w:id="32">
    <w:p w:rsidR="002E3DE8" w:rsidRDefault="002E3DE8">
      <w:pPr>
        <w:pStyle w:val="Voetnoottekst"/>
      </w:pPr>
      <w:r>
        <w:rPr>
          <w:rStyle w:val="Voetnootmarkering"/>
        </w:rPr>
        <w:footnoteRef/>
      </w:r>
      <w:r>
        <w:t xml:space="preserve"> </w:t>
      </w:r>
      <w:r>
        <w:t>Dit soort bepalingen komt met name voor bij grotere transacties waar standaarddienstverlening wordt geleverd. Vaak wordt nader uitgewerkt wat onder marktconform wordt verstaan, bijv. door nader te bepalen om welke soort diensten het moet gaan, de 'peer'-groep nader te omschrijven, te voorzien in acceptabele bandbreedtes, de bijzonderheden van de transactie te verdisconteren, etc. In plaats van benchmarks naar de prijs-kwaliteitsverhouding zijn ook andere soort benchmarks denkbaar, zoals benchmarks naar de mate van de kwaliteit van de software of de kosten per applicatie of softwareportfolio. Dat soort benchmarks zijn op dit moment echter relatief onbekend.</w:t>
      </w:r>
    </w:p>
  </w:footnote>
  <w:footnote w:id="33">
    <w:p w:rsidR="002E3DE8" w:rsidRDefault="002E3DE8">
      <w:pPr>
        <w:pStyle w:val="Voetnoottekst"/>
      </w:pPr>
      <w:r>
        <w:rPr>
          <w:rStyle w:val="Voetnootmarkering"/>
        </w:rPr>
        <w:footnoteRef/>
      </w:r>
      <w:r>
        <w:t xml:space="preserve"> </w:t>
      </w:r>
      <w:r>
        <w:rPr>
          <w:szCs w:val="21"/>
        </w:rPr>
        <w:t>Soms wordt afgesproken dat als de gevonden afwijkingen niet materieel zijn, de Overeenkomst niet hoeft te worden aangepast. Teneinde discussie te voorkomen verdient het dan de voorkeur te omschrijven wat onder "niet-materieel" wordt verstaan, bijv. door te bepalen dat tariefafwijkingen tot 5% niet materieel zijn.</w:t>
      </w:r>
    </w:p>
  </w:footnote>
  <w:footnote w:id="34">
    <w:p w:rsidR="002E3DE8" w:rsidRDefault="002E3DE8">
      <w:pPr>
        <w:pStyle w:val="Voetnoottekst"/>
      </w:pPr>
      <w:r>
        <w:rPr>
          <w:rStyle w:val="Voetnootmarkering"/>
        </w:rPr>
        <w:footnoteRef/>
      </w:r>
      <w:r>
        <w:t xml:space="preserve"> </w:t>
      </w:r>
      <w:r>
        <w:rPr>
          <w:szCs w:val="21"/>
        </w:rPr>
        <w:t>De afspraken over de kosten van benchmarkonderzoeken zijn dermate specifiek, dat wij hier geen standaard kunnen geven. Zo wordt soms bepaald dat als de tarieven minder dan 5% afwijken van het marktgemiddelde, de kosten van de benchmark voor rekening komen van de Klant.</w:t>
      </w:r>
    </w:p>
  </w:footnote>
  <w:footnote w:id="35">
    <w:p w:rsidR="002E3DE8" w:rsidRDefault="002E3DE8">
      <w:pPr>
        <w:pStyle w:val="Voetnoottekst"/>
      </w:pPr>
      <w:r>
        <w:rPr>
          <w:rStyle w:val="Voetnootmarkering"/>
        </w:rPr>
        <w:footnoteRef/>
      </w:r>
      <w:r>
        <w:t xml:space="preserve"> </w:t>
      </w:r>
      <w:r>
        <w:t>Soms leggen partijen vast welke derde het Benchmarkonderzoek uit mag voeren. In ieder geval wordt vaak bepaald dat die partij geen concurrent van Leverancier mag zijn. Partijen kunnen ook vast leggen binnen welke tijdslijnen een onderzoek dient plaats te vinden en binnen welke termijn de uitkomst aan Leverancier dient te worden medegedeeld. Soms wordt bepaald dat de opdrachtomschrijving voor het benchmarkonderzoek gezamenlijk door Klant en Leverancier wordt opgesteld.</w:t>
      </w:r>
    </w:p>
  </w:footnote>
  <w:footnote w:id="36">
    <w:p w:rsidR="002E3DE8" w:rsidRDefault="002E3DE8">
      <w:pPr>
        <w:pStyle w:val="Voetnoottekst"/>
      </w:pPr>
      <w:r>
        <w:rPr>
          <w:rStyle w:val="Voetnootmarkering"/>
        </w:rPr>
        <w:footnoteRef/>
      </w:r>
      <w:r>
        <w:t xml:space="preserve"> </w:t>
      </w:r>
      <w:r>
        <w:t>Er bestaan vele modellen voor bonus-malusregelingen. Soms wordt gewerkt met een overgangsperiode waarin de regeling niet werkt. In een bonus-malusregeling wordt doorgaans aan een beperkt aantal service levels een bonus resp. een malus gekoppeld. Regelingen kunnen voorzien in enige flexibiliteit voor de klant (vrijheid om (delen van een) malus te verschuiven van de ene service level naar de andere). Doorgaans voorziet de regeling in een maximum voor de malus. Een bonus/malus wordt doorgaans gebruikt in het kader van de reguliere dienstverlening, maar kan bijv. ook gebruikt worden bij innovatieve projecten, zoals het doorvoeren van verbeteringen bij applicatiebeheer. Voor een goede bonus-malusregeling is van belang dat de triggers voor een bonus/malus objectief zijn vast te stellen.</w:t>
      </w:r>
    </w:p>
  </w:footnote>
  <w:footnote w:id="37">
    <w:p w:rsidR="002E3DE8" w:rsidRDefault="002E3DE8">
      <w:pPr>
        <w:pStyle w:val="Voetnoottekst"/>
      </w:pPr>
      <w:r>
        <w:rPr>
          <w:rStyle w:val="Voetnootmarkering"/>
        </w:rPr>
        <w:footnoteRef/>
      </w:r>
      <w:r>
        <w:t xml:space="preserve"> </w:t>
      </w:r>
      <w:r>
        <w:t>Omdat de Nederlandse wet directe schade en gevolgschade/indirecte schade niet definieert, wordt de term directe schade soms nader ingevuld, al dan niet limitatief. Er kan ook voor gekozen worden om juist indirecte schade te definiëren of om zowel directe als indirecte schade te definiëren.</w:t>
      </w:r>
    </w:p>
  </w:footnote>
  <w:footnote w:id="38">
    <w:p w:rsidR="002E3DE8" w:rsidRDefault="002E3DE8">
      <w:pPr>
        <w:pStyle w:val="Voetnoottekst"/>
      </w:pPr>
      <w:r>
        <w:rPr>
          <w:rStyle w:val="Voetnootmarkering"/>
        </w:rPr>
        <w:footnoteRef/>
      </w:r>
      <w:r>
        <w:t xml:space="preserve"> </w:t>
      </w:r>
      <w:r>
        <w:t>Omdat de Nederlandse wet directe schade en gevolgschade/indirecte schade niet definieert, wordt de term gevolgschade/indirecte schade soms nader ingevuld, al dan niet limitatief. Aansprakelijkheid voor schade door winstderving en gemiste besparingen en immateriële schade wordt vrijwel altijd uitgesloten. Zie ook de noot bij artikel 22.1.</w:t>
      </w:r>
    </w:p>
  </w:footnote>
  <w:footnote w:id="39">
    <w:p w:rsidR="002E3DE8" w:rsidRDefault="002E3DE8">
      <w:pPr>
        <w:pStyle w:val="Voetnoottekst"/>
      </w:pPr>
      <w:r>
        <w:rPr>
          <w:rStyle w:val="Voetnootmarkering"/>
        </w:rPr>
        <w:footnoteRef/>
      </w:r>
      <w:r>
        <w:t xml:space="preserve"> </w:t>
      </w:r>
      <w:r>
        <w:t>Hier kan bijvoorbeeld gedacht worden aan schenden van de geheimhouding, of IE-inbreuken)</w:t>
      </w:r>
    </w:p>
  </w:footnote>
  <w:footnote w:id="40">
    <w:p w:rsidR="002E3DE8" w:rsidRDefault="002E3DE8">
      <w:pPr>
        <w:pStyle w:val="Voetnoottekst"/>
      </w:pPr>
      <w:r>
        <w:rPr>
          <w:rStyle w:val="Voetnootmarkering"/>
        </w:rPr>
        <w:footnoteRef/>
      </w:r>
      <w:r>
        <w:t xml:space="preserve"> </w:t>
      </w:r>
      <w:r>
        <w:t>Soms wordt een minimaal te verzekeren bedrag overeengekomen en een bepaling dat Leverancier desgevraagd bewijs moet leveren dat hij verzekerd is. Ook wordt wel expliciet overeengekomen voor welk type aansprakelijkheid Leverancier verzekerd dient te zijn, zoals bedrijfsaansprakelijkheid (voor zaakschade en personenschade) en beroepsaansprakelijkheid (voor zuivere vermogensschade).</w:t>
      </w:r>
    </w:p>
  </w:footnote>
  <w:footnote w:id="41">
    <w:p w:rsidR="002E3DE8" w:rsidRDefault="002E3DE8">
      <w:pPr>
        <w:pStyle w:val="Voetnoottekst"/>
      </w:pPr>
      <w:r>
        <w:rPr>
          <w:rStyle w:val="Voetnootmarkering"/>
        </w:rPr>
        <w:footnoteRef/>
      </w:r>
      <w:r>
        <w:t xml:space="preserve"> </w:t>
      </w:r>
      <w:r>
        <w:t>Soms komen partijen overeen dat bepaalde gebeurtenissen/omstandigheden juist wel of juist geen overmacht opleveren.</w:t>
      </w:r>
    </w:p>
  </w:footnote>
  <w:footnote w:id="42">
    <w:p w:rsidR="002E3DE8" w:rsidRDefault="002E3DE8">
      <w:pPr>
        <w:pStyle w:val="Voetnoottekst"/>
      </w:pPr>
      <w:r>
        <w:rPr>
          <w:rStyle w:val="Voetnootmarkering"/>
        </w:rPr>
        <w:footnoteRef/>
      </w:r>
      <w:r>
        <w:t xml:space="preserve"> </w:t>
      </w:r>
      <w:r>
        <w:t>In de regel berusten de rechten op maatwerk bij de Klant (en heeft de Klant recht op afgifte van de betreffende broncodes en bijbehorende documentatie), tenzij de Leverancier gegronde regels kan aanvoeren voor het tegenovergestelde. Als bepaald wordt dat de rechten bij Klant berusten, wordt doorgaans tevens voorzien in een licentie aan Leverancier, waarvan de inhoud vaak voer voor overleg is.</w:t>
      </w:r>
    </w:p>
  </w:footnote>
  <w:footnote w:id="43">
    <w:p w:rsidR="002E3DE8" w:rsidRDefault="002E3DE8">
      <w:pPr>
        <w:pStyle w:val="Voetnoottekst"/>
      </w:pPr>
      <w:r>
        <w:rPr>
          <w:rStyle w:val="Voetnootmarkering"/>
        </w:rPr>
        <w:footnoteRef/>
      </w:r>
      <w:r>
        <w:t xml:space="preserve"> </w:t>
      </w:r>
      <w:r>
        <w:t>Afhankelijk van de informatie de verwerkt wordt, wordt het artikel over beveiliging verder opgetuigd. Vroeger werd veel gerefereerd aan BS7799 of de daarmee corresponderende ISO 17799, maar tegenwoordig wordt vaker verwezen naar de opvolger, ISO 27001, al dan niet samen met ISO 27002. Als een klant eigen beveiligingsnormen heeft, worden die vaak aangehecht en van toepassing verklaard. Een uitgebreidere bepaling voorziet vaak ook in controle, overleg en verbeteracties naar aanleiding van incidenten.</w:t>
      </w:r>
    </w:p>
  </w:footnote>
  <w:footnote w:id="44">
    <w:p w:rsidR="002E3DE8" w:rsidRDefault="002E3DE8">
      <w:pPr>
        <w:pStyle w:val="Voetnoottekst"/>
      </w:pPr>
      <w:r>
        <w:rPr>
          <w:rStyle w:val="Voetnootmarkering"/>
        </w:rPr>
        <w:footnoteRef/>
      </w:r>
      <w:r>
        <w:t xml:space="preserve"> </w:t>
      </w:r>
      <w:r>
        <w:t>Afhankelijk van de aard van de diensten kan Leverancier bewerker zijn in de zin van de Wbp. Het verdient dan de voorkeur dat expliciet te benoemen. Vaak wordt alsdan een separate bewerkersovereenkomst als bijlage bijgevoegd (op voet van art. 14 Wbp).</w:t>
      </w:r>
    </w:p>
  </w:footnote>
  <w:footnote w:id="45">
    <w:p w:rsidR="002E3DE8" w:rsidRDefault="002E3DE8">
      <w:pPr>
        <w:pStyle w:val="Voetnoottekst"/>
      </w:pPr>
      <w:r>
        <w:rPr>
          <w:rStyle w:val="Voetnootmarkering"/>
        </w:rPr>
        <w:footnoteRef/>
      </w:r>
      <w:r>
        <w:t xml:space="preserve"> </w:t>
      </w:r>
      <w:r>
        <w:t>Andere mechanismes zijn uiteraard mogelijk, bijvoorbeeld een regeling waarbij de overeenkomst na de initiële contractsperiode stilzwijgend wordt verlengd voor onbepaalde tijd, met de mogelijkheid om op te zeggen met inachtneming van een opzegtermijn van […] maanden, voor het eerst tegen het einde van de initiële contractsperiode.</w:t>
      </w:r>
    </w:p>
  </w:footnote>
  <w:footnote w:id="46">
    <w:p w:rsidR="002E3DE8" w:rsidRDefault="002E3DE8">
      <w:pPr>
        <w:pStyle w:val="Voetnoottekst"/>
      </w:pPr>
      <w:r>
        <w:rPr>
          <w:rStyle w:val="Voetnootmarkering"/>
        </w:rPr>
        <w:footnoteRef/>
      </w:r>
      <w:r>
        <w:t xml:space="preserve"> </w:t>
      </w:r>
      <w:r>
        <w:t>Naar gelang de omstandigheden zijn andere beëindiginggrondslagen denkbaar, zoals het verlies van vergunning of change of control.</w:t>
      </w:r>
    </w:p>
  </w:footnote>
  <w:footnote w:id="47">
    <w:p w:rsidR="002E3DE8" w:rsidRDefault="002E3DE8">
      <w:pPr>
        <w:pStyle w:val="Voetnoottekst"/>
      </w:pPr>
      <w:r>
        <w:rPr>
          <w:rStyle w:val="Voetnootmarkering"/>
        </w:rPr>
        <w:footnoteRef/>
      </w:r>
      <w:r>
        <w:t xml:space="preserve"> </w:t>
      </w:r>
      <w:r>
        <w:t>Soms zal een Klant de mogelijkheid willen hebben van een "termination for convenience" en bereiken partijen daar overeenstemming over. Doorgaans wordt bepaald dat er een termination fee verschuldigd is, vaak gekoppeld aan de tijd dat het contract nog zou hebben geduurd zonder opzegging. Als termination fee wordt soms een vast bedrag ingevuld, maar vaak ook voorzien in een variabele vergoeding, die onder meer afhankelijk kan zijn van nog niet terugverdiende investeringen of gederfde winst.</w:t>
      </w:r>
    </w:p>
  </w:footnote>
  <w:footnote w:id="48">
    <w:p w:rsidR="002E3DE8" w:rsidRDefault="002E3DE8">
      <w:pPr>
        <w:pStyle w:val="Voetnoottekst"/>
      </w:pPr>
      <w:r>
        <w:rPr>
          <w:rStyle w:val="Voetnootmarkering"/>
        </w:rPr>
        <w:footnoteRef/>
      </w:r>
      <w:r>
        <w:t xml:space="preserve"> </w:t>
      </w:r>
      <w:r>
        <w:t>Partijen kunnen de toepasselijkheid van de Wet overgang onderneming niet uitsluiten. Wel kunnen partijen afspraken maken over handelingen/werkwijzen die de toepasselijkheid kunnen beïnvloeden, zoals bepalingen over in welke mate de betrokken medewerkers van Leverancier specifiek voor de Klant werken. Ook kunnen partijen bijvoorbeeld afspraken maken over de kosten die met overgang onderneming kunnen zijn gemoeid en welke partij welke kosten dient te dragen.</w:t>
      </w:r>
    </w:p>
  </w:footnote>
  <w:footnote w:id="49">
    <w:p w:rsidR="002E3DE8" w:rsidRDefault="002E3DE8">
      <w:pPr>
        <w:pStyle w:val="Voetnoottekst"/>
      </w:pPr>
      <w:r>
        <w:rPr>
          <w:rStyle w:val="Voetnootmarkering"/>
        </w:rPr>
        <w:footnoteRef/>
      </w:r>
      <w:r>
        <w:t xml:space="preserve"> </w:t>
      </w:r>
      <w:r>
        <w:t>Er kan ook worden voorzien in mediation. Indien wordt gekozen voor arbitrage is aan te raden om de standaardteksten van het betreffende arbitrage-instituut te hanteren. Onder meer het Nederlands Arbitrage Instituut en de Stichting Geschillenoplossing Automatisering hebben standaardteksten gepubliceerd die partijen kunnen hanteren als zij arbitrage door hun instituut overeenkomen.</w:t>
      </w:r>
    </w:p>
  </w:footnote>
  <w:footnote w:id="50">
    <w:p w:rsidR="002E3DE8" w:rsidRDefault="002E3DE8">
      <w:pPr>
        <w:pStyle w:val="Voetnoottekst"/>
      </w:pPr>
      <w:r>
        <w:rPr>
          <w:rStyle w:val="Voetnootmarkering"/>
        </w:rPr>
        <w:footnoteRef/>
      </w:r>
      <w:r>
        <w:t xml:space="preserve"> </w:t>
      </w:r>
      <w:r>
        <w:t>Soms wordt bepaald dat ook geen tijdelijk personeel mag worden ingehuurd zonder voorafgaande schriftelijke toestemming.</w:t>
      </w:r>
    </w:p>
  </w:footnote>
  <w:footnote w:id="51">
    <w:p w:rsidR="002E3DE8" w:rsidRDefault="002E3DE8">
      <w:pPr>
        <w:pStyle w:val="Voetnoottekst"/>
        <w:rPr>
          <w:sz w:val="24"/>
        </w:rPr>
      </w:pPr>
      <w:r>
        <w:rPr>
          <w:rStyle w:val="Voetnootmarkering"/>
        </w:rPr>
        <w:footnoteRef/>
      </w:r>
      <w:r>
        <w:t xml:space="preserve"> </w:t>
      </w:r>
      <w:r>
        <w:t>Een PDC wordt met name gebruikt bij commodity diensten en doet dienst als menukaart, waaruit een klant de gewenste producten en diensten kan selecteren. Doorgaans wordt bepaald dat de SLA de selectie uit de PDC bevat die Klant wenst af te nemen.</w:t>
      </w:r>
    </w:p>
    <w:p w:rsidR="002E3DE8" w:rsidRDefault="002E3DE8">
      <w:pPr>
        <w:pStyle w:val="Voetnoottekst"/>
      </w:pPr>
    </w:p>
  </w:footnote>
  <w:footnote w:id="52">
    <w:p w:rsidR="002E3DE8" w:rsidRDefault="002E3DE8">
      <w:pPr>
        <w:pStyle w:val="Voetnoottekst"/>
      </w:pPr>
      <w:r>
        <w:rPr>
          <w:rStyle w:val="Voetnootmarkering"/>
        </w:rPr>
        <w:footnoteRef/>
      </w:r>
      <w:r>
        <w:t xml:space="preserve"> </w:t>
      </w:r>
      <w:r>
        <w:t>Eventueel kan bepaald worden dat voor spoedgevallen een kortere reactietijd geldt.</w:t>
      </w:r>
    </w:p>
  </w:footnote>
  <w:footnote w:id="53">
    <w:p w:rsidR="002E3DE8" w:rsidRDefault="002E3DE8">
      <w:pPr>
        <w:pStyle w:val="Voetnoottekst"/>
      </w:pPr>
      <w:r>
        <w:rPr>
          <w:rStyle w:val="Voetnootmarkering"/>
        </w:rPr>
        <w:footnoteRef/>
      </w:r>
      <w:r>
        <w:t xml:space="preserve"> </w:t>
      </w:r>
      <w:r>
        <w:t>Partijen kunnen eventueel vooraf al vastleggen welke financiële gevolgen verbonden zijn aan bepaalde wijzigingsverzoeken of dat aan bepaalde wijzigingsverzoeken geen financiële gevolgen verbonden zullen zijn. Ook wordt soms een nadere onderbouwing van kosten verlangd, bijvoorbeeld als het uitgangspunt is dat bepaalde wijzigingen in de Overeenkomst zijn verdisconteerd en niet tot extra kosten zouden moeten leiden.</w:t>
      </w:r>
    </w:p>
  </w:footnote>
  <w:footnote w:id="54">
    <w:p w:rsidR="002E3DE8" w:rsidRDefault="002E3DE8">
      <w:pPr>
        <w:pStyle w:val="Voetnoottekst"/>
      </w:pPr>
      <w:r>
        <w:rPr>
          <w:rStyle w:val="Voetnootmarkering"/>
        </w:rPr>
        <w:footnoteRef/>
      </w:r>
      <w:r>
        <w:t xml:space="preserve"> </w:t>
      </w:r>
      <w:r>
        <w:t>De Overeenkomst kan nadere voorwaarden stellen aan de in te schakelen deskundige, bijv. dat deze geen concurrent mag zijn van Leverancier.</w:t>
      </w:r>
    </w:p>
  </w:footnote>
  <w:footnote w:id="55">
    <w:p w:rsidR="002E3DE8" w:rsidRDefault="002E3DE8">
      <w:pPr>
        <w:pStyle w:val="Voetnoottekst"/>
      </w:pPr>
      <w:r>
        <w:rPr>
          <w:rStyle w:val="Voetnootmarkering"/>
        </w:rPr>
        <w:footnoteRef/>
      </w:r>
      <w:r>
        <w:t xml:space="preserve"> </w:t>
      </w:r>
      <w:r>
        <w:t>NB: soms wordt het geleverde voorwaardelijke geaccepteerd, waarbij wordt afgesproken wanneer de gebreken verholpen dien te zijn.</w:t>
      </w:r>
    </w:p>
  </w:footnote>
  <w:footnote w:id="56">
    <w:p w:rsidR="002E3DE8" w:rsidRDefault="002E3DE8">
      <w:pPr>
        <w:pStyle w:val="Voetnoottekst"/>
      </w:pPr>
      <w:r>
        <w:rPr>
          <w:rStyle w:val="Voetnootmarkering"/>
        </w:rPr>
        <w:footnoteRef/>
      </w:r>
      <w:r>
        <w:t xml:space="preserve"> </w:t>
      </w:r>
      <w:r>
        <w:t>Soms wordt nader omschreven welke soort gebreken in ieder geval wel of niet als klein gebrek worden beschouwd. Zo wordt wel eens bepaald dat niet tot kleine gebreken wordt gerekend het ontbreken van overeengekomen rapportages en andere middelen die Klant in staat stellen haar financiële verplichtingen met betrekking van de geleverde Diensten te verifiëren. Het ontbreken van rapportages zal immers meestal de “bedrijfsmatige ingebruikname van de resultaten” niet blokkeren. Als je als klant dus dit criterium hanteert voor acceptatie loop je het risico dat zaken als (financiële) rapportages en overeengekomen governance modellen aan de aandacht ontsnappen.</w:t>
      </w:r>
    </w:p>
  </w:footnote>
  <w:footnote w:id="57">
    <w:p w:rsidR="002E3DE8" w:rsidRDefault="002E3DE8">
      <w:pPr>
        <w:pStyle w:val="Voetnoottekst"/>
      </w:pPr>
      <w:r>
        <w:rPr>
          <w:rStyle w:val="Voetnootmarkering"/>
        </w:rPr>
        <w:footnoteRef/>
      </w:r>
      <w:r>
        <w:t xml:space="preserve"> </w:t>
      </w:r>
      <w:r>
        <w:t>Binnen de werkgroep is opgemerkt dat regelmatig ook voorzien wordt in een "derde" kans voordat er mag worden ontbonden. In de praktijk wordt overigens niet zelden afgeweken van de contractuele consequenties van herhaald falen en biedt een klant zijn afnemer toch nog een extra herkansing.</w:t>
      </w:r>
    </w:p>
  </w:footnote>
  <w:footnote w:id="58">
    <w:p w:rsidR="002E3DE8" w:rsidRDefault="002E3DE8">
      <w:pPr>
        <w:pStyle w:val="Voetnoottekst"/>
      </w:pPr>
      <w:r>
        <w:rPr>
          <w:rStyle w:val="Voetnootmarkering"/>
        </w:rPr>
        <w:footnoteRef/>
      </w:r>
      <w:r>
        <w:t xml:space="preserve"> </w:t>
      </w:r>
      <w:r>
        <w:t>Partijen kunnen in de rest van de Overeenkomst zijn afgeweken van bepaalde bepalingen uit de Gedragscode. Ook al zou de Gedragscode lager in rangorde staan, is het in het algemeen toch te adviseren die afwijkingen nog eens expliciet te benoemen in deze Bijlage. Daarnaast zijn sommige bepalingen van de Gedragscode niet altijd toepasbaar of redelijk. In het kader van dit modelcontract zouden wij ons bijvoorbeeld de volgende afwijkingen kunnen voorstellen:</w:t>
      </w:r>
    </w:p>
    <w:p w:rsidR="002E3DE8" w:rsidRDefault="002E3DE8">
      <w:pPr>
        <w:autoSpaceDE w:val="0"/>
        <w:autoSpaceDN w:val="0"/>
        <w:adjustRightInd w:val="0"/>
        <w:spacing w:line="270" w:lineRule="exact"/>
        <w:rPr>
          <w:sz w:val="20"/>
          <w:szCs w:val="20"/>
        </w:rPr>
      </w:pPr>
    </w:p>
    <w:p w:rsidR="002E3DE8" w:rsidRDefault="002E3DE8">
      <w:pPr>
        <w:pStyle w:val="Voetnoottekst"/>
      </w:pPr>
      <w:r>
        <w:t>"In afwijking van de Gedragscode zijn partijen in ieder geval het volgende overeengekomen, onverminderd de rangordebepaling uit de Overeenkomst:</w:t>
      </w:r>
    </w:p>
    <w:p w:rsidR="002E3DE8" w:rsidRDefault="002E3DE8">
      <w:pPr>
        <w:pStyle w:val="Voetnoottekst"/>
      </w:pPr>
      <w:r>
        <w:t>-</w:t>
      </w:r>
      <w:r>
        <w:tab/>
        <w:t>Het bepaalde in art. 3.2 geldt niet voor zover daar in het exitplan van is afgeweken.</w:t>
      </w:r>
    </w:p>
    <w:p w:rsidR="002E3DE8" w:rsidRDefault="002E3DE8">
      <w:pPr>
        <w:pStyle w:val="Voetnoottekst"/>
      </w:pPr>
      <w:r>
        <w:t>-</w:t>
      </w:r>
      <w:r>
        <w:tab/>
        <w:t>De in art. 3.6 bedoelde overgang van kennis, documentatie en middelen vindt plaats met inachtneming van het bepaalde omtrent geheimhouding en intellectueel eigendomsrecht.</w:t>
      </w:r>
    </w:p>
    <w:p w:rsidR="002E3DE8" w:rsidRDefault="002E3DE8">
      <w:pPr>
        <w:pStyle w:val="Voetnoottekst"/>
      </w:pPr>
      <w:r>
        <w:t>-</w:t>
      </w:r>
      <w:r>
        <w:tab/>
        <w:t>Art. 3.7 is niet van toepassing.</w:t>
      </w:r>
    </w:p>
    <w:p w:rsidR="002E3DE8" w:rsidRDefault="002E3DE8">
      <w:pPr>
        <w:pStyle w:val="Voetnoottekst"/>
      </w:pPr>
      <w:r>
        <w:t>-</w:t>
      </w:r>
      <w:r>
        <w:tab/>
        <w:t>Art. 3.8 is niet van toepassing.</w:t>
      </w:r>
    </w:p>
    <w:p w:rsidR="002E3DE8" w:rsidRDefault="002E3DE8">
      <w:pPr>
        <w:pStyle w:val="Voetnoottekst"/>
      </w:pPr>
      <w:r>
        <w:t>-</w:t>
      </w:r>
      <w:r>
        <w:tab/>
        <w:t>In afwijking van art. 3.12 (e) worden de in dat artikel bedoelde documenten wel overgedragen voor zover zij betrekking hebben op maatwerk specifiek ontwikkeld voor de dienstverlening aan Klant."</w:t>
      </w:r>
    </w:p>
  </w:footnote>
  <w:footnote w:id="59">
    <w:p w:rsidR="002E3DE8" w:rsidRDefault="002E3DE8">
      <w:pPr>
        <w:pStyle w:val="Voetnoottekst"/>
      </w:pPr>
      <w:r>
        <w:rPr>
          <w:rStyle w:val="Voetnootmarkering"/>
        </w:rPr>
        <w:footnoteRef/>
      </w:r>
      <w:r>
        <w:t xml:space="preserve"> </w:t>
      </w:r>
      <w:r>
        <w:t>Deze bijlage bevat een voorbeeld voor een overlegstructuur. Veel ondernemingen hanteren hun eigen model.</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AC258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E74F7D"/>
    <w:multiLevelType w:val="multilevel"/>
    <w:tmpl w:val="C722E566"/>
    <w:name w:val="lovell"/>
    <w:lvl w:ilvl="0">
      <w:start w:val="1"/>
      <w:numFmt w:val="decimal"/>
      <w:lvlText w:val="%1."/>
      <w:lvlJc w:val="left"/>
      <w:pPr>
        <w:tabs>
          <w:tab w:val="num" w:pos="709"/>
        </w:tabs>
        <w:ind w:left="709" w:hanging="709"/>
      </w:pPr>
      <w:rPr>
        <w:rFonts w:ascii="Arial" w:hAnsi="Arial" w:cs="Arial" w:hint="default"/>
        <w:b w:val="0"/>
      </w:rPr>
    </w:lvl>
    <w:lvl w:ilvl="1">
      <w:start w:val="1"/>
      <w:numFmt w:val="none"/>
      <w:isLgl/>
      <w:lvlText w:val="(a)"/>
      <w:lvlJc w:val="left"/>
      <w:pPr>
        <w:tabs>
          <w:tab w:val="num" w:pos="1418"/>
        </w:tabs>
        <w:ind w:left="1418"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Sourcingcontractlevel3"/>
      <w:lvlText w:val="(%4)"/>
      <w:lvlJc w:val="left"/>
      <w:pPr>
        <w:tabs>
          <w:tab w:val="num" w:pos="1418"/>
        </w:tabs>
        <w:ind w:left="2126" w:hanging="1417"/>
      </w:pPr>
      <w:rPr>
        <w:rFonts w:ascii="Arial" w:hAnsi="Arial" w:cs="Arial" w:hint="default"/>
        <w:b w:val="0"/>
      </w:rPr>
    </w:lvl>
    <w:lvl w:ilvl="4">
      <w:start w:val="1"/>
      <w:numFmt w:val="decimal"/>
      <w:pStyle w:val="Plattetekst2"/>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1F75040B"/>
    <w:multiLevelType w:val="multilevel"/>
    <w:tmpl w:val="4EEE76F4"/>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decimal"/>
      <w:lvlText w:val="%1.%2.%3.%4."/>
      <w:lvlJc w:val="left"/>
      <w:pPr>
        <w:tabs>
          <w:tab w:val="num" w:pos="1429"/>
        </w:tabs>
        <w:ind w:left="1429" w:hanging="720"/>
      </w:pPr>
      <w:rPr>
        <w:rFonts w:hint="default"/>
      </w:rPr>
    </w:lvl>
    <w:lvl w:ilvl="4">
      <w:start w:val="1"/>
      <w:numFmt w:val="decimal"/>
      <w:lvlText w:val="%1.%2.%3.%4.%5."/>
      <w:lvlJc w:val="left"/>
      <w:pPr>
        <w:tabs>
          <w:tab w:val="num" w:pos="1789"/>
        </w:tabs>
        <w:ind w:left="1789" w:hanging="1080"/>
      </w:pPr>
      <w:rPr>
        <w:rFonts w:hint="default"/>
      </w:rPr>
    </w:lvl>
    <w:lvl w:ilvl="5">
      <w:start w:val="1"/>
      <w:numFmt w:val="decimal"/>
      <w:lvlText w:val="%1.%2.%3.%4.%5.%6."/>
      <w:lvlJc w:val="left"/>
      <w:pPr>
        <w:tabs>
          <w:tab w:val="num" w:pos="1789"/>
        </w:tabs>
        <w:ind w:left="1789" w:hanging="1080"/>
      </w:pPr>
      <w:rPr>
        <w:rFonts w:hint="default"/>
      </w:rPr>
    </w:lvl>
    <w:lvl w:ilvl="6">
      <w:start w:val="1"/>
      <w:numFmt w:val="decimal"/>
      <w:lvlText w:val="%1.%2.%3.%4.%5.%6.%7."/>
      <w:lvlJc w:val="left"/>
      <w:pPr>
        <w:tabs>
          <w:tab w:val="num" w:pos="2149"/>
        </w:tabs>
        <w:ind w:left="2149" w:hanging="1440"/>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509"/>
        </w:tabs>
        <w:ind w:left="2509" w:hanging="1800"/>
      </w:pPr>
      <w:rPr>
        <w:rFonts w:hint="default"/>
      </w:rPr>
    </w:lvl>
  </w:abstractNum>
  <w:abstractNum w:abstractNumId="3">
    <w:nsid w:val="26A06F74"/>
    <w:multiLevelType w:val="hybridMultilevel"/>
    <w:tmpl w:val="EE90A434"/>
    <w:lvl w:ilvl="0" w:tplc="BCDCF184">
      <w:start w:val="1"/>
      <w:numFmt w:val="decimal"/>
      <w:lvlText w:val="%1."/>
      <w:lvlJc w:val="left"/>
      <w:pPr>
        <w:tabs>
          <w:tab w:val="num" w:pos="709"/>
        </w:tabs>
        <w:ind w:left="709" w:hanging="709"/>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2763358A"/>
    <w:multiLevelType w:val="hybridMultilevel"/>
    <w:tmpl w:val="6CBAA5CE"/>
    <w:lvl w:ilvl="0" w:tplc="1B04B7B0">
      <w:start w:val="1"/>
      <w:numFmt w:val="bullet"/>
      <w:lvlText w:val=""/>
      <w:lvlJc w:val="left"/>
      <w:pPr>
        <w:tabs>
          <w:tab w:val="num" w:pos="709"/>
        </w:tabs>
        <w:ind w:left="709" w:hanging="709"/>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7EA6D62"/>
    <w:multiLevelType w:val="hybridMultilevel"/>
    <w:tmpl w:val="1F2053FE"/>
    <w:lvl w:ilvl="0" w:tplc="1B04B7B0">
      <w:start w:val="1"/>
      <w:numFmt w:val="bullet"/>
      <w:lvlText w:val=""/>
      <w:lvlJc w:val="left"/>
      <w:pPr>
        <w:tabs>
          <w:tab w:val="num" w:pos="709"/>
        </w:tabs>
        <w:ind w:left="709" w:hanging="709"/>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2A0076D1"/>
    <w:multiLevelType w:val="singleLevel"/>
    <w:tmpl w:val="D004BC04"/>
    <w:lvl w:ilvl="0">
      <w:start w:val="1"/>
      <w:numFmt w:val="decimal"/>
      <w:lvlText w:val="%1."/>
      <w:lvlJc w:val="left"/>
      <w:pPr>
        <w:tabs>
          <w:tab w:val="num" w:pos="567"/>
        </w:tabs>
        <w:ind w:left="567" w:hanging="567"/>
      </w:pPr>
    </w:lvl>
  </w:abstractNum>
  <w:abstractNum w:abstractNumId="7">
    <w:nsid w:val="378A63CC"/>
    <w:multiLevelType w:val="hybridMultilevel"/>
    <w:tmpl w:val="0EC4C96A"/>
    <w:lvl w:ilvl="0" w:tplc="34A2954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49A04AB5"/>
    <w:multiLevelType w:val="multilevel"/>
    <w:tmpl w:val="16F61AD4"/>
    <w:lvl w:ilvl="0">
      <w:start w:val="1"/>
      <w:numFmt w:val="decimal"/>
      <w:pStyle w:val="Kop6"/>
      <w:lvlText w:val="Bijlage %1:"/>
      <w:lvlJc w:val="left"/>
      <w:pPr>
        <w:tabs>
          <w:tab w:val="num" w:pos="1559"/>
        </w:tabs>
        <w:ind w:left="1559" w:hanging="1559"/>
      </w:pPr>
      <w:rPr>
        <w:rFonts w:ascii="Times New Roman" w:hAnsi="Times New Roman" w:hint="default"/>
        <w:b/>
        <w:i w:val="0"/>
        <w:sz w:val="20"/>
      </w:rPr>
    </w:lvl>
    <w:lvl w:ilvl="1">
      <w:start w:val="1"/>
      <w:numFmt w:val="decimal"/>
      <w:lvlText w:val="%1.%2."/>
      <w:lvlJc w:val="left"/>
      <w:pPr>
        <w:tabs>
          <w:tab w:val="num" w:pos="709"/>
        </w:tabs>
        <w:ind w:left="709" w:hanging="709"/>
      </w:pPr>
      <w:rPr>
        <w:rFonts w:ascii="Arial" w:hAnsi="Arial" w:cs="Times New Roman" w:hint="default"/>
        <w:sz w:val="21"/>
      </w:rPr>
    </w:lvl>
    <w:lvl w:ilvl="2">
      <w:start w:val="1"/>
      <w:numFmt w:val="lowerLetter"/>
      <w:lvlText w:val="(%3)"/>
      <w:lvlJc w:val="left"/>
      <w:pPr>
        <w:tabs>
          <w:tab w:val="num" w:pos="1418"/>
        </w:tabs>
        <w:ind w:left="1418" w:hanging="709"/>
      </w:pPr>
      <w:rPr>
        <w:rFonts w:ascii="Arial" w:hAnsi="Arial" w:cs="Times New Roman" w:hint="default"/>
      </w:rPr>
    </w:lvl>
    <w:lvl w:ilvl="3">
      <w:start w:val="1"/>
      <w:numFmt w:val="lowerRoman"/>
      <w:lvlText w:val="(%4)"/>
      <w:lvlJc w:val="left"/>
      <w:pPr>
        <w:tabs>
          <w:tab w:val="num" w:pos="0"/>
        </w:tabs>
        <w:ind w:left="2126" w:hanging="708"/>
      </w:pPr>
      <w:rPr>
        <w:rFonts w:ascii="Times New Roman" w:hAnsi="Times New Roman" w:cs="Times New Roman" w:hint="default"/>
      </w:rPr>
    </w:lvl>
    <w:lvl w:ilvl="4">
      <w:start w:val="1"/>
      <w:numFmt w:val="lowerLetter"/>
      <w:lvlText w:val="(%5)"/>
      <w:lvlJc w:val="left"/>
      <w:pPr>
        <w:tabs>
          <w:tab w:val="num" w:pos="0"/>
        </w:tabs>
        <w:ind w:left="1800" w:hanging="360"/>
      </w:pPr>
      <w:rPr>
        <w:rFonts w:ascii="Times New Roman" w:hAnsi="Times New Roman" w:cs="Times New Roman" w:hint="default"/>
      </w:rPr>
    </w:lvl>
    <w:lvl w:ilvl="5">
      <w:start w:val="1"/>
      <w:numFmt w:val="lowerRoman"/>
      <w:lvlText w:val="(%6)"/>
      <w:lvlJc w:val="left"/>
      <w:pPr>
        <w:tabs>
          <w:tab w:val="num" w:pos="0"/>
        </w:tabs>
        <w:ind w:left="2160" w:hanging="360"/>
      </w:pPr>
      <w:rPr>
        <w:rFonts w:ascii="Times New Roman" w:hAnsi="Times New Roman" w:cs="Times New Roman" w:hint="default"/>
      </w:rPr>
    </w:lvl>
    <w:lvl w:ilvl="6">
      <w:start w:val="1"/>
      <w:numFmt w:val="decimal"/>
      <w:lvlText w:val="%7."/>
      <w:lvlJc w:val="left"/>
      <w:pPr>
        <w:tabs>
          <w:tab w:val="num" w:pos="0"/>
        </w:tabs>
        <w:ind w:left="2520" w:hanging="360"/>
      </w:pPr>
      <w:rPr>
        <w:rFonts w:ascii="Times New Roman" w:hAnsi="Times New Roman" w:cs="Times New Roman" w:hint="default"/>
      </w:rPr>
    </w:lvl>
    <w:lvl w:ilvl="7">
      <w:start w:val="1"/>
      <w:numFmt w:val="lowerLetter"/>
      <w:lvlText w:val="%8."/>
      <w:lvlJc w:val="left"/>
      <w:pPr>
        <w:tabs>
          <w:tab w:val="num" w:pos="0"/>
        </w:tabs>
        <w:ind w:left="2880" w:hanging="360"/>
      </w:pPr>
      <w:rPr>
        <w:rFonts w:ascii="Times New Roman" w:hAnsi="Times New Roman" w:cs="Times New Roman" w:hint="default"/>
      </w:rPr>
    </w:lvl>
    <w:lvl w:ilvl="8">
      <w:start w:val="1"/>
      <w:numFmt w:val="lowerRoman"/>
      <w:lvlText w:val="%9."/>
      <w:lvlJc w:val="left"/>
      <w:pPr>
        <w:tabs>
          <w:tab w:val="num" w:pos="0"/>
        </w:tabs>
        <w:ind w:left="3240" w:hanging="360"/>
      </w:pPr>
      <w:rPr>
        <w:rFonts w:ascii="Times New Roman" w:hAnsi="Times New Roman" w:cs="Times New Roman" w:hint="default"/>
      </w:rPr>
    </w:lvl>
  </w:abstractNum>
  <w:abstractNum w:abstractNumId="9">
    <w:nsid w:val="49A156A4"/>
    <w:multiLevelType w:val="hybridMultilevel"/>
    <w:tmpl w:val="81F2A8B0"/>
    <w:lvl w:ilvl="0" w:tplc="34A2954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4CA343AB"/>
    <w:multiLevelType w:val="hybridMultilevel"/>
    <w:tmpl w:val="8D8464BE"/>
    <w:lvl w:ilvl="0" w:tplc="1B04B7B0">
      <w:start w:val="1"/>
      <w:numFmt w:val="bullet"/>
      <w:lvlText w:val=""/>
      <w:lvlJc w:val="left"/>
      <w:pPr>
        <w:tabs>
          <w:tab w:val="num" w:pos="709"/>
        </w:tabs>
        <w:ind w:left="709" w:hanging="709"/>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5253020D"/>
    <w:multiLevelType w:val="hybridMultilevel"/>
    <w:tmpl w:val="BE98814A"/>
    <w:lvl w:ilvl="0" w:tplc="FD60E35A">
      <w:start w:val="1"/>
      <w:numFmt w:val="decimal"/>
      <w:lvlText w:val="%1."/>
      <w:lvlJc w:val="left"/>
      <w:pPr>
        <w:tabs>
          <w:tab w:val="num" w:pos="709"/>
        </w:tabs>
        <w:ind w:left="709" w:hanging="709"/>
      </w:pPr>
      <w:rPr>
        <w:rFonts w:ascii="Times New Roman" w:hAnsi="Times New Roman" w:hint="default"/>
        <w:b w:val="0"/>
        <w:i w:val="0"/>
        <w:sz w:val="24"/>
      </w:rPr>
    </w:lvl>
    <w:lvl w:ilvl="1" w:tplc="04130019">
      <w:start w:val="1"/>
      <w:numFmt w:val="lowerLetter"/>
      <w:lvlText w:val="%2."/>
      <w:lvlJc w:val="left"/>
      <w:pPr>
        <w:tabs>
          <w:tab w:val="num" w:pos="1440"/>
        </w:tabs>
        <w:ind w:left="1440" w:hanging="360"/>
      </w:pPr>
    </w:lvl>
    <w:lvl w:ilvl="2" w:tplc="86A03AB2">
      <w:start w:val="1"/>
      <w:numFmt w:val="upperRoman"/>
      <w:lvlText w:val="%3."/>
      <w:lvlJc w:val="left"/>
      <w:pPr>
        <w:tabs>
          <w:tab w:val="num" w:pos="2700"/>
        </w:tabs>
        <w:ind w:left="2700" w:hanging="72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626F1613"/>
    <w:multiLevelType w:val="hybridMultilevel"/>
    <w:tmpl w:val="2B5A5F96"/>
    <w:lvl w:ilvl="0" w:tplc="1B04B7B0">
      <w:start w:val="1"/>
      <w:numFmt w:val="bullet"/>
      <w:lvlText w:val=""/>
      <w:lvlJc w:val="left"/>
      <w:pPr>
        <w:tabs>
          <w:tab w:val="num" w:pos="709"/>
        </w:tabs>
        <w:ind w:left="709" w:hanging="709"/>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6A116E18"/>
    <w:multiLevelType w:val="multilevel"/>
    <w:tmpl w:val="E612EDF0"/>
    <w:lvl w:ilvl="0">
      <w:start w:val="1"/>
      <w:numFmt w:val="decimal"/>
      <w:pStyle w:val="Sourcingcontractlevel1"/>
      <w:lvlText w:val="%1."/>
      <w:lvlJc w:val="left"/>
      <w:pPr>
        <w:tabs>
          <w:tab w:val="num" w:pos="709"/>
        </w:tabs>
        <w:ind w:left="709" w:hanging="709"/>
      </w:pPr>
      <w:rPr>
        <w:rFonts w:ascii="Times New Roman" w:hAnsi="Times New Roman" w:cs="Times New Roman" w:hint="default"/>
        <w:b w:val="0"/>
        <w:i w:val="0"/>
        <w:sz w:val="24"/>
      </w:rPr>
    </w:lvl>
    <w:lvl w:ilvl="1">
      <w:start w:val="1"/>
      <w:numFmt w:val="decimal"/>
      <w:pStyle w:val="Sourcingcontractlevel2"/>
      <w:lvlText w:val="%1.%2."/>
      <w:lvlJc w:val="left"/>
      <w:pPr>
        <w:tabs>
          <w:tab w:val="num" w:pos="709"/>
        </w:tabs>
        <w:ind w:left="709" w:hanging="709"/>
      </w:pPr>
      <w:rPr>
        <w:rFonts w:ascii="Times New Roman" w:hAnsi="Times New Roman" w:cs="Times New Roman" w:hint="default"/>
        <w:b w:val="0"/>
        <w:i w:val="0"/>
        <w:strike w:val="0"/>
        <w:dstrike w:val="0"/>
        <w:sz w:val="24"/>
      </w:rPr>
    </w:lvl>
    <w:lvl w:ilvl="2">
      <w:start w:val="1"/>
      <w:numFmt w:val="lowerLetter"/>
      <w:pStyle w:val="Sourcingcontractpagnr"/>
      <w:lvlText w:val="(%3)"/>
      <w:lvlJc w:val="left"/>
      <w:pPr>
        <w:tabs>
          <w:tab w:val="num" w:pos="709"/>
        </w:tabs>
        <w:ind w:left="709" w:hanging="709"/>
      </w:pPr>
      <w:rPr>
        <w:rFonts w:ascii="Times New Roman" w:hAnsi="Times New Roman" w:cs="Times New Roman" w:hint="default"/>
        <w:b w:val="0"/>
        <w:i w:val="0"/>
        <w:sz w:val="24"/>
      </w:rPr>
    </w:lvl>
    <w:lvl w:ilvl="3">
      <w:start w:val="1"/>
      <w:numFmt w:val="lowerRoman"/>
      <w:lvlText w:val="(%4)"/>
      <w:lvlJc w:val="left"/>
      <w:pPr>
        <w:tabs>
          <w:tab w:val="num" w:pos="2126"/>
        </w:tabs>
        <w:ind w:left="2126" w:hanging="708"/>
      </w:pPr>
      <w:rPr>
        <w:rFonts w:ascii="Times New Roman" w:hAnsi="Times New Roman" w:cs="Times New Roman" w:hint="default"/>
        <w:b w:val="0"/>
        <w:i w:val="0"/>
        <w:sz w:val="24"/>
      </w:rPr>
    </w:lvl>
    <w:lvl w:ilvl="4">
      <w:start w:val="1"/>
      <w:numFmt w:val="lowerLetter"/>
      <w:lvlText w:val="(%5)"/>
      <w:lvlJc w:val="left"/>
      <w:pPr>
        <w:tabs>
          <w:tab w:val="num" w:pos="0"/>
        </w:tabs>
        <w:ind w:left="1800" w:hanging="360"/>
      </w:pPr>
      <w:rPr>
        <w:rFonts w:ascii="Times New Roman" w:hAnsi="Times New Roman" w:cs="Times New Roman" w:hint="default"/>
      </w:rPr>
    </w:lvl>
    <w:lvl w:ilvl="5">
      <w:start w:val="1"/>
      <w:numFmt w:val="lowerRoman"/>
      <w:lvlText w:val="(%6)"/>
      <w:lvlJc w:val="left"/>
      <w:pPr>
        <w:tabs>
          <w:tab w:val="num" w:pos="0"/>
        </w:tabs>
        <w:ind w:left="2160" w:hanging="360"/>
      </w:pPr>
      <w:rPr>
        <w:rFonts w:ascii="Times New Roman" w:hAnsi="Times New Roman" w:cs="Times New Roman" w:hint="default"/>
      </w:rPr>
    </w:lvl>
    <w:lvl w:ilvl="6">
      <w:start w:val="1"/>
      <w:numFmt w:val="decimal"/>
      <w:lvlText w:val="%7."/>
      <w:lvlJc w:val="left"/>
      <w:pPr>
        <w:tabs>
          <w:tab w:val="num" w:pos="0"/>
        </w:tabs>
        <w:ind w:left="2520" w:hanging="360"/>
      </w:pPr>
      <w:rPr>
        <w:rFonts w:ascii="Times New Roman" w:hAnsi="Times New Roman" w:cs="Times New Roman" w:hint="default"/>
      </w:rPr>
    </w:lvl>
    <w:lvl w:ilvl="7">
      <w:start w:val="1"/>
      <w:numFmt w:val="lowerLetter"/>
      <w:lvlText w:val="%8."/>
      <w:lvlJc w:val="left"/>
      <w:pPr>
        <w:tabs>
          <w:tab w:val="num" w:pos="0"/>
        </w:tabs>
        <w:ind w:left="2880" w:hanging="360"/>
      </w:pPr>
      <w:rPr>
        <w:rFonts w:ascii="Times New Roman" w:hAnsi="Times New Roman" w:cs="Times New Roman" w:hint="default"/>
      </w:rPr>
    </w:lvl>
    <w:lvl w:ilvl="8">
      <w:start w:val="1"/>
      <w:numFmt w:val="lowerRoman"/>
      <w:lvlText w:val="%9."/>
      <w:lvlJc w:val="left"/>
      <w:pPr>
        <w:tabs>
          <w:tab w:val="num" w:pos="0"/>
        </w:tabs>
        <w:ind w:left="3240" w:hanging="360"/>
      </w:pPr>
      <w:rPr>
        <w:rFonts w:ascii="Times New Roman" w:hAnsi="Times New Roman" w:cs="Times New Roman" w:hint="default"/>
      </w:rPr>
    </w:lvl>
  </w:abstractNum>
  <w:abstractNum w:abstractNumId="14">
    <w:nsid w:val="7311242F"/>
    <w:multiLevelType w:val="multilevel"/>
    <w:tmpl w:val="CEB48B92"/>
    <w:lvl w:ilvl="0">
      <w:start w:val="1"/>
      <w:numFmt w:val="upperRoman"/>
      <w:lvlText w:val="%1."/>
      <w:lvlJc w:val="left"/>
      <w:pPr>
        <w:tabs>
          <w:tab w:val="num" w:pos="709"/>
        </w:tabs>
        <w:ind w:left="709" w:hanging="709"/>
      </w:pPr>
      <w:rPr>
        <w:rFonts w:hint="default"/>
        <w:b w:val="0"/>
        <w:i w:val="0"/>
      </w:rPr>
    </w:lvl>
    <w:lvl w:ilvl="1">
      <w:start w:val="1"/>
      <w:numFmt w:val="decimal"/>
      <w:lvlRestart w:val="0"/>
      <w:lvlText w:val="%2."/>
      <w:lvlJc w:val="left"/>
      <w:pPr>
        <w:tabs>
          <w:tab w:val="num" w:pos="709"/>
        </w:tabs>
        <w:ind w:left="709" w:hanging="709"/>
      </w:pPr>
      <w:rPr>
        <w:rFonts w:ascii="Arial" w:hAnsi="Arial" w:hint="default"/>
        <w:sz w:val="21"/>
      </w:rPr>
    </w:lvl>
    <w:lvl w:ilvl="2">
      <w:start w:val="1"/>
      <w:numFmt w:val="upperRoman"/>
      <w:lvlText w:val="%3."/>
      <w:lvlJc w:val="left"/>
      <w:pPr>
        <w:tabs>
          <w:tab w:val="num" w:pos="709"/>
        </w:tabs>
        <w:ind w:left="709" w:hanging="709"/>
      </w:pPr>
      <w:rPr>
        <w:rFonts w:ascii="Times New Roman" w:hAnsi="Times New Roman" w:hint="default"/>
        <w:b/>
        <w:i w:val="0"/>
      </w:rPr>
    </w:lvl>
    <w:lvl w:ilvl="3">
      <w:start w:val="1"/>
      <w:numFmt w:val="none"/>
      <w:lvlText w:val="(a)"/>
      <w:lvlJc w:val="left"/>
      <w:pPr>
        <w:tabs>
          <w:tab w:val="num" w:pos="1778"/>
        </w:tabs>
        <w:ind w:left="1728" w:hanging="31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50506D5"/>
    <w:multiLevelType w:val="multilevel"/>
    <w:tmpl w:val="89002E52"/>
    <w:lvl w:ilvl="0">
      <w:start w:val="1"/>
      <w:numFmt w:val="decimal"/>
      <w:pStyle w:val="Kop4"/>
      <w:lvlText w:val="Bijlage %1:"/>
      <w:lvlJc w:val="left"/>
      <w:pPr>
        <w:tabs>
          <w:tab w:val="num" w:pos="1559"/>
        </w:tabs>
        <w:ind w:left="1559" w:hanging="1559"/>
      </w:pPr>
      <w:rPr>
        <w:rFonts w:ascii="Arial" w:hAnsi="Arial" w:hint="default"/>
        <w:b/>
        <w:i w:val="0"/>
        <w:sz w:val="21"/>
      </w:rPr>
    </w:lvl>
    <w:lvl w:ilvl="1">
      <w:start w:val="1"/>
      <w:numFmt w:val="decimal"/>
      <w:lvlText w:val="%1.%2."/>
      <w:lvlJc w:val="left"/>
      <w:pPr>
        <w:tabs>
          <w:tab w:val="num" w:pos="709"/>
        </w:tabs>
        <w:ind w:left="709" w:hanging="709"/>
      </w:pPr>
      <w:rPr>
        <w:rFonts w:ascii="Arial" w:hAnsi="Arial" w:cs="Times New Roman" w:hint="default"/>
        <w:sz w:val="21"/>
      </w:rPr>
    </w:lvl>
    <w:lvl w:ilvl="2">
      <w:start w:val="1"/>
      <w:numFmt w:val="lowerLetter"/>
      <w:lvlText w:val="(%3)"/>
      <w:lvlJc w:val="left"/>
      <w:pPr>
        <w:tabs>
          <w:tab w:val="num" w:pos="1418"/>
        </w:tabs>
        <w:ind w:left="1418" w:hanging="709"/>
      </w:pPr>
      <w:rPr>
        <w:rFonts w:ascii="Arial" w:hAnsi="Arial" w:cs="Times New Roman" w:hint="default"/>
      </w:rPr>
    </w:lvl>
    <w:lvl w:ilvl="3">
      <w:start w:val="1"/>
      <w:numFmt w:val="lowerRoman"/>
      <w:lvlText w:val="(%4)"/>
      <w:lvlJc w:val="left"/>
      <w:pPr>
        <w:tabs>
          <w:tab w:val="num" w:pos="0"/>
        </w:tabs>
        <w:ind w:left="2126" w:hanging="708"/>
      </w:pPr>
      <w:rPr>
        <w:rFonts w:ascii="Times New Roman" w:hAnsi="Times New Roman" w:cs="Times New Roman" w:hint="default"/>
      </w:rPr>
    </w:lvl>
    <w:lvl w:ilvl="4">
      <w:start w:val="1"/>
      <w:numFmt w:val="lowerLetter"/>
      <w:lvlText w:val="(%5)"/>
      <w:lvlJc w:val="left"/>
      <w:pPr>
        <w:tabs>
          <w:tab w:val="num" w:pos="0"/>
        </w:tabs>
        <w:ind w:left="1800" w:hanging="360"/>
      </w:pPr>
      <w:rPr>
        <w:rFonts w:ascii="Times New Roman" w:hAnsi="Times New Roman" w:cs="Times New Roman" w:hint="default"/>
      </w:rPr>
    </w:lvl>
    <w:lvl w:ilvl="5">
      <w:start w:val="1"/>
      <w:numFmt w:val="lowerRoman"/>
      <w:lvlText w:val="(%6)"/>
      <w:lvlJc w:val="left"/>
      <w:pPr>
        <w:tabs>
          <w:tab w:val="num" w:pos="0"/>
        </w:tabs>
        <w:ind w:left="2160" w:hanging="360"/>
      </w:pPr>
      <w:rPr>
        <w:rFonts w:ascii="Times New Roman" w:hAnsi="Times New Roman" w:cs="Times New Roman" w:hint="default"/>
      </w:rPr>
    </w:lvl>
    <w:lvl w:ilvl="6">
      <w:start w:val="1"/>
      <w:numFmt w:val="decimal"/>
      <w:lvlText w:val="%7."/>
      <w:lvlJc w:val="left"/>
      <w:pPr>
        <w:tabs>
          <w:tab w:val="num" w:pos="0"/>
        </w:tabs>
        <w:ind w:left="2520" w:hanging="360"/>
      </w:pPr>
      <w:rPr>
        <w:rFonts w:ascii="Times New Roman" w:hAnsi="Times New Roman" w:cs="Times New Roman" w:hint="default"/>
      </w:rPr>
    </w:lvl>
    <w:lvl w:ilvl="7">
      <w:start w:val="1"/>
      <w:numFmt w:val="lowerLetter"/>
      <w:lvlText w:val="%8."/>
      <w:lvlJc w:val="left"/>
      <w:pPr>
        <w:tabs>
          <w:tab w:val="num" w:pos="0"/>
        </w:tabs>
        <w:ind w:left="2880" w:hanging="360"/>
      </w:pPr>
      <w:rPr>
        <w:rFonts w:ascii="Times New Roman" w:hAnsi="Times New Roman" w:cs="Times New Roman" w:hint="default"/>
      </w:rPr>
    </w:lvl>
    <w:lvl w:ilvl="8">
      <w:start w:val="1"/>
      <w:numFmt w:val="lowerRoman"/>
      <w:lvlText w:val="%9."/>
      <w:lvlJc w:val="left"/>
      <w:pPr>
        <w:tabs>
          <w:tab w:val="num" w:pos="0"/>
        </w:tabs>
        <w:ind w:left="3240" w:hanging="360"/>
      </w:pPr>
      <w:rPr>
        <w:rFonts w:ascii="Times New Roman" w:hAnsi="Times New Roman" w:cs="Times New Roman" w:hint="default"/>
      </w:rPr>
    </w:lvl>
  </w:abstractNum>
  <w:abstractNum w:abstractNumId="16">
    <w:nsid w:val="76364A78"/>
    <w:multiLevelType w:val="hybridMultilevel"/>
    <w:tmpl w:val="29060E44"/>
    <w:lvl w:ilvl="0" w:tplc="F08017B4">
      <w:start w:val="1"/>
      <w:numFmt w:val="upperLetter"/>
      <w:lvlText w:val="(%1)"/>
      <w:lvlJc w:val="left"/>
      <w:pPr>
        <w:tabs>
          <w:tab w:val="num" w:pos="709"/>
        </w:tabs>
        <w:ind w:left="709" w:hanging="709"/>
      </w:pPr>
      <w:rPr>
        <w:rFonts w:ascii="Times New Roman" w:hAnsi="Times New Roman" w:cs="Times New Roman" w:hint="default"/>
        <w:sz w:val="21"/>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num w:numId="1">
    <w:abstractNumId w:val="8"/>
  </w:num>
  <w:num w:numId="2">
    <w:abstractNumId w:val="11"/>
  </w:num>
  <w:num w:numId="3">
    <w:abstractNumId w:val="16"/>
  </w:num>
  <w:num w:numId="4">
    <w:abstractNumId w:val="3"/>
  </w:num>
  <w:num w:numId="5">
    <w:abstractNumId w:val="6"/>
  </w:num>
  <w:num w:numId="6">
    <w:abstractNumId w:val="1"/>
  </w:num>
  <w:num w:numId="7">
    <w:abstractNumId w:val="2"/>
  </w:num>
  <w:num w:numId="8">
    <w:abstractNumId w:val="15"/>
  </w:num>
  <w:num w:numId="9">
    <w:abstractNumId w:val="13"/>
  </w:num>
  <w:num w:numId="10">
    <w:abstractNumId w:val="14"/>
  </w:num>
  <w:num w:numId="11">
    <w:abstractNumId w:val="13"/>
  </w:num>
  <w:num w:numId="12">
    <w:abstractNumId w:val="9"/>
  </w:num>
  <w:num w:numId="13">
    <w:abstractNumId w:val="7"/>
  </w:num>
  <w:num w:numId="14">
    <w:abstractNumId w:val="12"/>
  </w:num>
  <w:num w:numId="15">
    <w:abstractNumId w:val="10"/>
  </w:num>
  <w:num w:numId="16">
    <w:abstractNumId w:val="4"/>
  </w:num>
  <w:num w:numId="17">
    <w:abstractNumId w:val="5"/>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E87"/>
    <w:rsid w:val="002E3DE8"/>
    <w:rsid w:val="00313FB0"/>
    <w:rsid w:val="007906B8"/>
    <w:rsid w:val="007E1CA5"/>
    <w:rsid w:val="00A709C9"/>
    <w:rsid w:val="00BB7A21"/>
    <w:rsid w:val="00BC7E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al">
    <w:name w:val="Normal"/>
    <w:qFormat/>
    <w:rPr>
      <w:sz w:val="24"/>
      <w:szCs w:val="24"/>
    </w:rPr>
  </w:style>
  <w:style w:type="paragraph" w:styleId="Kop1">
    <w:name w:val="heading 1"/>
    <w:basedOn w:val="Normaal"/>
    <w:next w:val="Normaal"/>
    <w:qFormat/>
    <w:pPr>
      <w:keepNext/>
      <w:spacing w:before="480" w:after="480"/>
      <w:outlineLvl w:val="0"/>
    </w:pPr>
    <w:rPr>
      <w:rFonts w:ascii="Arial" w:hAnsi="Arial" w:cs="Arial"/>
      <w:b/>
      <w:sz w:val="21"/>
    </w:rPr>
  </w:style>
  <w:style w:type="paragraph" w:styleId="Kop2">
    <w:name w:val="heading 2"/>
    <w:basedOn w:val="Normaal"/>
    <w:next w:val="Normaal"/>
    <w:qFormat/>
    <w:pPr>
      <w:keepNext/>
      <w:outlineLvl w:val="1"/>
    </w:pPr>
    <w:rPr>
      <w:rFonts w:ascii="Arial" w:hAnsi="Arial" w:cs="Arial"/>
      <w:b/>
      <w:bCs/>
      <w:sz w:val="21"/>
    </w:rPr>
  </w:style>
  <w:style w:type="paragraph" w:styleId="Kop3">
    <w:name w:val="heading 3"/>
    <w:basedOn w:val="Normaal"/>
    <w:next w:val="Normaal"/>
    <w:qFormat/>
    <w:pPr>
      <w:keepNext/>
      <w:jc w:val="center"/>
      <w:outlineLvl w:val="2"/>
    </w:pPr>
    <w:rPr>
      <w:rFonts w:ascii="Arial" w:hAnsi="Arial" w:cs="Arial"/>
      <w:b/>
      <w:sz w:val="21"/>
    </w:rPr>
  </w:style>
  <w:style w:type="paragraph" w:styleId="Kop4">
    <w:name w:val="heading 4"/>
    <w:basedOn w:val="Normaal"/>
    <w:next w:val="Normaal"/>
    <w:qFormat/>
    <w:pPr>
      <w:keepNext/>
      <w:numPr>
        <w:numId w:val="8"/>
      </w:numPr>
      <w:outlineLvl w:val="3"/>
    </w:pPr>
    <w:rPr>
      <w:rFonts w:ascii="Arial" w:hAnsi="Arial" w:cs="Arial"/>
      <w:b/>
      <w:sz w:val="21"/>
    </w:rPr>
  </w:style>
  <w:style w:type="paragraph" w:styleId="Kop6">
    <w:name w:val="heading 6"/>
    <w:basedOn w:val="Normaal"/>
    <w:next w:val="Normaal"/>
    <w:qFormat/>
    <w:pPr>
      <w:keepNext/>
      <w:numPr>
        <w:numId w:val="1"/>
      </w:numPr>
      <w:outlineLvl w:val="5"/>
    </w:pPr>
    <w:rPr>
      <w:b/>
      <w:bCs/>
      <w:sz w:val="20"/>
    </w:rPr>
  </w:style>
  <w:style w:type="paragraph" w:styleId="Kop7">
    <w:name w:val="heading 7"/>
    <w:basedOn w:val="Normaal"/>
    <w:next w:val="Normaal"/>
    <w:qFormat/>
    <w:pPr>
      <w:keepNext/>
      <w:outlineLvl w:val="6"/>
    </w:pPr>
    <w:rPr>
      <w:b/>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stParagraph">
    <w:name w:val="List Paragraph"/>
    <w:basedOn w:val="Normaal"/>
    <w:pPr>
      <w:spacing w:after="240" w:line="270" w:lineRule="exact"/>
      <w:ind w:left="709"/>
    </w:pPr>
    <w:rPr>
      <w:rFonts w:ascii="Arial" w:hAnsi="Arial" w:cs="Arial"/>
      <w:sz w:val="21"/>
      <w:szCs w:val="21"/>
      <w:lang w:eastAsia="en-US"/>
    </w:rPr>
  </w:style>
  <w:style w:type="paragraph" w:styleId="Koptekst">
    <w:name w:val="header"/>
    <w:basedOn w:val="Normaal"/>
    <w:semiHidden/>
    <w:pPr>
      <w:tabs>
        <w:tab w:val="center" w:pos="4536"/>
        <w:tab w:val="right" w:pos="9072"/>
      </w:tabs>
    </w:pPr>
    <w:rPr>
      <w:rFonts w:ascii="Arial" w:hAnsi="Arial"/>
      <w:sz w:val="21"/>
    </w:rPr>
  </w:style>
  <w:style w:type="character" w:styleId="Paginanummer">
    <w:name w:val="page number"/>
    <w:basedOn w:val="Standaardalinea-lettertype"/>
    <w:semiHidden/>
  </w:style>
  <w:style w:type="paragraph" w:customStyle="1" w:styleId="Sourcingcontractpagnr">
    <w:name w:val="Sourcingcontract pagnr"/>
    <w:basedOn w:val="Normaal"/>
    <w:pPr>
      <w:numPr>
        <w:ilvl w:val="2"/>
        <w:numId w:val="11"/>
      </w:numPr>
    </w:pPr>
    <w:rPr>
      <w:sz w:val="16"/>
      <w:szCs w:val="16"/>
    </w:rPr>
  </w:style>
  <w:style w:type="paragraph" w:customStyle="1" w:styleId="Level4">
    <w:name w:val="Level 4"/>
    <w:basedOn w:val="Normaal"/>
    <w:next w:val="Normaal"/>
    <w:pPr>
      <w:numPr>
        <w:ilvl w:val="3"/>
        <w:numId w:val="6"/>
      </w:numPr>
      <w:tabs>
        <w:tab w:val="clear" w:pos="1418"/>
        <w:tab w:val="num" w:pos="360"/>
      </w:tabs>
      <w:spacing w:after="210" w:line="264" w:lineRule="auto"/>
      <w:ind w:left="0" w:firstLine="0"/>
      <w:jc w:val="both"/>
      <w:outlineLvl w:val="3"/>
    </w:pPr>
    <w:rPr>
      <w:rFonts w:ascii="Arial" w:hAnsi="Arial" w:cs="Arial"/>
      <w:kern w:val="28"/>
      <w:sz w:val="21"/>
      <w:szCs w:val="20"/>
      <w:lang w:eastAsia="zh-CN"/>
    </w:rPr>
  </w:style>
  <w:style w:type="paragraph" w:customStyle="1" w:styleId="Level5">
    <w:name w:val="Level 5"/>
    <w:basedOn w:val="Normaal"/>
    <w:next w:val="Normaal"/>
    <w:pPr>
      <w:numPr>
        <w:ilvl w:val="4"/>
        <w:numId w:val="6"/>
      </w:numPr>
      <w:spacing w:after="210" w:line="264" w:lineRule="auto"/>
      <w:jc w:val="both"/>
      <w:outlineLvl w:val="4"/>
    </w:pPr>
    <w:rPr>
      <w:rFonts w:ascii="Arial" w:hAnsi="Arial" w:cs="Arial"/>
      <w:kern w:val="28"/>
      <w:sz w:val="21"/>
      <w:szCs w:val="20"/>
      <w:lang w:eastAsia="zh-CN"/>
    </w:rPr>
  </w:style>
  <w:style w:type="paragraph" w:customStyle="1" w:styleId="Sourcingcontractlevel1">
    <w:name w:val="Sourcingcontract level 1"/>
    <w:basedOn w:val="Level1"/>
    <w:pPr>
      <w:numPr>
        <w:numId w:val="11"/>
      </w:numPr>
      <w:spacing w:line="240" w:lineRule="auto"/>
      <w:jc w:val="left"/>
    </w:pPr>
    <w:rPr>
      <w:rFonts w:ascii="Times New Roman" w:hAnsi="Times New Roman" w:cs="Times New Roman"/>
      <w:b w:val="0"/>
      <w:sz w:val="24"/>
    </w:rPr>
  </w:style>
  <w:style w:type="paragraph" w:customStyle="1" w:styleId="Level1">
    <w:name w:val="Level 1"/>
    <w:basedOn w:val="Normaal"/>
    <w:next w:val="Body2"/>
    <w:pPr>
      <w:spacing w:after="240" w:line="270" w:lineRule="exact"/>
      <w:jc w:val="both"/>
      <w:outlineLvl w:val="0"/>
    </w:pPr>
    <w:rPr>
      <w:rFonts w:ascii="Arial" w:hAnsi="Arial" w:cs="Arial"/>
      <w:b/>
      <w:kern w:val="28"/>
      <w:sz w:val="21"/>
      <w:szCs w:val="20"/>
      <w:lang w:eastAsia="zh-CN"/>
    </w:rPr>
  </w:style>
  <w:style w:type="paragraph" w:customStyle="1" w:styleId="Body2">
    <w:name w:val="Body 2"/>
    <w:basedOn w:val="Normaal"/>
    <w:pPr>
      <w:spacing w:after="210" w:line="264" w:lineRule="auto"/>
      <w:ind w:left="709"/>
      <w:jc w:val="both"/>
    </w:pPr>
    <w:rPr>
      <w:rFonts w:ascii="Arial" w:hAnsi="Arial" w:cs="Arial"/>
      <w:kern w:val="28"/>
      <w:sz w:val="21"/>
      <w:szCs w:val="20"/>
      <w:lang w:eastAsia="zh-CN"/>
    </w:rPr>
  </w:style>
  <w:style w:type="paragraph" w:customStyle="1" w:styleId="Sourcingcontractlevel2">
    <w:name w:val="Sourcingcontract level 2"/>
    <w:basedOn w:val="Sourcingcontractlevel1"/>
    <w:pPr>
      <w:numPr>
        <w:ilvl w:val="1"/>
      </w:numPr>
    </w:pPr>
  </w:style>
  <w:style w:type="paragraph" w:customStyle="1" w:styleId="Sourcingcontractlevel3">
    <w:name w:val="Sourcingcontract level 3"/>
    <w:basedOn w:val="Sourcingcontractlevel2"/>
    <w:pPr>
      <w:numPr>
        <w:ilvl w:val="2"/>
        <w:numId w:val="9"/>
      </w:numPr>
      <w:tabs>
        <w:tab w:val="num" w:pos="2126"/>
      </w:tabs>
      <w:ind w:left="2126" w:hanging="708"/>
    </w:pPr>
  </w:style>
  <w:style w:type="paragraph" w:styleId="Plattetekst2">
    <w:name w:val="Body Text 2"/>
    <w:basedOn w:val="Normaal"/>
    <w:semiHidden/>
    <w:rPr>
      <w:sz w:val="20"/>
    </w:rPr>
  </w:style>
  <w:style w:type="character" w:styleId="Hyperlink">
    <w:name w:val="Hyperlink"/>
    <w:semiHidden/>
    <w:rPr>
      <w:color w:val="0000FF"/>
      <w:u w:val="single"/>
    </w:rPr>
  </w:style>
  <w:style w:type="paragraph" w:styleId="Inhopg1">
    <w:name w:val="toc 1"/>
    <w:basedOn w:val="Normaal"/>
    <w:next w:val="Normaal"/>
    <w:autoRedefine/>
    <w:semiHidden/>
    <w:pPr>
      <w:tabs>
        <w:tab w:val="left" w:pos="630"/>
        <w:tab w:val="right" w:leader="dot" w:pos="9130"/>
      </w:tabs>
    </w:pPr>
    <w:rPr>
      <w:noProof/>
      <w:sz w:val="16"/>
    </w:rPr>
  </w:style>
  <w:style w:type="paragraph" w:styleId="Voettekst">
    <w:name w:val="footer"/>
    <w:basedOn w:val="Normaal"/>
    <w:semiHidden/>
    <w:pPr>
      <w:tabs>
        <w:tab w:val="center" w:pos="4536"/>
        <w:tab w:val="right" w:pos="9072"/>
      </w:tabs>
    </w:pPr>
  </w:style>
  <w:style w:type="paragraph" w:customStyle="1" w:styleId="Level2">
    <w:name w:val="Level 2"/>
    <w:basedOn w:val="Body2"/>
    <w:next w:val="Body2"/>
    <w:pPr>
      <w:spacing w:after="240" w:line="270" w:lineRule="exact"/>
      <w:ind w:left="0"/>
      <w:jc w:val="left"/>
      <w:outlineLvl w:val="1"/>
    </w:pPr>
  </w:style>
  <w:style w:type="character" w:customStyle="1" w:styleId="Heading1Text">
    <w:name w:val="Heading 1 Text"/>
    <w:rPr>
      <w:rFonts w:ascii="Arial" w:hAnsi="Arial" w:cs="Arial"/>
      <w:b/>
      <w:caps/>
      <w:sz w:val="21"/>
      <w:vertAlign w:val="baseline"/>
    </w:rPr>
  </w:style>
  <w:style w:type="paragraph" w:styleId="Bloktekst">
    <w:name w:val="Block Text"/>
    <w:basedOn w:val="Normaal"/>
    <w:semiHidden/>
    <w:pPr>
      <w:tabs>
        <w:tab w:val="num" w:pos="2520"/>
      </w:tabs>
      <w:spacing w:after="120" w:line="264" w:lineRule="auto"/>
      <w:ind w:left="2232" w:right="1440" w:hanging="792"/>
      <w:jc w:val="both"/>
    </w:pPr>
    <w:rPr>
      <w:rFonts w:ascii="Arial" w:eastAsia="Arial Unicode MS" w:hAnsi="Arial" w:cs="Arial"/>
      <w:sz w:val="21"/>
      <w:szCs w:val="21"/>
      <w:lang w:eastAsia="zh-CN"/>
    </w:rPr>
  </w:style>
  <w:style w:type="paragraph" w:styleId="Voetnoottekst">
    <w:name w:val="footnote text"/>
    <w:basedOn w:val="Normaal"/>
    <w:semiHidden/>
    <w:rPr>
      <w:sz w:val="20"/>
      <w:szCs w:val="20"/>
    </w:rPr>
  </w:style>
  <w:style w:type="character" w:styleId="Voetnootmarkering">
    <w:name w:val="footnote reference"/>
    <w:semiHidden/>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al">
    <w:name w:val="Normal"/>
    <w:qFormat/>
    <w:rPr>
      <w:sz w:val="24"/>
      <w:szCs w:val="24"/>
    </w:rPr>
  </w:style>
  <w:style w:type="paragraph" w:styleId="Kop1">
    <w:name w:val="heading 1"/>
    <w:basedOn w:val="Normaal"/>
    <w:next w:val="Normaal"/>
    <w:qFormat/>
    <w:pPr>
      <w:keepNext/>
      <w:spacing w:before="480" w:after="480"/>
      <w:outlineLvl w:val="0"/>
    </w:pPr>
    <w:rPr>
      <w:rFonts w:ascii="Arial" w:hAnsi="Arial" w:cs="Arial"/>
      <w:b/>
      <w:sz w:val="21"/>
    </w:rPr>
  </w:style>
  <w:style w:type="paragraph" w:styleId="Kop2">
    <w:name w:val="heading 2"/>
    <w:basedOn w:val="Normaal"/>
    <w:next w:val="Normaal"/>
    <w:qFormat/>
    <w:pPr>
      <w:keepNext/>
      <w:outlineLvl w:val="1"/>
    </w:pPr>
    <w:rPr>
      <w:rFonts w:ascii="Arial" w:hAnsi="Arial" w:cs="Arial"/>
      <w:b/>
      <w:bCs/>
      <w:sz w:val="21"/>
    </w:rPr>
  </w:style>
  <w:style w:type="paragraph" w:styleId="Kop3">
    <w:name w:val="heading 3"/>
    <w:basedOn w:val="Normaal"/>
    <w:next w:val="Normaal"/>
    <w:qFormat/>
    <w:pPr>
      <w:keepNext/>
      <w:jc w:val="center"/>
      <w:outlineLvl w:val="2"/>
    </w:pPr>
    <w:rPr>
      <w:rFonts w:ascii="Arial" w:hAnsi="Arial" w:cs="Arial"/>
      <w:b/>
      <w:sz w:val="21"/>
    </w:rPr>
  </w:style>
  <w:style w:type="paragraph" w:styleId="Kop4">
    <w:name w:val="heading 4"/>
    <w:basedOn w:val="Normaal"/>
    <w:next w:val="Normaal"/>
    <w:qFormat/>
    <w:pPr>
      <w:keepNext/>
      <w:numPr>
        <w:numId w:val="8"/>
      </w:numPr>
      <w:outlineLvl w:val="3"/>
    </w:pPr>
    <w:rPr>
      <w:rFonts w:ascii="Arial" w:hAnsi="Arial" w:cs="Arial"/>
      <w:b/>
      <w:sz w:val="21"/>
    </w:rPr>
  </w:style>
  <w:style w:type="paragraph" w:styleId="Kop6">
    <w:name w:val="heading 6"/>
    <w:basedOn w:val="Normaal"/>
    <w:next w:val="Normaal"/>
    <w:qFormat/>
    <w:pPr>
      <w:keepNext/>
      <w:numPr>
        <w:numId w:val="1"/>
      </w:numPr>
      <w:outlineLvl w:val="5"/>
    </w:pPr>
    <w:rPr>
      <w:b/>
      <w:bCs/>
      <w:sz w:val="20"/>
    </w:rPr>
  </w:style>
  <w:style w:type="paragraph" w:styleId="Kop7">
    <w:name w:val="heading 7"/>
    <w:basedOn w:val="Normaal"/>
    <w:next w:val="Normaal"/>
    <w:qFormat/>
    <w:pPr>
      <w:keepNext/>
      <w:outlineLvl w:val="6"/>
    </w:pPr>
    <w:rPr>
      <w:b/>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stParagraph">
    <w:name w:val="List Paragraph"/>
    <w:basedOn w:val="Normaal"/>
    <w:pPr>
      <w:spacing w:after="240" w:line="270" w:lineRule="exact"/>
      <w:ind w:left="709"/>
    </w:pPr>
    <w:rPr>
      <w:rFonts w:ascii="Arial" w:hAnsi="Arial" w:cs="Arial"/>
      <w:sz w:val="21"/>
      <w:szCs w:val="21"/>
      <w:lang w:eastAsia="en-US"/>
    </w:rPr>
  </w:style>
  <w:style w:type="paragraph" w:styleId="Koptekst">
    <w:name w:val="header"/>
    <w:basedOn w:val="Normaal"/>
    <w:semiHidden/>
    <w:pPr>
      <w:tabs>
        <w:tab w:val="center" w:pos="4536"/>
        <w:tab w:val="right" w:pos="9072"/>
      </w:tabs>
    </w:pPr>
    <w:rPr>
      <w:rFonts w:ascii="Arial" w:hAnsi="Arial"/>
      <w:sz w:val="21"/>
    </w:rPr>
  </w:style>
  <w:style w:type="character" w:styleId="Paginanummer">
    <w:name w:val="page number"/>
    <w:basedOn w:val="Standaardalinea-lettertype"/>
    <w:semiHidden/>
  </w:style>
  <w:style w:type="paragraph" w:customStyle="1" w:styleId="Sourcingcontractpagnr">
    <w:name w:val="Sourcingcontract pagnr"/>
    <w:basedOn w:val="Normaal"/>
    <w:pPr>
      <w:numPr>
        <w:ilvl w:val="2"/>
        <w:numId w:val="11"/>
      </w:numPr>
    </w:pPr>
    <w:rPr>
      <w:sz w:val="16"/>
      <w:szCs w:val="16"/>
    </w:rPr>
  </w:style>
  <w:style w:type="paragraph" w:customStyle="1" w:styleId="Level4">
    <w:name w:val="Level 4"/>
    <w:basedOn w:val="Normaal"/>
    <w:next w:val="Normaal"/>
    <w:pPr>
      <w:numPr>
        <w:ilvl w:val="3"/>
        <w:numId w:val="6"/>
      </w:numPr>
      <w:tabs>
        <w:tab w:val="clear" w:pos="1418"/>
        <w:tab w:val="num" w:pos="360"/>
      </w:tabs>
      <w:spacing w:after="210" w:line="264" w:lineRule="auto"/>
      <w:ind w:left="0" w:firstLine="0"/>
      <w:jc w:val="both"/>
      <w:outlineLvl w:val="3"/>
    </w:pPr>
    <w:rPr>
      <w:rFonts w:ascii="Arial" w:hAnsi="Arial" w:cs="Arial"/>
      <w:kern w:val="28"/>
      <w:sz w:val="21"/>
      <w:szCs w:val="20"/>
      <w:lang w:eastAsia="zh-CN"/>
    </w:rPr>
  </w:style>
  <w:style w:type="paragraph" w:customStyle="1" w:styleId="Level5">
    <w:name w:val="Level 5"/>
    <w:basedOn w:val="Normaal"/>
    <w:next w:val="Normaal"/>
    <w:pPr>
      <w:numPr>
        <w:ilvl w:val="4"/>
        <w:numId w:val="6"/>
      </w:numPr>
      <w:spacing w:after="210" w:line="264" w:lineRule="auto"/>
      <w:jc w:val="both"/>
      <w:outlineLvl w:val="4"/>
    </w:pPr>
    <w:rPr>
      <w:rFonts w:ascii="Arial" w:hAnsi="Arial" w:cs="Arial"/>
      <w:kern w:val="28"/>
      <w:sz w:val="21"/>
      <w:szCs w:val="20"/>
      <w:lang w:eastAsia="zh-CN"/>
    </w:rPr>
  </w:style>
  <w:style w:type="paragraph" w:customStyle="1" w:styleId="Sourcingcontractlevel1">
    <w:name w:val="Sourcingcontract level 1"/>
    <w:basedOn w:val="Level1"/>
    <w:pPr>
      <w:numPr>
        <w:numId w:val="11"/>
      </w:numPr>
      <w:spacing w:line="240" w:lineRule="auto"/>
      <w:jc w:val="left"/>
    </w:pPr>
    <w:rPr>
      <w:rFonts w:ascii="Times New Roman" w:hAnsi="Times New Roman" w:cs="Times New Roman"/>
      <w:b w:val="0"/>
      <w:sz w:val="24"/>
    </w:rPr>
  </w:style>
  <w:style w:type="paragraph" w:customStyle="1" w:styleId="Level1">
    <w:name w:val="Level 1"/>
    <w:basedOn w:val="Normaal"/>
    <w:next w:val="Body2"/>
    <w:pPr>
      <w:spacing w:after="240" w:line="270" w:lineRule="exact"/>
      <w:jc w:val="both"/>
      <w:outlineLvl w:val="0"/>
    </w:pPr>
    <w:rPr>
      <w:rFonts w:ascii="Arial" w:hAnsi="Arial" w:cs="Arial"/>
      <w:b/>
      <w:kern w:val="28"/>
      <w:sz w:val="21"/>
      <w:szCs w:val="20"/>
      <w:lang w:eastAsia="zh-CN"/>
    </w:rPr>
  </w:style>
  <w:style w:type="paragraph" w:customStyle="1" w:styleId="Body2">
    <w:name w:val="Body 2"/>
    <w:basedOn w:val="Normaal"/>
    <w:pPr>
      <w:spacing w:after="210" w:line="264" w:lineRule="auto"/>
      <w:ind w:left="709"/>
      <w:jc w:val="both"/>
    </w:pPr>
    <w:rPr>
      <w:rFonts w:ascii="Arial" w:hAnsi="Arial" w:cs="Arial"/>
      <w:kern w:val="28"/>
      <w:sz w:val="21"/>
      <w:szCs w:val="20"/>
      <w:lang w:eastAsia="zh-CN"/>
    </w:rPr>
  </w:style>
  <w:style w:type="paragraph" w:customStyle="1" w:styleId="Sourcingcontractlevel2">
    <w:name w:val="Sourcingcontract level 2"/>
    <w:basedOn w:val="Sourcingcontractlevel1"/>
    <w:pPr>
      <w:numPr>
        <w:ilvl w:val="1"/>
      </w:numPr>
    </w:pPr>
  </w:style>
  <w:style w:type="paragraph" w:customStyle="1" w:styleId="Sourcingcontractlevel3">
    <w:name w:val="Sourcingcontract level 3"/>
    <w:basedOn w:val="Sourcingcontractlevel2"/>
    <w:pPr>
      <w:numPr>
        <w:ilvl w:val="2"/>
        <w:numId w:val="9"/>
      </w:numPr>
      <w:tabs>
        <w:tab w:val="num" w:pos="2126"/>
      </w:tabs>
      <w:ind w:left="2126" w:hanging="708"/>
    </w:pPr>
  </w:style>
  <w:style w:type="paragraph" w:styleId="Plattetekst2">
    <w:name w:val="Body Text 2"/>
    <w:basedOn w:val="Normaal"/>
    <w:semiHidden/>
    <w:rPr>
      <w:sz w:val="20"/>
    </w:rPr>
  </w:style>
  <w:style w:type="character" w:styleId="Hyperlink">
    <w:name w:val="Hyperlink"/>
    <w:semiHidden/>
    <w:rPr>
      <w:color w:val="0000FF"/>
      <w:u w:val="single"/>
    </w:rPr>
  </w:style>
  <w:style w:type="paragraph" w:styleId="Inhopg1">
    <w:name w:val="toc 1"/>
    <w:basedOn w:val="Normaal"/>
    <w:next w:val="Normaal"/>
    <w:autoRedefine/>
    <w:semiHidden/>
    <w:pPr>
      <w:tabs>
        <w:tab w:val="left" w:pos="630"/>
        <w:tab w:val="right" w:leader="dot" w:pos="9130"/>
      </w:tabs>
    </w:pPr>
    <w:rPr>
      <w:noProof/>
      <w:sz w:val="16"/>
    </w:rPr>
  </w:style>
  <w:style w:type="paragraph" w:styleId="Voettekst">
    <w:name w:val="footer"/>
    <w:basedOn w:val="Normaal"/>
    <w:semiHidden/>
    <w:pPr>
      <w:tabs>
        <w:tab w:val="center" w:pos="4536"/>
        <w:tab w:val="right" w:pos="9072"/>
      </w:tabs>
    </w:pPr>
  </w:style>
  <w:style w:type="paragraph" w:customStyle="1" w:styleId="Level2">
    <w:name w:val="Level 2"/>
    <w:basedOn w:val="Body2"/>
    <w:next w:val="Body2"/>
    <w:pPr>
      <w:spacing w:after="240" w:line="270" w:lineRule="exact"/>
      <w:ind w:left="0"/>
      <w:jc w:val="left"/>
      <w:outlineLvl w:val="1"/>
    </w:pPr>
  </w:style>
  <w:style w:type="character" w:customStyle="1" w:styleId="Heading1Text">
    <w:name w:val="Heading 1 Text"/>
    <w:rPr>
      <w:rFonts w:ascii="Arial" w:hAnsi="Arial" w:cs="Arial"/>
      <w:b/>
      <w:caps/>
      <w:sz w:val="21"/>
      <w:vertAlign w:val="baseline"/>
    </w:rPr>
  </w:style>
  <w:style w:type="paragraph" w:styleId="Bloktekst">
    <w:name w:val="Block Text"/>
    <w:basedOn w:val="Normaal"/>
    <w:semiHidden/>
    <w:pPr>
      <w:tabs>
        <w:tab w:val="num" w:pos="2520"/>
      </w:tabs>
      <w:spacing w:after="120" w:line="264" w:lineRule="auto"/>
      <w:ind w:left="2232" w:right="1440" w:hanging="792"/>
      <w:jc w:val="both"/>
    </w:pPr>
    <w:rPr>
      <w:rFonts w:ascii="Arial" w:eastAsia="Arial Unicode MS" w:hAnsi="Arial" w:cs="Arial"/>
      <w:sz w:val="21"/>
      <w:szCs w:val="21"/>
      <w:lang w:eastAsia="zh-CN"/>
    </w:rPr>
  </w:style>
  <w:style w:type="paragraph" w:styleId="Voetnoottekst">
    <w:name w:val="footnote text"/>
    <w:basedOn w:val="Normaal"/>
    <w:semiHidden/>
    <w:rPr>
      <w:sz w:val="20"/>
      <w:szCs w:val="20"/>
    </w:rPr>
  </w:style>
  <w:style w:type="character" w:styleId="Voetnootmarkering">
    <w:name w:val="foot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9910</Words>
  <Characters>54510</Characters>
  <Application>Microsoft Macintosh Word</Application>
  <DocSecurity>0</DocSecurity>
  <Lines>454</Lines>
  <Paragraphs>128</Paragraphs>
  <ScaleCrop>false</ScaleCrop>
  <HeadingPairs>
    <vt:vector size="2" baseType="variant">
      <vt:variant>
        <vt:lpstr>Titel</vt:lpstr>
      </vt:variant>
      <vt:variant>
        <vt:i4>1</vt:i4>
      </vt:variant>
    </vt:vector>
  </HeadingPairs>
  <TitlesOfParts>
    <vt:vector size="1" baseType="lpstr">
      <vt:lpstr>Model Sourcing Overeenkomst</vt:lpstr>
    </vt:vector>
  </TitlesOfParts>
  <Manager/>
  <Company>CIZ</Company>
  <LinksUpToDate>false</LinksUpToDate>
  <CharactersWithSpaces>64292</CharactersWithSpaces>
  <SharedDoc>false</SharedDoc>
  <HyperlinkBase/>
  <HLinks>
    <vt:vector size="312" baseType="variant">
      <vt:variant>
        <vt:i4>1507337</vt:i4>
      </vt:variant>
      <vt:variant>
        <vt:i4>308</vt:i4>
      </vt:variant>
      <vt:variant>
        <vt:i4>0</vt:i4>
      </vt:variant>
      <vt:variant>
        <vt:i4>5</vt:i4>
      </vt:variant>
      <vt:variant>
        <vt:lpwstr/>
      </vt:variant>
      <vt:variant>
        <vt:lpwstr>_Toc281925048</vt:lpwstr>
      </vt:variant>
      <vt:variant>
        <vt:i4>1507334</vt:i4>
      </vt:variant>
      <vt:variant>
        <vt:i4>302</vt:i4>
      </vt:variant>
      <vt:variant>
        <vt:i4>0</vt:i4>
      </vt:variant>
      <vt:variant>
        <vt:i4>5</vt:i4>
      </vt:variant>
      <vt:variant>
        <vt:lpwstr/>
      </vt:variant>
      <vt:variant>
        <vt:lpwstr>_Toc281925047</vt:lpwstr>
      </vt:variant>
      <vt:variant>
        <vt:i4>1507335</vt:i4>
      </vt:variant>
      <vt:variant>
        <vt:i4>296</vt:i4>
      </vt:variant>
      <vt:variant>
        <vt:i4>0</vt:i4>
      </vt:variant>
      <vt:variant>
        <vt:i4>5</vt:i4>
      </vt:variant>
      <vt:variant>
        <vt:lpwstr/>
      </vt:variant>
      <vt:variant>
        <vt:lpwstr>_Toc281925046</vt:lpwstr>
      </vt:variant>
      <vt:variant>
        <vt:i4>1507332</vt:i4>
      </vt:variant>
      <vt:variant>
        <vt:i4>290</vt:i4>
      </vt:variant>
      <vt:variant>
        <vt:i4>0</vt:i4>
      </vt:variant>
      <vt:variant>
        <vt:i4>5</vt:i4>
      </vt:variant>
      <vt:variant>
        <vt:lpwstr/>
      </vt:variant>
      <vt:variant>
        <vt:lpwstr>_Toc281925045</vt:lpwstr>
      </vt:variant>
      <vt:variant>
        <vt:i4>1507333</vt:i4>
      </vt:variant>
      <vt:variant>
        <vt:i4>284</vt:i4>
      </vt:variant>
      <vt:variant>
        <vt:i4>0</vt:i4>
      </vt:variant>
      <vt:variant>
        <vt:i4>5</vt:i4>
      </vt:variant>
      <vt:variant>
        <vt:lpwstr/>
      </vt:variant>
      <vt:variant>
        <vt:lpwstr>_Toc281925044</vt:lpwstr>
      </vt:variant>
      <vt:variant>
        <vt:i4>1507330</vt:i4>
      </vt:variant>
      <vt:variant>
        <vt:i4>278</vt:i4>
      </vt:variant>
      <vt:variant>
        <vt:i4>0</vt:i4>
      </vt:variant>
      <vt:variant>
        <vt:i4>5</vt:i4>
      </vt:variant>
      <vt:variant>
        <vt:lpwstr/>
      </vt:variant>
      <vt:variant>
        <vt:lpwstr>_Toc281925043</vt:lpwstr>
      </vt:variant>
      <vt:variant>
        <vt:i4>1507331</vt:i4>
      </vt:variant>
      <vt:variant>
        <vt:i4>272</vt:i4>
      </vt:variant>
      <vt:variant>
        <vt:i4>0</vt:i4>
      </vt:variant>
      <vt:variant>
        <vt:i4>5</vt:i4>
      </vt:variant>
      <vt:variant>
        <vt:lpwstr/>
      </vt:variant>
      <vt:variant>
        <vt:lpwstr>_Toc281925042</vt:lpwstr>
      </vt:variant>
      <vt:variant>
        <vt:i4>1507328</vt:i4>
      </vt:variant>
      <vt:variant>
        <vt:i4>266</vt:i4>
      </vt:variant>
      <vt:variant>
        <vt:i4>0</vt:i4>
      </vt:variant>
      <vt:variant>
        <vt:i4>5</vt:i4>
      </vt:variant>
      <vt:variant>
        <vt:lpwstr/>
      </vt:variant>
      <vt:variant>
        <vt:lpwstr>_Toc281925041</vt:lpwstr>
      </vt:variant>
      <vt:variant>
        <vt:i4>1507329</vt:i4>
      </vt:variant>
      <vt:variant>
        <vt:i4>260</vt:i4>
      </vt:variant>
      <vt:variant>
        <vt:i4>0</vt:i4>
      </vt:variant>
      <vt:variant>
        <vt:i4>5</vt:i4>
      </vt:variant>
      <vt:variant>
        <vt:lpwstr/>
      </vt:variant>
      <vt:variant>
        <vt:lpwstr>_Toc281925040</vt:lpwstr>
      </vt:variant>
      <vt:variant>
        <vt:i4>1048584</vt:i4>
      </vt:variant>
      <vt:variant>
        <vt:i4>254</vt:i4>
      </vt:variant>
      <vt:variant>
        <vt:i4>0</vt:i4>
      </vt:variant>
      <vt:variant>
        <vt:i4>5</vt:i4>
      </vt:variant>
      <vt:variant>
        <vt:lpwstr/>
      </vt:variant>
      <vt:variant>
        <vt:lpwstr>_Toc281925039</vt:lpwstr>
      </vt:variant>
      <vt:variant>
        <vt:i4>1048585</vt:i4>
      </vt:variant>
      <vt:variant>
        <vt:i4>248</vt:i4>
      </vt:variant>
      <vt:variant>
        <vt:i4>0</vt:i4>
      </vt:variant>
      <vt:variant>
        <vt:i4>5</vt:i4>
      </vt:variant>
      <vt:variant>
        <vt:lpwstr/>
      </vt:variant>
      <vt:variant>
        <vt:lpwstr>_Toc281925038</vt:lpwstr>
      </vt:variant>
      <vt:variant>
        <vt:i4>1048582</vt:i4>
      </vt:variant>
      <vt:variant>
        <vt:i4>242</vt:i4>
      </vt:variant>
      <vt:variant>
        <vt:i4>0</vt:i4>
      </vt:variant>
      <vt:variant>
        <vt:i4>5</vt:i4>
      </vt:variant>
      <vt:variant>
        <vt:lpwstr/>
      </vt:variant>
      <vt:variant>
        <vt:lpwstr>_Toc281925037</vt:lpwstr>
      </vt:variant>
      <vt:variant>
        <vt:i4>1048583</vt:i4>
      </vt:variant>
      <vt:variant>
        <vt:i4>236</vt:i4>
      </vt:variant>
      <vt:variant>
        <vt:i4>0</vt:i4>
      </vt:variant>
      <vt:variant>
        <vt:i4>5</vt:i4>
      </vt:variant>
      <vt:variant>
        <vt:lpwstr/>
      </vt:variant>
      <vt:variant>
        <vt:lpwstr>_Toc281925036</vt:lpwstr>
      </vt:variant>
      <vt:variant>
        <vt:i4>1048580</vt:i4>
      </vt:variant>
      <vt:variant>
        <vt:i4>230</vt:i4>
      </vt:variant>
      <vt:variant>
        <vt:i4>0</vt:i4>
      </vt:variant>
      <vt:variant>
        <vt:i4>5</vt:i4>
      </vt:variant>
      <vt:variant>
        <vt:lpwstr/>
      </vt:variant>
      <vt:variant>
        <vt:lpwstr>_Toc281925035</vt:lpwstr>
      </vt:variant>
      <vt:variant>
        <vt:i4>1048581</vt:i4>
      </vt:variant>
      <vt:variant>
        <vt:i4>224</vt:i4>
      </vt:variant>
      <vt:variant>
        <vt:i4>0</vt:i4>
      </vt:variant>
      <vt:variant>
        <vt:i4>5</vt:i4>
      </vt:variant>
      <vt:variant>
        <vt:lpwstr/>
      </vt:variant>
      <vt:variant>
        <vt:lpwstr>_Toc281925034</vt:lpwstr>
      </vt:variant>
      <vt:variant>
        <vt:i4>1048578</vt:i4>
      </vt:variant>
      <vt:variant>
        <vt:i4>218</vt:i4>
      </vt:variant>
      <vt:variant>
        <vt:i4>0</vt:i4>
      </vt:variant>
      <vt:variant>
        <vt:i4>5</vt:i4>
      </vt:variant>
      <vt:variant>
        <vt:lpwstr/>
      </vt:variant>
      <vt:variant>
        <vt:lpwstr>_Toc281925033</vt:lpwstr>
      </vt:variant>
      <vt:variant>
        <vt:i4>1048579</vt:i4>
      </vt:variant>
      <vt:variant>
        <vt:i4>212</vt:i4>
      </vt:variant>
      <vt:variant>
        <vt:i4>0</vt:i4>
      </vt:variant>
      <vt:variant>
        <vt:i4>5</vt:i4>
      </vt:variant>
      <vt:variant>
        <vt:lpwstr/>
      </vt:variant>
      <vt:variant>
        <vt:lpwstr>_Toc281925032</vt:lpwstr>
      </vt:variant>
      <vt:variant>
        <vt:i4>1048576</vt:i4>
      </vt:variant>
      <vt:variant>
        <vt:i4>206</vt:i4>
      </vt:variant>
      <vt:variant>
        <vt:i4>0</vt:i4>
      </vt:variant>
      <vt:variant>
        <vt:i4>5</vt:i4>
      </vt:variant>
      <vt:variant>
        <vt:lpwstr/>
      </vt:variant>
      <vt:variant>
        <vt:lpwstr>_Toc281925031</vt:lpwstr>
      </vt:variant>
      <vt:variant>
        <vt:i4>1048577</vt:i4>
      </vt:variant>
      <vt:variant>
        <vt:i4>200</vt:i4>
      </vt:variant>
      <vt:variant>
        <vt:i4>0</vt:i4>
      </vt:variant>
      <vt:variant>
        <vt:i4>5</vt:i4>
      </vt:variant>
      <vt:variant>
        <vt:lpwstr/>
      </vt:variant>
      <vt:variant>
        <vt:lpwstr>_Toc281925030</vt:lpwstr>
      </vt:variant>
      <vt:variant>
        <vt:i4>1114120</vt:i4>
      </vt:variant>
      <vt:variant>
        <vt:i4>194</vt:i4>
      </vt:variant>
      <vt:variant>
        <vt:i4>0</vt:i4>
      </vt:variant>
      <vt:variant>
        <vt:i4>5</vt:i4>
      </vt:variant>
      <vt:variant>
        <vt:lpwstr/>
      </vt:variant>
      <vt:variant>
        <vt:lpwstr>_Toc281925029</vt:lpwstr>
      </vt:variant>
      <vt:variant>
        <vt:i4>1114121</vt:i4>
      </vt:variant>
      <vt:variant>
        <vt:i4>188</vt:i4>
      </vt:variant>
      <vt:variant>
        <vt:i4>0</vt:i4>
      </vt:variant>
      <vt:variant>
        <vt:i4>5</vt:i4>
      </vt:variant>
      <vt:variant>
        <vt:lpwstr/>
      </vt:variant>
      <vt:variant>
        <vt:lpwstr>_Toc281925028</vt:lpwstr>
      </vt:variant>
      <vt:variant>
        <vt:i4>1114118</vt:i4>
      </vt:variant>
      <vt:variant>
        <vt:i4>182</vt:i4>
      </vt:variant>
      <vt:variant>
        <vt:i4>0</vt:i4>
      </vt:variant>
      <vt:variant>
        <vt:i4>5</vt:i4>
      </vt:variant>
      <vt:variant>
        <vt:lpwstr/>
      </vt:variant>
      <vt:variant>
        <vt:lpwstr>_Toc281925027</vt:lpwstr>
      </vt:variant>
      <vt:variant>
        <vt:i4>1114119</vt:i4>
      </vt:variant>
      <vt:variant>
        <vt:i4>176</vt:i4>
      </vt:variant>
      <vt:variant>
        <vt:i4>0</vt:i4>
      </vt:variant>
      <vt:variant>
        <vt:i4>5</vt:i4>
      </vt:variant>
      <vt:variant>
        <vt:lpwstr/>
      </vt:variant>
      <vt:variant>
        <vt:lpwstr>_Toc281925026</vt:lpwstr>
      </vt:variant>
      <vt:variant>
        <vt:i4>1114116</vt:i4>
      </vt:variant>
      <vt:variant>
        <vt:i4>170</vt:i4>
      </vt:variant>
      <vt:variant>
        <vt:i4>0</vt:i4>
      </vt:variant>
      <vt:variant>
        <vt:i4>5</vt:i4>
      </vt:variant>
      <vt:variant>
        <vt:lpwstr/>
      </vt:variant>
      <vt:variant>
        <vt:lpwstr>_Toc281925025</vt:lpwstr>
      </vt:variant>
      <vt:variant>
        <vt:i4>1114117</vt:i4>
      </vt:variant>
      <vt:variant>
        <vt:i4>164</vt:i4>
      </vt:variant>
      <vt:variant>
        <vt:i4>0</vt:i4>
      </vt:variant>
      <vt:variant>
        <vt:i4>5</vt:i4>
      </vt:variant>
      <vt:variant>
        <vt:lpwstr/>
      </vt:variant>
      <vt:variant>
        <vt:lpwstr>_Toc281925024</vt:lpwstr>
      </vt:variant>
      <vt:variant>
        <vt:i4>1114114</vt:i4>
      </vt:variant>
      <vt:variant>
        <vt:i4>158</vt:i4>
      </vt:variant>
      <vt:variant>
        <vt:i4>0</vt:i4>
      </vt:variant>
      <vt:variant>
        <vt:i4>5</vt:i4>
      </vt:variant>
      <vt:variant>
        <vt:lpwstr/>
      </vt:variant>
      <vt:variant>
        <vt:lpwstr>_Toc281925023</vt:lpwstr>
      </vt:variant>
      <vt:variant>
        <vt:i4>1114115</vt:i4>
      </vt:variant>
      <vt:variant>
        <vt:i4>152</vt:i4>
      </vt:variant>
      <vt:variant>
        <vt:i4>0</vt:i4>
      </vt:variant>
      <vt:variant>
        <vt:i4>5</vt:i4>
      </vt:variant>
      <vt:variant>
        <vt:lpwstr/>
      </vt:variant>
      <vt:variant>
        <vt:lpwstr>_Toc281925022</vt:lpwstr>
      </vt:variant>
      <vt:variant>
        <vt:i4>1114112</vt:i4>
      </vt:variant>
      <vt:variant>
        <vt:i4>146</vt:i4>
      </vt:variant>
      <vt:variant>
        <vt:i4>0</vt:i4>
      </vt:variant>
      <vt:variant>
        <vt:i4>5</vt:i4>
      </vt:variant>
      <vt:variant>
        <vt:lpwstr/>
      </vt:variant>
      <vt:variant>
        <vt:lpwstr>_Toc281925021</vt:lpwstr>
      </vt:variant>
      <vt:variant>
        <vt:i4>1114113</vt:i4>
      </vt:variant>
      <vt:variant>
        <vt:i4>140</vt:i4>
      </vt:variant>
      <vt:variant>
        <vt:i4>0</vt:i4>
      </vt:variant>
      <vt:variant>
        <vt:i4>5</vt:i4>
      </vt:variant>
      <vt:variant>
        <vt:lpwstr/>
      </vt:variant>
      <vt:variant>
        <vt:lpwstr>_Toc281925020</vt:lpwstr>
      </vt:variant>
      <vt:variant>
        <vt:i4>1179656</vt:i4>
      </vt:variant>
      <vt:variant>
        <vt:i4>134</vt:i4>
      </vt:variant>
      <vt:variant>
        <vt:i4>0</vt:i4>
      </vt:variant>
      <vt:variant>
        <vt:i4>5</vt:i4>
      </vt:variant>
      <vt:variant>
        <vt:lpwstr/>
      </vt:variant>
      <vt:variant>
        <vt:lpwstr>_Toc281925019</vt:lpwstr>
      </vt:variant>
      <vt:variant>
        <vt:i4>1179657</vt:i4>
      </vt:variant>
      <vt:variant>
        <vt:i4>128</vt:i4>
      </vt:variant>
      <vt:variant>
        <vt:i4>0</vt:i4>
      </vt:variant>
      <vt:variant>
        <vt:i4>5</vt:i4>
      </vt:variant>
      <vt:variant>
        <vt:lpwstr/>
      </vt:variant>
      <vt:variant>
        <vt:lpwstr>_Toc281925018</vt:lpwstr>
      </vt:variant>
      <vt:variant>
        <vt:i4>1179654</vt:i4>
      </vt:variant>
      <vt:variant>
        <vt:i4>122</vt:i4>
      </vt:variant>
      <vt:variant>
        <vt:i4>0</vt:i4>
      </vt:variant>
      <vt:variant>
        <vt:i4>5</vt:i4>
      </vt:variant>
      <vt:variant>
        <vt:lpwstr/>
      </vt:variant>
      <vt:variant>
        <vt:lpwstr>_Toc281925017</vt:lpwstr>
      </vt:variant>
      <vt:variant>
        <vt:i4>1179655</vt:i4>
      </vt:variant>
      <vt:variant>
        <vt:i4>116</vt:i4>
      </vt:variant>
      <vt:variant>
        <vt:i4>0</vt:i4>
      </vt:variant>
      <vt:variant>
        <vt:i4>5</vt:i4>
      </vt:variant>
      <vt:variant>
        <vt:lpwstr/>
      </vt:variant>
      <vt:variant>
        <vt:lpwstr>_Toc281925016</vt:lpwstr>
      </vt:variant>
      <vt:variant>
        <vt:i4>1179652</vt:i4>
      </vt:variant>
      <vt:variant>
        <vt:i4>110</vt:i4>
      </vt:variant>
      <vt:variant>
        <vt:i4>0</vt:i4>
      </vt:variant>
      <vt:variant>
        <vt:i4>5</vt:i4>
      </vt:variant>
      <vt:variant>
        <vt:lpwstr/>
      </vt:variant>
      <vt:variant>
        <vt:lpwstr>_Toc281925015</vt:lpwstr>
      </vt:variant>
      <vt:variant>
        <vt:i4>1179653</vt:i4>
      </vt:variant>
      <vt:variant>
        <vt:i4>104</vt:i4>
      </vt:variant>
      <vt:variant>
        <vt:i4>0</vt:i4>
      </vt:variant>
      <vt:variant>
        <vt:i4>5</vt:i4>
      </vt:variant>
      <vt:variant>
        <vt:lpwstr/>
      </vt:variant>
      <vt:variant>
        <vt:lpwstr>_Toc281925014</vt:lpwstr>
      </vt:variant>
      <vt:variant>
        <vt:i4>1179650</vt:i4>
      </vt:variant>
      <vt:variant>
        <vt:i4>98</vt:i4>
      </vt:variant>
      <vt:variant>
        <vt:i4>0</vt:i4>
      </vt:variant>
      <vt:variant>
        <vt:i4>5</vt:i4>
      </vt:variant>
      <vt:variant>
        <vt:lpwstr/>
      </vt:variant>
      <vt:variant>
        <vt:lpwstr>_Toc281925013</vt:lpwstr>
      </vt:variant>
      <vt:variant>
        <vt:i4>1179651</vt:i4>
      </vt:variant>
      <vt:variant>
        <vt:i4>92</vt:i4>
      </vt:variant>
      <vt:variant>
        <vt:i4>0</vt:i4>
      </vt:variant>
      <vt:variant>
        <vt:i4>5</vt:i4>
      </vt:variant>
      <vt:variant>
        <vt:lpwstr/>
      </vt:variant>
      <vt:variant>
        <vt:lpwstr>_Toc281925012</vt:lpwstr>
      </vt:variant>
      <vt:variant>
        <vt:i4>1179648</vt:i4>
      </vt:variant>
      <vt:variant>
        <vt:i4>86</vt:i4>
      </vt:variant>
      <vt:variant>
        <vt:i4>0</vt:i4>
      </vt:variant>
      <vt:variant>
        <vt:i4>5</vt:i4>
      </vt:variant>
      <vt:variant>
        <vt:lpwstr/>
      </vt:variant>
      <vt:variant>
        <vt:lpwstr>_Toc281925011</vt:lpwstr>
      </vt:variant>
      <vt:variant>
        <vt:i4>1179649</vt:i4>
      </vt:variant>
      <vt:variant>
        <vt:i4>80</vt:i4>
      </vt:variant>
      <vt:variant>
        <vt:i4>0</vt:i4>
      </vt:variant>
      <vt:variant>
        <vt:i4>5</vt:i4>
      </vt:variant>
      <vt:variant>
        <vt:lpwstr/>
      </vt:variant>
      <vt:variant>
        <vt:lpwstr>_Toc281925010</vt:lpwstr>
      </vt:variant>
      <vt:variant>
        <vt:i4>1245192</vt:i4>
      </vt:variant>
      <vt:variant>
        <vt:i4>74</vt:i4>
      </vt:variant>
      <vt:variant>
        <vt:i4>0</vt:i4>
      </vt:variant>
      <vt:variant>
        <vt:i4>5</vt:i4>
      </vt:variant>
      <vt:variant>
        <vt:lpwstr/>
      </vt:variant>
      <vt:variant>
        <vt:lpwstr>_Toc281925009</vt:lpwstr>
      </vt:variant>
      <vt:variant>
        <vt:i4>1245193</vt:i4>
      </vt:variant>
      <vt:variant>
        <vt:i4>68</vt:i4>
      </vt:variant>
      <vt:variant>
        <vt:i4>0</vt:i4>
      </vt:variant>
      <vt:variant>
        <vt:i4>5</vt:i4>
      </vt:variant>
      <vt:variant>
        <vt:lpwstr/>
      </vt:variant>
      <vt:variant>
        <vt:lpwstr>_Toc281925008</vt:lpwstr>
      </vt:variant>
      <vt:variant>
        <vt:i4>1245190</vt:i4>
      </vt:variant>
      <vt:variant>
        <vt:i4>62</vt:i4>
      </vt:variant>
      <vt:variant>
        <vt:i4>0</vt:i4>
      </vt:variant>
      <vt:variant>
        <vt:i4>5</vt:i4>
      </vt:variant>
      <vt:variant>
        <vt:lpwstr/>
      </vt:variant>
      <vt:variant>
        <vt:lpwstr>_Toc281925007</vt:lpwstr>
      </vt:variant>
      <vt:variant>
        <vt:i4>1245191</vt:i4>
      </vt:variant>
      <vt:variant>
        <vt:i4>56</vt:i4>
      </vt:variant>
      <vt:variant>
        <vt:i4>0</vt:i4>
      </vt:variant>
      <vt:variant>
        <vt:i4>5</vt:i4>
      </vt:variant>
      <vt:variant>
        <vt:lpwstr/>
      </vt:variant>
      <vt:variant>
        <vt:lpwstr>_Toc281925006</vt:lpwstr>
      </vt:variant>
      <vt:variant>
        <vt:i4>1245188</vt:i4>
      </vt:variant>
      <vt:variant>
        <vt:i4>50</vt:i4>
      </vt:variant>
      <vt:variant>
        <vt:i4>0</vt:i4>
      </vt:variant>
      <vt:variant>
        <vt:i4>5</vt:i4>
      </vt:variant>
      <vt:variant>
        <vt:lpwstr/>
      </vt:variant>
      <vt:variant>
        <vt:lpwstr>_Toc281925005</vt:lpwstr>
      </vt:variant>
      <vt:variant>
        <vt:i4>1245189</vt:i4>
      </vt:variant>
      <vt:variant>
        <vt:i4>44</vt:i4>
      </vt:variant>
      <vt:variant>
        <vt:i4>0</vt:i4>
      </vt:variant>
      <vt:variant>
        <vt:i4>5</vt:i4>
      </vt:variant>
      <vt:variant>
        <vt:lpwstr/>
      </vt:variant>
      <vt:variant>
        <vt:lpwstr>_Toc281925004</vt:lpwstr>
      </vt:variant>
      <vt:variant>
        <vt:i4>1245186</vt:i4>
      </vt:variant>
      <vt:variant>
        <vt:i4>38</vt:i4>
      </vt:variant>
      <vt:variant>
        <vt:i4>0</vt:i4>
      </vt:variant>
      <vt:variant>
        <vt:i4>5</vt:i4>
      </vt:variant>
      <vt:variant>
        <vt:lpwstr/>
      </vt:variant>
      <vt:variant>
        <vt:lpwstr>_Toc281925003</vt:lpwstr>
      </vt:variant>
      <vt:variant>
        <vt:i4>1245187</vt:i4>
      </vt:variant>
      <vt:variant>
        <vt:i4>32</vt:i4>
      </vt:variant>
      <vt:variant>
        <vt:i4>0</vt:i4>
      </vt:variant>
      <vt:variant>
        <vt:i4>5</vt:i4>
      </vt:variant>
      <vt:variant>
        <vt:lpwstr/>
      </vt:variant>
      <vt:variant>
        <vt:lpwstr>_Toc281925002</vt:lpwstr>
      </vt:variant>
      <vt:variant>
        <vt:i4>1245184</vt:i4>
      </vt:variant>
      <vt:variant>
        <vt:i4>26</vt:i4>
      </vt:variant>
      <vt:variant>
        <vt:i4>0</vt:i4>
      </vt:variant>
      <vt:variant>
        <vt:i4>5</vt:i4>
      </vt:variant>
      <vt:variant>
        <vt:lpwstr/>
      </vt:variant>
      <vt:variant>
        <vt:lpwstr>_Toc281925001</vt:lpwstr>
      </vt:variant>
      <vt:variant>
        <vt:i4>1245185</vt:i4>
      </vt:variant>
      <vt:variant>
        <vt:i4>20</vt:i4>
      </vt:variant>
      <vt:variant>
        <vt:i4>0</vt:i4>
      </vt:variant>
      <vt:variant>
        <vt:i4>5</vt:i4>
      </vt:variant>
      <vt:variant>
        <vt:lpwstr/>
      </vt:variant>
      <vt:variant>
        <vt:lpwstr>_Toc281925000</vt:lpwstr>
      </vt:variant>
      <vt:variant>
        <vt:i4>1769473</vt:i4>
      </vt:variant>
      <vt:variant>
        <vt:i4>14</vt:i4>
      </vt:variant>
      <vt:variant>
        <vt:i4>0</vt:i4>
      </vt:variant>
      <vt:variant>
        <vt:i4>5</vt:i4>
      </vt:variant>
      <vt:variant>
        <vt:lpwstr/>
      </vt:variant>
      <vt:variant>
        <vt:lpwstr>_Toc281924999</vt:lpwstr>
      </vt:variant>
      <vt:variant>
        <vt:i4>1769472</vt:i4>
      </vt:variant>
      <vt:variant>
        <vt:i4>8</vt:i4>
      </vt:variant>
      <vt:variant>
        <vt:i4>0</vt:i4>
      </vt:variant>
      <vt:variant>
        <vt:i4>5</vt:i4>
      </vt:variant>
      <vt:variant>
        <vt:lpwstr/>
      </vt:variant>
      <vt:variant>
        <vt:lpwstr>_Toc281924998</vt:lpwstr>
      </vt:variant>
      <vt:variant>
        <vt:i4>1769487</vt:i4>
      </vt:variant>
      <vt:variant>
        <vt:i4>2</vt:i4>
      </vt:variant>
      <vt:variant>
        <vt:i4>0</vt:i4>
      </vt:variant>
      <vt:variant>
        <vt:i4>5</vt:i4>
      </vt:variant>
      <vt:variant>
        <vt:lpwstr/>
      </vt:variant>
      <vt:variant>
        <vt:lpwstr>_Toc281924997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Sourcing Overeenkomst</dc:title>
  <dc:subject>Model Sourcing Overeenkomst</dc:subject>
  <dc:creator>MR Ensing</dc:creator>
  <cp:keywords/>
  <dc:description/>
  <cp:lastModifiedBy>Leon Laureij</cp:lastModifiedBy>
  <cp:revision>2</cp:revision>
  <cp:lastPrinted>2010-11-01T13:49:00Z</cp:lastPrinted>
  <dcterms:created xsi:type="dcterms:W3CDTF">2015-07-01T08:18:00Z</dcterms:created>
  <dcterms:modified xsi:type="dcterms:W3CDTF">2015-07-01T08:18:00Z</dcterms:modified>
  <cp:category/>
</cp:coreProperties>
</file>