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5F" w:rsidRPr="00DE485F" w:rsidRDefault="00DE485F" w:rsidP="00DE485F">
      <w:pPr>
        <w:pageBreakBefore/>
        <w:tabs>
          <w:tab w:val="num" w:pos="1701"/>
        </w:tabs>
        <w:suppressAutoHyphens/>
        <w:spacing w:after="360" w:line="240" w:lineRule="auto"/>
        <w:ind w:left="3253" w:hanging="3255"/>
        <w:outlineLvl w:val="0"/>
        <w:rPr>
          <w:rFonts w:ascii="Calibri" w:eastAsia="Times New Roman" w:hAnsi="Calibri" w:cs="Arial"/>
          <w:sz w:val="32"/>
          <w:szCs w:val="32"/>
          <w:lang w:eastAsia="nl-NL"/>
        </w:rPr>
      </w:pPr>
      <w:bookmarkStart w:id="0" w:name="_Toc441070024"/>
      <w:r>
        <w:rPr>
          <w:rFonts w:ascii="Calibri" w:eastAsia="Times New Roman" w:hAnsi="Calibri" w:cs="Arial"/>
          <w:sz w:val="32"/>
          <w:szCs w:val="32"/>
          <w:lang w:eastAsia="nl-NL"/>
        </w:rPr>
        <w:t xml:space="preserve">Bijlage </w:t>
      </w:r>
      <w:r w:rsidR="0004477B">
        <w:rPr>
          <w:rFonts w:ascii="Calibri" w:eastAsia="Times New Roman" w:hAnsi="Calibri" w:cs="Arial"/>
          <w:sz w:val="32"/>
          <w:szCs w:val="32"/>
          <w:lang w:eastAsia="nl-NL"/>
        </w:rPr>
        <w:t>B</w:t>
      </w:r>
      <w:r>
        <w:rPr>
          <w:rFonts w:ascii="Calibri" w:eastAsia="Times New Roman" w:hAnsi="Calibri" w:cs="Arial"/>
          <w:sz w:val="32"/>
          <w:szCs w:val="32"/>
          <w:lang w:eastAsia="nl-NL"/>
        </w:rPr>
        <w:tab/>
      </w:r>
      <w:r w:rsidRPr="00DE485F">
        <w:rPr>
          <w:rFonts w:ascii="Calibri" w:eastAsia="Times New Roman" w:hAnsi="Calibri" w:cs="Arial"/>
          <w:sz w:val="32"/>
          <w:szCs w:val="32"/>
          <w:lang w:eastAsia="nl-NL"/>
        </w:rPr>
        <w:t>Inschrijvingseisen</w:t>
      </w:r>
      <w:bookmarkEnd w:id="0"/>
    </w:p>
    <w:p w:rsidR="00DE485F" w:rsidRPr="00DE485F" w:rsidRDefault="00DE485F" w:rsidP="00DE485F">
      <w:pP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dient elke pagina van zijn Inschrijving voor akkoord te paraferen en op de laatste pagina het kader volledig in te vullen en te voorzien van een Origineel rechtsgeldige ondertekening.</w:t>
      </w:r>
    </w:p>
    <w:p w:rsidR="00DE485F" w:rsidRPr="00DE485F" w:rsidRDefault="00DE485F" w:rsidP="00DE485F">
      <w:pP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dient onderstaande lijst per regel in te vullen. De Inschrijver dient zijn invulling van de regels van de lijst tot een “Ja” of “Nee” te beperken.</w:t>
      </w:r>
      <w:bookmarkStart w:id="1" w:name="_GoBack"/>
      <w:bookmarkEnd w:id="1"/>
    </w:p>
    <w:p w:rsidR="00DE485F" w:rsidRPr="00DE485F" w:rsidRDefault="00DE485F" w:rsidP="00DE485F">
      <w:pPr>
        <w:spacing w:before="120" w:after="0" w:line="280" w:lineRule="exact"/>
        <w:rPr>
          <w:rFonts w:ascii="Calibri" w:eastAsia="Times New Roman" w:hAnsi="Calibri" w:cs="Arial"/>
          <w:sz w:val="20"/>
          <w:szCs w:val="20"/>
          <w:lang w:eastAsia="nl-NL"/>
        </w:rPr>
      </w:pPr>
    </w:p>
    <w:tbl>
      <w:tblPr>
        <w:tblW w:w="0" w:type="auto"/>
        <w:tblInd w:w="-5" w:type="dxa"/>
        <w:tblLayout w:type="fixed"/>
        <w:tblLook w:val="0000" w:firstRow="0" w:lastRow="0" w:firstColumn="0" w:lastColumn="0" w:noHBand="0" w:noVBand="0"/>
      </w:tblPr>
      <w:tblGrid>
        <w:gridCol w:w="1389"/>
        <w:gridCol w:w="6090"/>
        <w:gridCol w:w="1428"/>
      </w:tblGrid>
      <w:tr w:rsidR="00DE485F" w:rsidRPr="00DE485F" w:rsidTr="00E91AD4">
        <w:trPr>
          <w:tblHeader/>
        </w:trPr>
        <w:tc>
          <w:tcPr>
            <w:tcW w:w="1389" w:type="dxa"/>
            <w:tcBorders>
              <w:top w:val="single" w:sz="4" w:space="0" w:color="000000"/>
              <w:left w:val="single" w:sz="4" w:space="0" w:color="000000"/>
              <w:bottom w:val="single" w:sz="4" w:space="0" w:color="000000"/>
            </w:tcBorders>
            <w:shd w:val="clear" w:color="auto" w:fill="C0C0C0"/>
            <w:vAlign w:val="center"/>
          </w:tcPr>
          <w:p w:rsidR="00DE485F" w:rsidRPr="00DE485F" w:rsidRDefault="00DE485F" w:rsidP="00DE485F">
            <w:pPr>
              <w:suppressAutoHyphens/>
              <w:spacing w:after="0" w:line="280" w:lineRule="exact"/>
              <w:jc w:val="center"/>
              <w:rPr>
                <w:rFonts w:ascii="Calibri" w:eastAsia="Times New Roman" w:hAnsi="Calibri" w:cs="Arial"/>
                <w:b/>
                <w:sz w:val="20"/>
                <w:szCs w:val="20"/>
                <w:lang w:eastAsia="nl-NL"/>
              </w:rPr>
            </w:pPr>
            <w:r w:rsidRPr="00DE485F">
              <w:rPr>
                <w:rFonts w:ascii="Calibri" w:eastAsia="Times New Roman" w:hAnsi="Calibri" w:cs="Arial"/>
                <w:b/>
                <w:sz w:val="20"/>
                <w:szCs w:val="20"/>
                <w:lang w:eastAsia="nl-NL"/>
              </w:rPr>
              <w:t>Nr.</w:t>
            </w:r>
          </w:p>
        </w:tc>
        <w:tc>
          <w:tcPr>
            <w:tcW w:w="6090" w:type="dxa"/>
            <w:tcBorders>
              <w:top w:val="single" w:sz="4" w:space="0" w:color="000000"/>
              <w:left w:val="single" w:sz="4" w:space="0" w:color="000000"/>
              <w:bottom w:val="single" w:sz="4" w:space="0" w:color="000000"/>
            </w:tcBorders>
            <w:shd w:val="clear" w:color="auto" w:fill="C0C0C0"/>
            <w:vAlign w:val="center"/>
          </w:tcPr>
          <w:p w:rsidR="00DE485F" w:rsidRPr="00DE485F" w:rsidRDefault="00DE485F" w:rsidP="00DE485F">
            <w:pPr>
              <w:suppressAutoHyphens/>
              <w:spacing w:after="0" w:line="280" w:lineRule="exact"/>
              <w:rPr>
                <w:rFonts w:ascii="Calibri" w:eastAsia="Times New Roman" w:hAnsi="Calibri" w:cs="Arial"/>
                <w:b/>
                <w:sz w:val="20"/>
                <w:szCs w:val="20"/>
                <w:lang w:eastAsia="nl-NL"/>
              </w:rPr>
            </w:pPr>
            <w:r w:rsidRPr="00DE485F">
              <w:rPr>
                <w:rFonts w:ascii="Calibri" w:eastAsia="Times New Roman" w:hAnsi="Calibri" w:cs="Arial"/>
                <w:b/>
                <w:sz w:val="20"/>
                <w:szCs w:val="20"/>
                <w:lang w:eastAsia="nl-NL"/>
              </w:rPr>
              <w:t>Inschrijvingseisen</w:t>
            </w:r>
          </w:p>
        </w:tc>
        <w:tc>
          <w:tcPr>
            <w:tcW w:w="1428" w:type="dxa"/>
            <w:tcBorders>
              <w:top w:val="single" w:sz="4" w:space="0" w:color="000000"/>
              <w:left w:val="single" w:sz="4" w:space="0" w:color="000000"/>
              <w:bottom w:val="single" w:sz="4" w:space="0" w:color="000000"/>
              <w:right w:val="single" w:sz="4" w:space="0" w:color="000000"/>
            </w:tcBorders>
            <w:shd w:val="clear" w:color="auto" w:fill="C0C0C0"/>
          </w:tcPr>
          <w:p w:rsidR="00DE485F" w:rsidRPr="00DE485F" w:rsidRDefault="00DE485F" w:rsidP="00DE485F">
            <w:pPr>
              <w:spacing w:before="120" w:after="0" w:line="280" w:lineRule="exact"/>
              <w:rPr>
                <w:rFonts w:ascii="Calibri" w:eastAsia="Times New Roman" w:hAnsi="Calibri" w:cs="Arial"/>
                <w:b/>
                <w:sz w:val="20"/>
                <w:szCs w:val="20"/>
                <w:lang w:eastAsia="nl-NL"/>
              </w:rPr>
            </w:pPr>
            <w:r w:rsidRPr="00DE485F">
              <w:rPr>
                <w:rFonts w:ascii="Calibri" w:eastAsia="Times New Roman" w:hAnsi="Calibri" w:cs="Arial"/>
                <w:b/>
                <w:sz w:val="20"/>
                <w:szCs w:val="20"/>
                <w:lang w:eastAsia="nl-NL"/>
              </w:rPr>
              <w:t>Akkoord</w:t>
            </w:r>
          </w:p>
          <w:p w:rsidR="00DE485F" w:rsidRPr="00DE485F" w:rsidRDefault="00DE485F" w:rsidP="00DE485F">
            <w:pPr>
              <w:spacing w:before="120" w:after="0" w:line="280" w:lineRule="exact"/>
              <w:rPr>
                <w:rFonts w:ascii="Calibri" w:eastAsia="Times New Roman" w:hAnsi="Calibri" w:cs="Arial"/>
                <w:b/>
                <w:sz w:val="20"/>
                <w:szCs w:val="20"/>
                <w:lang w:eastAsia="nl-NL"/>
              </w:rPr>
            </w:pPr>
            <w:r w:rsidRPr="00DE485F">
              <w:rPr>
                <w:rFonts w:ascii="Calibri" w:eastAsia="Times New Roman" w:hAnsi="Calibri" w:cs="Arial"/>
                <w:b/>
                <w:sz w:val="20"/>
                <w:szCs w:val="20"/>
                <w:lang w:eastAsia="nl-NL"/>
              </w:rPr>
              <w:t>Ja / Nee</w:t>
            </w: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heeft de Inschrijving volledig, voorzien van alle Bijlagen en informatie ingediend, conform het gestelde in paragraaf 3.13.1 van het Beschrijvend document.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Alle Bijlagen van de Inschrijving zijn Origineel rechtsgeldig ondertekend, wat blijkt uit de inschrijving in het nationale beroeps-/ handelsregister, welke de situatie ten tijde van het indienen van de Inschrijving weergeeft.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Inschrijver is zich ervan bewust dat, indien de bewijsstukken, zoals o.a. de Eigen verklaring, niet, niet tijdig, of niet juist zijn verstrekt, </w:t>
            </w:r>
            <w:proofErr w:type="spellStart"/>
            <w:r w:rsidRPr="00DE485F">
              <w:rPr>
                <w:rFonts w:ascii="Calibri" w:eastAsia="Times New Roman" w:hAnsi="Calibri" w:cs="Arial"/>
                <w:sz w:val="20"/>
                <w:szCs w:val="20"/>
                <w:lang w:eastAsia="nl-NL"/>
              </w:rPr>
              <w:t>danwel</w:t>
            </w:r>
            <w:proofErr w:type="spellEnd"/>
            <w:r w:rsidRPr="00DE485F">
              <w:rPr>
                <w:rFonts w:ascii="Calibri" w:eastAsia="Times New Roman" w:hAnsi="Calibri" w:cs="Arial"/>
                <w:sz w:val="20"/>
                <w:szCs w:val="20"/>
                <w:lang w:eastAsia="nl-NL"/>
              </w:rPr>
              <w:t xml:space="preserve"> niet volledig overeenkomen met de Inschrijving, hij wordt uitgesloten van verdere deelneming aan de aanbesteding.</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Met betrekking tot geheimhouding / publiciteit draagt Inschrijver er zorg voor dat:</w:t>
            </w:r>
          </w:p>
          <w:p w:rsidR="00DE485F" w:rsidRPr="00DE485F" w:rsidRDefault="00DE485F" w:rsidP="00DE485F">
            <w:pPr>
              <w:numPr>
                <w:ilvl w:val="0"/>
                <w:numId w:val="4"/>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Er vanuit zijn onderneming geen informatie die in het kader van deze aanbesteding beschikbaar bij hem komt en waarvan hij de vertrouwelijkheid kent of behoort te kennen, aan derden ter beschikking wordt gesteld, met uitzondering van voor het onderhavige project door zijn onderneming in te schakelen Derden, </w:t>
            </w:r>
            <w:proofErr w:type="spellStart"/>
            <w:r w:rsidRPr="00DE485F">
              <w:rPr>
                <w:rFonts w:ascii="Calibri" w:eastAsia="Times New Roman" w:hAnsi="Calibri" w:cs="Arial"/>
                <w:sz w:val="20"/>
                <w:szCs w:val="20"/>
                <w:lang w:eastAsia="nl-NL"/>
              </w:rPr>
              <w:t>Combinanten</w:t>
            </w:r>
            <w:proofErr w:type="spellEnd"/>
            <w:r w:rsidRPr="00DE485F">
              <w:rPr>
                <w:rFonts w:ascii="Calibri" w:eastAsia="Times New Roman" w:hAnsi="Calibri" w:cs="Arial"/>
                <w:sz w:val="20"/>
                <w:szCs w:val="20"/>
                <w:lang w:eastAsia="nl-NL"/>
              </w:rPr>
              <w:t xml:space="preserve"> en / of hulppersonen. In een dergelijk geval blijft ondergetekende verantwoordelijk voor de geheimhouding van die in te schakelen derden, </w:t>
            </w:r>
            <w:proofErr w:type="spellStart"/>
            <w:r w:rsidRPr="00DE485F">
              <w:rPr>
                <w:rFonts w:ascii="Calibri" w:eastAsia="Times New Roman" w:hAnsi="Calibri" w:cs="Arial"/>
                <w:sz w:val="20"/>
                <w:szCs w:val="20"/>
                <w:lang w:eastAsia="nl-NL"/>
              </w:rPr>
              <w:t>Combinanten</w:t>
            </w:r>
            <w:proofErr w:type="spellEnd"/>
            <w:r w:rsidRPr="00DE485F">
              <w:rPr>
                <w:rFonts w:ascii="Calibri" w:eastAsia="Times New Roman" w:hAnsi="Calibri" w:cs="Arial"/>
                <w:sz w:val="20"/>
                <w:szCs w:val="20"/>
                <w:lang w:eastAsia="nl-NL"/>
              </w:rPr>
              <w:t xml:space="preserve"> en / of hulppersonen; </w:t>
            </w:r>
          </w:p>
          <w:p w:rsidR="00DE485F" w:rsidRPr="00DE485F" w:rsidRDefault="00DE485F" w:rsidP="00DE485F">
            <w:pPr>
              <w:numPr>
                <w:ilvl w:val="0"/>
                <w:numId w:val="4"/>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Er vanuit zijn onderneming, c.q. door zijn onderneming voor onderhavige Opdracht eventueel in te schakelen derden, </w:t>
            </w:r>
            <w:proofErr w:type="spellStart"/>
            <w:r w:rsidRPr="00DE485F">
              <w:rPr>
                <w:rFonts w:ascii="Calibri" w:eastAsia="Times New Roman" w:hAnsi="Calibri" w:cs="Arial"/>
                <w:sz w:val="20"/>
                <w:szCs w:val="20"/>
                <w:lang w:eastAsia="nl-NL"/>
              </w:rPr>
              <w:t>Combinanten</w:t>
            </w:r>
            <w:proofErr w:type="spellEnd"/>
            <w:r w:rsidRPr="00DE485F">
              <w:rPr>
                <w:rFonts w:ascii="Calibri" w:eastAsia="Times New Roman" w:hAnsi="Calibri" w:cs="Arial"/>
                <w:sz w:val="20"/>
                <w:szCs w:val="20"/>
                <w:lang w:eastAsia="nl-NL"/>
              </w:rPr>
              <w:t xml:space="preserve"> en / of hulppersonen geen publiciteit aan dit project wordt gegeven, anders dan na voorafgaande schriftelijke toestemming van de SVB.</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rPr>
          <w:cantSplit/>
        </w:trPr>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Met betrekking tot integriteit draagt Inschrijver er zorg voor dat hij voldoet aan wat gebruikelijk en maatschappelijk aanvaard is. Dit houdt onder meer in:</w:t>
            </w:r>
          </w:p>
          <w:p w:rsidR="00DE485F" w:rsidRPr="00DE485F" w:rsidRDefault="00DE485F" w:rsidP="00DE485F">
            <w:pPr>
              <w:numPr>
                <w:ilvl w:val="0"/>
                <w:numId w:val="3"/>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geen prijsafspraken of kartelvorming met andere Inschrijvers;</w:t>
            </w:r>
          </w:p>
          <w:p w:rsidR="00DE485F" w:rsidRPr="00DE485F" w:rsidRDefault="00DE485F" w:rsidP="00DE485F">
            <w:pPr>
              <w:numPr>
                <w:ilvl w:val="0"/>
                <w:numId w:val="3"/>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geen prijsopdrijving door vermeende of daadwerkelijke monopolie posities;</w:t>
            </w:r>
          </w:p>
          <w:p w:rsidR="00DE485F" w:rsidRPr="00DE485F" w:rsidRDefault="00DE485F" w:rsidP="00DE485F">
            <w:pPr>
              <w:numPr>
                <w:ilvl w:val="0"/>
                <w:numId w:val="3"/>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zorgdragen voor correcte mandatering tijdens onderhavige aanbestedingsprocedure;</w:t>
            </w:r>
          </w:p>
          <w:p w:rsidR="00DE485F" w:rsidRPr="00DE485F" w:rsidRDefault="00DE485F" w:rsidP="00DE485F">
            <w:pPr>
              <w:numPr>
                <w:ilvl w:val="0"/>
                <w:numId w:val="3"/>
              </w:num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hij alleen meedoet met de intentie om voor gunning in aanmerking te komen.</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Geïnteresseerde of Inschrijver heeft geen recht op vergoeding van enigerlei kosten, van welke aard dan ook in het kader van deze </w:t>
            </w:r>
            <w:r w:rsidRPr="00DE485F">
              <w:rPr>
                <w:rFonts w:ascii="Calibri" w:eastAsia="Times New Roman" w:hAnsi="Calibri" w:cs="Arial"/>
                <w:sz w:val="20"/>
                <w:szCs w:val="20"/>
                <w:lang w:eastAsia="nl-NL"/>
              </w:rPr>
              <w:lastRenderedPageBreak/>
              <w:t>aanbesteding.</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De SVB behoudt zich het recht voor om de gehele aanbestedingsprocedure tijdelijk, definitief en op elk moment te stoppen. In een dergelijk geval heeft de Geïnteresseerde of Inschrijver geen recht op vergoeding van enigerlei kosten, van welke aard dan ook.</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De Inschrijving is onherroepelijk, niet-vrijblijvend en onvoorwaardelijk op straffe van uitsluiting.</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De Inschrijving heeft een gestanddoeningstermijn van minimaal drie (3) maanden na sluitingstermijn voor het indienen van de Inschrijvingen. Tijdens deze termijn heeft de Inschrijving het karakter van een onherroepelijk aanbod. Indien door één of meer Belanghebbenden een kort geding wordt ingezet, wordt de gestanddoeningstermijn automatisch verlengd met 45 dagen na de uitspraak op het laatst nog lopende kort geding.</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Tijdens deze aanbesteding wordt uitsluitend de Nederlandse taal in woord en geschrift gebruikt.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De Inschrijving en alle door Inschrijver als onderdeel van de Inschrijving ingediende documenten, documentatie en informatiedragers worden eigendom van de SVB en niet geretourneerd. Deze stukken worden vertrouwelijk behandeld en gedurende de termijn van bewaarplicht opgeslagen. Na verloop van tijd worden de stukken vernietigd.</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Het indienen van een Inschrijving houdt in dat Inschrijver instemt met de procedure en alle in het Beschrijvend document én de Nota(‘s) van Inlichtingen genoemde voorwaarden voor deze aanbestedingsprocedure.</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Het Beschrijvend document met alle bijbehorende Bijlagen is met zorg samengesteld. Mochten er desondanks tegenstrijdigheden en / of onvolkomenheden in voorkomen, dan heeft Geïnteresseerde de SVB hiervan direct schriftelijk tijdens de </w:t>
            </w:r>
            <w:proofErr w:type="spellStart"/>
            <w:r w:rsidRPr="00DE485F">
              <w:rPr>
                <w:rFonts w:ascii="Calibri" w:eastAsia="Times New Roman" w:hAnsi="Calibri" w:cs="Arial"/>
                <w:sz w:val="20"/>
                <w:szCs w:val="20"/>
                <w:lang w:eastAsia="nl-NL"/>
              </w:rPr>
              <w:t>Informatieuitwisselingsperiode</w:t>
            </w:r>
            <w:proofErr w:type="spellEnd"/>
            <w:r w:rsidRPr="00DE485F">
              <w:rPr>
                <w:rFonts w:ascii="Calibri" w:eastAsia="Times New Roman" w:hAnsi="Calibri" w:cs="Arial"/>
                <w:sz w:val="20"/>
                <w:szCs w:val="20"/>
                <w:lang w:eastAsia="nl-NL"/>
              </w:rPr>
              <w:t xml:space="preserve"> op de hoogte gesteld. Indien naderhand blijkt dat het Beschrijvend document tegenstrijdigheden en / of onvolkomenheden bevat, dan zijn deze voor risico van Geïnteresseerde.</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heeft in diens Inschrijving in de aangeleverde tekst van de Bijlagen en verklaringen van het Beschrijvend document of Nota(‘s) van Inlichtingen geen wijzigingen aangebracht, met uitzondering van die velden die expliciet als invulvelden door de SVB zijn aangeduid.</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heeft in diens Inschrijving geen andere documenten opgenomen dan gevraagd in het Beschrijvend document en de Nota(‘s) van Inlichtingen, behoudens de toestemming van de SVB om eventueel extra brochures of anderszins bij te mogen voegen. Tevens zijn in de standaard formats van de Bijlagen geen wijzigingen door Inschrijver aangebracht.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 xml:space="preserve">Alle door Inschrijver in het kader van deze aanbesteding overlegde gegevens en gedane verklaringen zijn door Inschrijver naar waarheid ingevuld en kunnen te allen tijde gestand worden gedaan. De SVB behoudt zich het recht op schadevergoeding voor, in het geval van </w:t>
            </w:r>
            <w:r w:rsidRPr="00DE485F">
              <w:rPr>
                <w:rFonts w:ascii="Calibri" w:eastAsia="Times New Roman" w:hAnsi="Calibri" w:cs="Arial"/>
                <w:sz w:val="20"/>
                <w:szCs w:val="20"/>
                <w:lang w:eastAsia="nl-NL"/>
              </w:rPr>
              <w:lastRenderedPageBreak/>
              <w:t>onjuiste en / of onvolledige informatie en / of het niet kunnen nakomen van hetgeen door Inschrijver is aangeboden.</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is zich ervan bewust dat het verstrekken van onjuiste of onvolledige informatie, door de SVB kan worden aangemerkt als een valse verklaring in de zin van artikel 2.87 Aanbestedingswet 2012.</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heeft de tarieven in Bijlage E ingevuld conform het gestelde in het Beschrijvend document en de Nota(‘s) van Inlichtingen opgenomen voorwaarden en informatie.</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r w:rsidR="00DE485F" w:rsidRPr="00DE485F" w:rsidTr="00E91AD4">
        <w:tc>
          <w:tcPr>
            <w:tcW w:w="1389"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numPr>
                <w:ilvl w:val="0"/>
                <w:numId w:val="2"/>
              </w:numPr>
              <w:spacing w:after="0" w:line="280" w:lineRule="exact"/>
              <w:contextualSpacing/>
              <w:rPr>
                <w:rFonts w:ascii="Times New Roman" w:eastAsia="Times New Roman" w:hAnsi="Times New Roman" w:cs="Times New Roman"/>
                <w:sz w:val="24"/>
                <w:szCs w:val="24"/>
                <w:lang w:eastAsia="nl-NL"/>
              </w:rPr>
            </w:pPr>
          </w:p>
        </w:tc>
        <w:tc>
          <w:tcPr>
            <w:tcW w:w="6090" w:type="dxa"/>
            <w:tcBorders>
              <w:top w:val="single" w:sz="4" w:space="0" w:color="000000"/>
              <w:left w:val="single" w:sz="4" w:space="0" w:color="000000"/>
              <w:bottom w:val="single" w:sz="4" w:space="0" w:color="000000"/>
            </w:tcBorders>
            <w:shd w:val="clear" w:color="auto" w:fill="auto"/>
          </w:tcPr>
          <w:p w:rsidR="00DE485F" w:rsidRPr="00DE485F" w:rsidRDefault="00DE485F" w:rsidP="00DE485F">
            <w:pPr>
              <w:suppressAutoHyphens/>
              <w:spacing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Inschrijver handelt in overeenstemming met de daartoe geldende wet- en regelgeving.</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DE485F" w:rsidRPr="00DE485F" w:rsidRDefault="00DE485F" w:rsidP="00DE485F">
            <w:pPr>
              <w:spacing w:after="0" w:line="280" w:lineRule="exact"/>
              <w:rPr>
                <w:rFonts w:ascii="Calibri" w:eastAsia="Times New Roman" w:hAnsi="Calibri" w:cs="Times New Roman"/>
                <w:sz w:val="20"/>
                <w:szCs w:val="20"/>
                <w:lang w:eastAsia="nl-NL"/>
              </w:rPr>
            </w:pPr>
          </w:p>
        </w:tc>
      </w:tr>
    </w:tbl>
    <w:p w:rsidR="00DE485F" w:rsidRPr="00DE485F" w:rsidRDefault="00DE485F" w:rsidP="00DE485F">
      <w:pPr>
        <w:spacing w:before="120" w:after="0" w:line="280" w:lineRule="exact"/>
        <w:rPr>
          <w:rFonts w:ascii="Calibri" w:eastAsia="Times New Roman" w:hAnsi="Calibri" w:cs="Arial"/>
          <w:sz w:val="20"/>
          <w:szCs w:val="20"/>
          <w:lang w:eastAsia="nl-NL"/>
        </w:rPr>
      </w:pPr>
    </w:p>
    <w:p w:rsidR="00DE485F" w:rsidRPr="00DE485F" w:rsidRDefault="00DE485F" w:rsidP="00DE485F">
      <w:pPr>
        <w:spacing w:before="120" w:after="0" w:line="280" w:lineRule="exact"/>
        <w:rPr>
          <w:rFonts w:ascii="Calibri" w:eastAsia="Times New Roman" w:hAnsi="Calibri" w:cs="Arial"/>
          <w:sz w:val="20"/>
          <w:szCs w:val="20"/>
          <w:lang w:eastAsia="nl-NL"/>
        </w:rPr>
      </w:pPr>
    </w:p>
    <w:p w:rsidR="00DE485F" w:rsidRPr="00DE485F" w:rsidRDefault="00DE485F" w:rsidP="00DE485F">
      <w:pP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Naar waarheid, stellig en zonder voorbehoud ondertekend:</w:t>
      </w: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Bedrijfsnaam Inschrijver: ………………………………………………………….</w:t>
      </w: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Plaats: ……………………………………….</w:t>
      </w:r>
      <w:r w:rsidRPr="00DE485F">
        <w:rPr>
          <w:rFonts w:ascii="Calibri" w:eastAsia="Times New Roman" w:hAnsi="Calibri" w:cs="Arial"/>
          <w:sz w:val="20"/>
          <w:szCs w:val="20"/>
          <w:lang w:eastAsia="nl-NL"/>
        </w:rPr>
        <w:tab/>
      </w:r>
      <w:r w:rsidRPr="00DE485F">
        <w:rPr>
          <w:rFonts w:ascii="Calibri" w:eastAsia="Times New Roman" w:hAnsi="Calibri" w:cs="Arial"/>
          <w:sz w:val="20"/>
          <w:szCs w:val="20"/>
          <w:lang w:eastAsia="nl-NL"/>
        </w:rPr>
        <w:tab/>
        <w:t>Datum:………………………</w:t>
      </w: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Naam ondergetekende: ……………………..</w:t>
      </w:r>
      <w:r w:rsidRPr="00DE485F">
        <w:rPr>
          <w:rFonts w:ascii="Calibri" w:eastAsia="Times New Roman" w:hAnsi="Calibri" w:cs="Arial"/>
          <w:sz w:val="20"/>
          <w:szCs w:val="20"/>
          <w:lang w:eastAsia="nl-NL"/>
        </w:rPr>
        <w:tab/>
        <w:t>Functie:………………………</w:t>
      </w: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p>
    <w:p w:rsidR="00DE485F" w:rsidRPr="00DE485F" w:rsidRDefault="00DE485F" w:rsidP="00DE485F">
      <w:pPr>
        <w:pBdr>
          <w:top w:val="single" w:sz="4" w:space="1" w:color="auto"/>
          <w:left w:val="single" w:sz="4" w:space="4" w:color="auto"/>
          <w:bottom w:val="single" w:sz="4" w:space="1" w:color="auto"/>
          <w:right w:val="single" w:sz="4" w:space="0" w:color="auto"/>
        </w:pBdr>
        <w:spacing w:before="120" w:after="0" w:line="280" w:lineRule="exact"/>
        <w:rPr>
          <w:rFonts w:ascii="Calibri" w:eastAsia="Times New Roman" w:hAnsi="Calibri" w:cs="Arial"/>
          <w:sz w:val="20"/>
          <w:szCs w:val="20"/>
          <w:lang w:eastAsia="nl-NL"/>
        </w:rPr>
      </w:pPr>
      <w:r w:rsidRPr="00DE485F">
        <w:rPr>
          <w:rFonts w:ascii="Calibri" w:eastAsia="Times New Roman" w:hAnsi="Calibri" w:cs="Arial"/>
          <w:sz w:val="20"/>
          <w:szCs w:val="20"/>
          <w:lang w:eastAsia="nl-NL"/>
        </w:rPr>
        <w:t>Handtekening: …..…………………………………………………………………..</w:t>
      </w:r>
    </w:p>
    <w:p w:rsidR="00E37D45" w:rsidRDefault="00E37D45"/>
    <w:sectPr w:rsidR="00E37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0D7"/>
    <w:multiLevelType w:val="hybridMultilevel"/>
    <w:tmpl w:val="105AD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5E5B0D"/>
    <w:multiLevelType w:val="hybridMultilevel"/>
    <w:tmpl w:val="A274C3F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E387180"/>
    <w:multiLevelType w:val="multilevel"/>
    <w:tmpl w:val="9B58F16C"/>
    <w:styleLink w:val="StandaardVe-nummering"/>
    <w:lvl w:ilvl="0">
      <w:start w:val="1"/>
      <w:numFmt w:val="decimal"/>
      <w:lvlText w:val="Ve-%1."/>
      <w:lvlJc w:val="left"/>
      <w:pPr>
        <w:tabs>
          <w:tab w:val="num" w:pos="873"/>
        </w:tabs>
        <w:ind w:left="873"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AE439C"/>
    <w:multiLevelType w:val="multilevel"/>
    <w:tmpl w:val="9B58F16C"/>
    <w:numStyleLink w:val="StandaardVe-nummering"/>
  </w:abstractNum>
  <w:num w:numId="1">
    <w:abstractNumId w:val="2"/>
  </w:num>
  <w:num w:numId="2">
    <w:abstractNumId w:val="3"/>
    <w:lvlOverride w:ilvl="0">
      <w:lvl w:ilvl="0">
        <w:start w:val="1"/>
        <w:numFmt w:val="decimal"/>
        <w:lvlText w:val="Ie-%1."/>
        <w:lvlJc w:val="left"/>
        <w:pPr>
          <w:tabs>
            <w:tab w:val="num" w:pos="873"/>
          </w:tabs>
          <w:ind w:left="873" w:hanging="360"/>
        </w:pPr>
        <w:rPr>
          <w:rFonts w:ascii="Calibri" w:hAnsi="Calibri" w:hint="default"/>
          <w:sz w:val="20"/>
          <w:szCs w:val="24"/>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5F"/>
    <w:rsid w:val="0004477B"/>
    <w:rsid w:val="00DE485F"/>
    <w:rsid w:val="00E37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andaardVe-nummering">
    <w:name w:val="Standaard Ve-nummering"/>
    <w:rsid w:val="00DE485F"/>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andaardVe-nummering">
    <w:name w:val="Standaard Ve-nummering"/>
    <w:rsid w:val="00DE485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585AF710</Template>
  <TotalTime>0</TotalTime>
  <Pages>3</Pages>
  <Words>943</Words>
  <Characters>5188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Sociale Verzekeringsbank</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Sellmeijer, Dorien (AV)</dc:creator>
  <cp:lastModifiedBy>Sellmeijer, Dorien (AV)</cp:lastModifiedBy>
  <cp:revision>2</cp:revision>
  <dcterms:created xsi:type="dcterms:W3CDTF">2016-01-22T15:52:00Z</dcterms:created>
  <dcterms:modified xsi:type="dcterms:W3CDTF">2016-01-22T15:53:00Z</dcterms:modified>
</cp:coreProperties>
</file>