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A9" w:rsidRPr="0077274D" w:rsidRDefault="004314A9" w:rsidP="004314A9">
      <w:pPr>
        <w:ind w:left="1410" w:hanging="1410"/>
        <w:rPr>
          <w:rFonts w:ascii="Verdana" w:hAnsi="Verdana"/>
          <w:b/>
          <w:sz w:val="22"/>
          <w:szCs w:val="22"/>
        </w:rPr>
      </w:pPr>
      <w:r>
        <w:rPr>
          <w:rFonts w:ascii="Verdana" w:hAnsi="Verdana"/>
          <w:b/>
          <w:sz w:val="22"/>
          <w:szCs w:val="22"/>
        </w:rPr>
        <w:t>PRODUCTSPECIFICATIE FeCl3</w:t>
      </w:r>
    </w:p>
    <w:p w:rsidR="004314A9" w:rsidRDefault="004314A9" w:rsidP="004314A9">
      <w:pPr>
        <w:rPr>
          <w:rFonts w:ascii="Arial" w:hAnsi="Arial" w:cs="Arial"/>
          <w:sz w:val="20"/>
          <w:szCs w:val="20"/>
        </w:rPr>
      </w:pPr>
    </w:p>
    <w:p w:rsidR="004314A9" w:rsidRDefault="004314A9" w:rsidP="004314A9">
      <w:pPr>
        <w:rPr>
          <w:rFonts w:ascii="Arial" w:hAnsi="Arial" w:cs="Arial"/>
          <w:sz w:val="20"/>
          <w:szCs w:val="20"/>
        </w:rPr>
      </w:pPr>
    </w:p>
    <w:p w:rsidR="004314A9" w:rsidRPr="00EE5812" w:rsidRDefault="004314A9" w:rsidP="004314A9">
      <w:pPr>
        <w:ind w:right="-334"/>
        <w:rPr>
          <w:u w:val="single"/>
        </w:rPr>
      </w:pPr>
      <w:r w:rsidRPr="00EE5812">
        <w:rPr>
          <w:u w:val="single"/>
        </w:rPr>
        <w:t>Beschrijving:</w:t>
      </w:r>
    </w:p>
    <w:p w:rsidR="004314A9" w:rsidRDefault="004314A9" w:rsidP="004314A9">
      <w:pPr>
        <w:ind w:right="-334"/>
      </w:pPr>
      <w:r>
        <w:t>IJzer(III)chloride (FeCl3) wordt omschreven in NEN-EN 888:2004(en).</w:t>
      </w:r>
    </w:p>
    <w:p w:rsidR="004314A9" w:rsidRDefault="004314A9" w:rsidP="004314A9">
      <w:pPr>
        <w:ind w:right="-334"/>
      </w:pPr>
      <w:r>
        <w:t>Bruinachtige waterige oplossing; gehalte FeCl3 40% (W/W, dichtheid bij 20 graden</w:t>
      </w:r>
    </w:p>
    <w:p w:rsidR="004314A9" w:rsidRDefault="004314A9" w:rsidP="004314A9">
      <w:pPr>
        <w:ind w:right="-334"/>
      </w:pPr>
      <w:r>
        <w:t>Celsius 1,425 kg/dm³. )</w:t>
      </w:r>
    </w:p>
    <w:p w:rsidR="004314A9" w:rsidRDefault="004314A9" w:rsidP="004314A9">
      <w:pPr>
        <w:ind w:right="-334"/>
      </w:pPr>
      <w:r>
        <w:t>De chemische formule van het werkzame bestanddeel is: FeCl3, molecuulmassa 162,2.</w:t>
      </w:r>
    </w:p>
    <w:p w:rsidR="004314A9" w:rsidRDefault="004314A9" w:rsidP="004314A9">
      <w:pPr>
        <w:ind w:right="-334"/>
      </w:pPr>
    </w:p>
    <w:p w:rsidR="004314A9" w:rsidRPr="00EE5812" w:rsidRDefault="004314A9" w:rsidP="004314A9">
      <w:pPr>
        <w:ind w:right="-334"/>
        <w:rPr>
          <w:u w:val="single"/>
        </w:rPr>
      </w:pPr>
      <w:r>
        <w:rPr>
          <w:u w:val="single"/>
        </w:rPr>
        <w:t>Werkzame stof:</w:t>
      </w:r>
    </w:p>
    <w:p w:rsidR="004314A9" w:rsidRDefault="004314A9" w:rsidP="004314A9">
      <w:pPr>
        <w:ind w:right="-334"/>
      </w:pPr>
      <w:r>
        <w:t>Leverancier waarborgt een hoeveelheid werkzame stof van 135 kilogram ijzer (Fe</w:t>
      </w:r>
    </w:p>
    <w:p w:rsidR="004314A9" w:rsidRDefault="004314A9" w:rsidP="004314A9">
      <w:pPr>
        <w:ind w:right="-334"/>
      </w:pPr>
      <w:r>
        <w:t>totaal) per 1000 kilogram eindproduct.</w:t>
      </w:r>
    </w:p>
    <w:p w:rsidR="004314A9" w:rsidRDefault="004314A9" w:rsidP="004314A9">
      <w:pPr>
        <w:ind w:right="-334"/>
      </w:pPr>
      <w:r>
        <w:rPr>
          <w:spacing w:val="-2"/>
        </w:rPr>
        <w:t xml:space="preserve">Als onderste acceptatiegrens wordt gesteld een gemeten waarde voor de dichtheid van </w:t>
      </w:r>
      <w:r w:rsidRPr="00B11ED5">
        <w:rPr>
          <w:spacing w:val="-2"/>
        </w:rPr>
        <w:t>1,3</w:t>
      </w:r>
      <w:r>
        <w:rPr>
          <w:spacing w:val="-2"/>
        </w:rPr>
        <w:t>8</w:t>
      </w:r>
      <w:r w:rsidRPr="00B11ED5">
        <w:rPr>
          <w:spacing w:val="-2"/>
        </w:rPr>
        <w:t xml:space="preserve"> kg/dm³</w:t>
      </w:r>
      <w:r>
        <w:rPr>
          <w:spacing w:val="-2"/>
        </w:rPr>
        <w:t>. Indien de dichtheid lager is dan de acceptatiegrens, wordt de levering geweigerd.</w:t>
      </w:r>
    </w:p>
    <w:p w:rsidR="004314A9" w:rsidRDefault="004314A9" w:rsidP="004314A9">
      <w:pPr>
        <w:ind w:right="-334"/>
      </w:pPr>
    </w:p>
    <w:p w:rsidR="004314A9" w:rsidRPr="00EE5812" w:rsidRDefault="004314A9" w:rsidP="004314A9">
      <w:pPr>
        <w:ind w:right="-334"/>
        <w:rPr>
          <w:u w:val="single"/>
        </w:rPr>
      </w:pPr>
      <w:r w:rsidRPr="00EE5812">
        <w:rPr>
          <w:u w:val="single"/>
        </w:rPr>
        <w:t>Productie van Product:</w:t>
      </w:r>
    </w:p>
    <w:p w:rsidR="004314A9" w:rsidRDefault="004314A9" w:rsidP="004314A9">
      <w:pPr>
        <w:ind w:right="-334"/>
      </w:pPr>
      <w:r>
        <w:t>IJzer(III)chloride (FeCl3) wordt verkregen door een reactie van ijzer of ijzer(III)oxide met chloor of een reactie van ijzer(III)oxide met zoutzuur. Het kan ook worden geproduceerd door de behandeling van ijzer(schroot) met zoutzuur, waarbij ijzer(II)chloride wordt gevormd, dat met chloor wordt geoxideerd tot ijzer(III)chloride. IJzer(III)chloride wordt in het algemeen geleverd als een oplossing van 40% in water.</w:t>
      </w:r>
    </w:p>
    <w:p w:rsidR="004314A9" w:rsidRDefault="004314A9" w:rsidP="004314A9">
      <w:pPr>
        <w:ind w:right="-334"/>
      </w:pPr>
    </w:p>
    <w:p w:rsidR="004314A9" w:rsidRDefault="004314A9" w:rsidP="004314A9">
      <w:pPr>
        <w:ind w:right="-334"/>
      </w:pPr>
      <w:r>
        <w:t xml:space="preserve">Bij de productie uit ijzerschroot wordt het schroot veelal </w:t>
      </w:r>
      <w:proofErr w:type="spellStart"/>
      <w:r>
        <w:t>voorbehandeld</w:t>
      </w:r>
      <w:proofErr w:type="spellEnd"/>
      <w:r>
        <w:t xml:space="preserve"> met behulp van middelen die organische </w:t>
      </w:r>
      <w:proofErr w:type="spellStart"/>
      <w:r>
        <w:t>amines</w:t>
      </w:r>
      <w:proofErr w:type="spellEnd"/>
      <w:r>
        <w:t xml:space="preserve"> bevatten. De aanvrager van een kwaliteitsverklaring dient over dergelijke middelen de benodigde informatie met betrekking tot receptuur, samenstelling en gebruikte hoeveelheid te verschaffen. Voor de stoffen uit de receptuur van het betreffende middel wordt een MTC vastgesteld.  Door middel van een risicobenadering op basis van een realistische worst-case situatie wordt vastgesteld of de concentratie van de betreffende stoffen in leidingwater de MTC niet overschrijdt.</w:t>
      </w:r>
    </w:p>
    <w:p w:rsidR="004314A9" w:rsidRDefault="004314A9" w:rsidP="004314A9">
      <w:pPr>
        <w:ind w:right="-334"/>
      </w:pPr>
      <w:r>
        <w:t xml:space="preserve">Bij de productie uit ijzerschroot is daarnaast het gehalte aan </w:t>
      </w:r>
      <w:proofErr w:type="spellStart"/>
      <w:r>
        <w:t>cyanides</w:t>
      </w:r>
      <w:proofErr w:type="spellEnd"/>
      <w:r>
        <w:t xml:space="preserve"> toxicologisch relevant.</w:t>
      </w:r>
    </w:p>
    <w:p w:rsidR="004314A9" w:rsidRDefault="004314A9" w:rsidP="004314A9">
      <w:pPr>
        <w:ind w:right="-334"/>
      </w:pPr>
    </w:p>
    <w:p w:rsidR="004314A9" w:rsidRPr="00EE5812" w:rsidRDefault="004314A9" w:rsidP="004314A9">
      <w:pPr>
        <w:ind w:right="-334"/>
        <w:rPr>
          <w:u w:val="single"/>
        </w:rPr>
      </w:pPr>
      <w:proofErr w:type="spellStart"/>
      <w:r w:rsidRPr="00EE5812">
        <w:rPr>
          <w:u w:val="single"/>
        </w:rPr>
        <w:t>Zuiverheideisen</w:t>
      </w:r>
      <w:proofErr w:type="spellEnd"/>
      <w:r w:rsidRPr="00EE5812">
        <w:rPr>
          <w:u w:val="single"/>
        </w:rPr>
        <w:t>:</w:t>
      </w:r>
    </w:p>
    <w:p w:rsidR="004314A9" w:rsidRDefault="004314A9" w:rsidP="004314A9">
      <w:pPr>
        <w:ind w:right="-334"/>
      </w:pPr>
      <w:r>
        <w:t>De gehalten aan de hieronder genoemde componenten in de omschreven productvorm mogen niet meer bedragen dan de bij de desbetreffende bestanddelen aangegeven waarden:</w:t>
      </w:r>
    </w:p>
    <w:p w:rsidR="004314A9" w:rsidRDefault="004314A9" w:rsidP="004314A9">
      <w:pPr>
        <w:tabs>
          <w:tab w:val="left" w:pos="-142"/>
          <w:tab w:val="left" w:pos="426"/>
          <w:tab w:val="center" w:pos="4680"/>
        </w:tabs>
        <w:suppressAutoHyphens/>
        <w:ind w:left="426" w:right="-334" w:hanging="426"/>
        <w:jc w:val="both"/>
        <w:rPr>
          <w:spacing w:val="-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6"/>
        <w:gridCol w:w="2790"/>
      </w:tblGrid>
      <w:tr w:rsidR="004314A9" w:rsidTr="007479F1">
        <w:tc>
          <w:tcPr>
            <w:tcW w:w="2866" w:type="dxa"/>
          </w:tcPr>
          <w:p w:rsidR="004314A9" w:rsidRDefault="004314A9" w:rsidP="007479F1">
            <w:pPr>
              <w:tabs>
                <w:tab w:val="left" w:pos="0"/>
                <w:tab w:val="left" w:pos="426"/>
              </w:tabs>
              <w:suppressAutoHyphens/>
              <w:ind w:left="426" w:right="-334" w:hanging="426"/>
              <w:jc w:val="both"/>
              <w:rPr>
                <w:b/>
                <w:spacing w:val="-2"/>
              </w:rPr>
            </w:pPr>
            <w:r>
              <w:rPr>
                <w:b/>
                <w:spacing w:val="-2"/>
              </w:rPr>
              <w:t>Bestanddeel</w:t>
            </w:r>
          </w:p>
        </w:tc>
        <w:tc>
          <w:tcPr>
            <w:tcW w:w="2790" w:type="dxa"/>
          </w:tcPr>
          <w:p w:rsidR="004314A9" w:rsidRDefault="004314A9" w:rsidP="007479F1">
            <w:pPr>
              <w:tabs>
                <w:tab w:val="left" w:pos="0"/>
              </w:tabs>
              <w:suppressAutoHyphens/>
              <w:ind w:right="-334"/>
              <w:jc w:val="center"/>
              <w:rPr>
                <w:b/>
                <w:spacing w:val="-2"/>
              </w:rPr>
            </w:pPr>
            <w:r>
              <w:rPr>
                <w:b/>
                <w:spacing w:val="-2"/>
              </w:rPr>
              <w:t>mg/kg FeCl</w:t>
            </w:r>
            <w:r>
              <w:rPr>
                <w:b/>
                <w:spacing w:val="-2"/>
                <w:vertAlign w:val="subscript"/>
              </w:rPr>
              <w:t>3</w:t>
            </w:r>
            <w:r w:rsidRPr="007A19E4">
              <w:rPr>
                <w:b/>
                <w:spacing w:val="-2"/>
              </w:rPr>
              <w:t xml:space="preserve"> </w:t>
            </w:r>
            <w:r>
              <w:rPr>
                <w:b/>
                <w:spacing w:val="-2"/>
              </w:rPr>
              <w:t>oplossing</w:t>
            </w:r>
          </w:p>
        </w:tc>
      </w:tr>
      <w:tr w:rsidR="004314A9" w:rsidTr="007479F1">
        <w:trPr>
          <w:trHeight w:val="253"/>
        </w:trPr>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Antimoon</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1,5</w:t>
            </w:r>
          </w:p>
        </w:tc>
      </w:tr>
      <w:tr w:rsidR="004314A9" w:rsidTr="007479F1">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Arseen</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2,6</w:t>
            </w:r>
          </w:p>
        </w:tc>
      </w:tr>
      <w:tr w:rsidR="004314A9" w:rsidTr="007479F1">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Cadmium</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1,5</w:t>
            </w:r>
          </w:p>
        </w:tc>
      </w:tr>
      <w:tr w:rsidR="004314A9" w:rsidRPr="00A0075E" w:rsidTr="007479F1">
        <w:tc>
          <w:tcPr>
            <w:tcW w:w="2866" w:type="dxa"/>
          </w:tcPr>
          <w:p w:rsidR="004314A9" w:rsidRPr="00A0075E" w:rsidRDefault="004314A9" w:rsidP="007479F1">
            <w:pPr>
              <w:tabs>
                <w:tab w:val="left" w:pos="0"/>
                <w:tab w:val="left" w:pos="426"/>
              </w:tabs>
              <w:suppressAutoHyphens/>
              <w:ind w:left="426" w:right="-334" w:hanging="426"/>
              <w:jc w:val="both"/>
              <w:rPr>
                <w:spacing w:val="-2"/>
              </w:rPr>
            </w:pPr>
            <w:r w:rsidRPr="00A0075E">
              <w:rPr>
                <w:spacing w:val="-2"/>
              </w:rPr>
              <w:t>Chroom</w:t>
            </w:r>
          </w:p>
        </w:tc>
        <w:tc>
          <w:tcPr>
            <w:tcW w:w="2790" w:type="dxa"/>
          </w:tcPr>
          <w:p w:rsidR="004314A9" w:rsidRPr="00A0075E" w:rsidRDefault="004314A9" w:rsidP="007479F1">
            <w:pPr>
              <w:tabs>
                <w:tab w:val="left" w:pos="0"/>
                <w:tab w:val="left" w:pos="426"/>
              </w:tabs>
              <w:suppressAutoHyphens/>
              <w:ind w:left="426" w:right="-334" w:hanging="426"/>
              <w:jc w:val="center"/>
              <w:rPr>
                <w:spacing w:val="-2"/>
              </w:rPr>
            </w:pPr>
            <w:r w:rsidRPr="00A0075E">
              <w:rPr>
                <w:spacing w:val="-2"/>
              </w:rPr>
              <w:t>70</w:t>
            </w:r>
          </w:p>
        </w:tc>
      </w:tr>
      <w:tr w:rsidR="004314A9" w:rsidTr="007479F1">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Kwik</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0,3</w:t>
            </w:r>
          </w:p>
        </w:tc>
      </w:tr>
      <w:tr w:rsidR="004314A9" w:rsidTr="007479F1">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Lood</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2,6</w:t>
            </w:r>
          </w:p>
        </w:tc>
      </w:tr>
      <w:tr w:rsidR="004314A9" w:rsidRPr="00A0075E" w:rsidTr="007479F1">
        <w:trPr>
          <w:trHeight w:val="253"/>
        </w:trPr>
        <w:tc>
          <w:tcPr>
            <w:tcW w:w="2866" w:type="dxa"/>
          </w:tcPr>
          <w:p w:rsidR="004314A9" w:rsidRPr="00A0075E" w:rsidRDefault="004314A9" w:rsidP="007479F1">
            <w:pPr>
              <w:tabs>
                <w:tab w:val="left" w:pos="0"/>
                <w:tab w:val="left" w:pos="426"/>
              </w:tabs>
              <w:suppressAutoHyphens/>
              <w:ind w:left="426" w:right="-334" w:hanging="426"/>
              <w:jc w:val="both"/>
              <w:rPr>
                <w:spacing w:val="-2"/>
              </w:rPr>
            </w:pPr>
            <w:r w:rsidRPr="00A0075E">
              <w:rPr>
                <w:spacing w:val="-2"/>
              </w:rPr>
              <w:t>Nikkel</w:t>
            </w:r>
          </w:p>
        </w:tc>
        <w:tc>
          <w:tcPr>
            <w:tcW w:w="2790" w:type="dxa"/>
          </w:tcPr>
          <w:p w:rsidR="004314A9" w:rsidRPr="00A0075E" w:rsidRDefault="004314A9" w:rsidP="007479F1">
            <w:pPr>
              <w:tabs>
                <w:tab w:val="left" w:pos="0"/>
                <w:tab w:val="left" w:pos="426"/>
              </w:tabs>
              <w:suppressAutoHyphens/>
              <w:ind w:left="426" w:right="-334" w:hanging="426"/>
              <w:jc w:val="center"/>
              <w:rPr>
                <w:spacing w:val="-2"/>
              </w:rPr>
            </w:pPr>
            <w:r w:rsidRPr="00A0075E">
              <w:rPr>
                <w:spacing w:val="-2"/>
              </w:rPr>
              <w:t>70</w:t>
            </w:r>
          </w:p>
        </w:tc>
      </w:tr>
      <w:tr w:rsidR="004314A9" w:rsidTr="007479F1">
        <w:trPr>
          <w:trHeight w:val="253"/>
        </w:trPr>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Seleen</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3</w:t>
            </w:r>
          </w:p>
        </w:tc>
      </w:tr>
      <w:tr w:rsidR="004314A9" w:rsidTr="007479F1">
        <w:trPr>
          <w:trHeight w:val="253"/>
        </w:trPr>
        <w:tc>
          <w:tcPr>
            <w:tcW w:w="2866" w:type="dxa"/>
          </w:tcPr>
          <w:p w:rsidR="004314A9" w:rsidRDefault="004314A9" w:rsidP="007479F1">
            <w:pPr>
              <w:tabs>
                <w:tab w:val="left" w:pos="0"/>
                <w:tab w:val="left" w:pos="426"/>
              </w:tabs>
              <w:suppressAutoHyphens/>
              <w:ind w:left="426" w:right="-334" w:hanging="426"/>
              <w:jc w:val="both"/>
              <w:rPr>
                <w:spacing w:val="-2"/>
              </w:rPr>
            </w:pPr>
            <w:r>
              <w:rPr>
                <w:spacing w:val="-2"/>
              </w:rPr>
              <w:t>Cyaniden</w:t>
            </w:r>
          </w:p>
        </w:tc>
        <w:tc>
          <w:tcPr>
            <w:tcW w:w="2790" w:type="dxa"/>
          </w:tcPr>
          <w:p w:rsidR="004314A9" w:rsidRDefault="004314A9" w:rsidP="007479F1">
            <w:pPr>
              <w:tabs>
                <w:tab w:val="left" w:pos="0"/>
                <w:tab w:val="left" w:pos="426"/>
              </w:tabs>
              <w:suppressAutoHyphens/>
              <w:ind w:left="426" w:right="-334" w:hanging="426"/>
              <w:jc w:val="center"/>
              <w:rPr>
                <w:spacing w:val="-2"/>
              </w:rPr>
            </w:pPr>
            <w:r>
              <w:rPr>
                <w:spacing w:val="-2"/>
              </w:rPr>
              <w:t>13</w:t>
            </w:r>
          </w:p>
        </w:tc>
      </w:tr>
    </w:tbl>
    <w:p w:rsidR="004314A9" w:rsidRDefault="004314A9" w:rsidP="004314A9">
      <w:pPr>
        <w:tabs>
          <w:tab w:val="left" w:pos="0"/>
          <w:tab w:val="left" w:pos="426"/>
        </w:tabs>
        <w:suppressAutoHyphens/>
        <w:ind w:left="426" w:right="-334" w:hanging="426"/>
        <w:jc w:val="both"/>
        <w:rPr>
          <w:color w:val="FF0000"/>
          <w:spacing w:val="-2"/>
        </w:rPr>
      </w:pPr>
    </w:p>
    <w:p w:rsidR="004314A9" w:rsidRDefault="004314A9" w:rsidP="004314A9">
      <w:pPr>
        <w:ind w:right="-334"/>
      </w:pPr>
    </w:p>
    <w:p w:rsidR="004314A9" w:rsidRDefault="004314A9" w:rsidP="004314A9">
      <w:pPr>
        <w:ind w:right="-334"/>
      </w:pPr>
      <w:r>
        <w:t>De bijdrage die onzuiverheden in drinkwater-chemicaliën leveren, mogen bij de gekozen dosering, niet meer dan 10% van de norm opvullen die in de waterleidingwet, WVO en/of KRW staat genoemd.</w:t>
      </w:r>
    </w:p>
    <w:p w:rsidR="004314A9" w:rsidRDefault="004314A9" w:rsidP="004314A9">
      <w:pPr>
        <w:ind w:right="-334"/>
      </w:pPr>
      <w:r>
        <w:lastRenderedPageBreak/>
        <w:t>Bij de berekening van de maximale concentraties die voortvloeien uit de bovenstaande regel mag geen rekening worden gehouden met het feit dat een deel van deze onzuiverheden bij de zuivering tot drinkwater wordt verwijderd.</w:t>
      </w:r>
    </w:p>
    <w:p w:rsidR="004314A9" w:rsidRDefault="004314A9" w:rsidP="004314A9">
      <w:pPr>
        <w:ind w:right="-334"/>
      </w:pPr>
    </w:p>
    <w:p w:rsidR="004314A9" w:rsidRPr="00EE5812" w:rsidRDefault="004314A9" w:rsidP="004314A9">
      <w:pPr>
        <w:ind w:right="-334"/>
        <w:rPr>
          <w:u w:val="single"/>
        </w:rPr>
      </w:pPr>
      <w:r w:rsidRPr="00EE5812">
        <w:rPr>
          <w:u w:val="single"/>
        </w:rPr>
        <w:t>Criteria en grenswaarden:</w:t>
      </w:r>
    </w:p>
    <w:p w:rsidR="004314A9" w:rsidRDefault="004314A9" w:rsidP="004314A9">
      <w:pPr>
        <w:ind w:right="-334"/>
      </w:pPr>
      <w:r>
        <w:t>De maximale dosering van ijzer(III)chloride ten behoeve van drinkwater toepassing bedraagt 50 mg Fe per liter te behandelen water.</w:t>
      </w:r>
    </w:p>
    <w:p w:rsidR="004314A9" w:rsidRDefault="004314A9" w:rsidP="004314A9">
      <w:pPr>
        <w:ind w:right="-334"/>
      </w:pPr>
    </w:p>
    <w:p w:rsidR="004314A9" w:rsidRPr="00EE5812" w:rsidRDefault="004314A9" w:rsidP="004314A9">
      <w:pPr>
        <w:ind w:right="-334"/>
        <w:rPr>
          <w:u w:val="single"/>
        </w:rPr>
      </w:pPr>
      <w:r w:rsidRPr="00EE5812">
        <w:rPr>
          <w:u w:val="single"/>
        </w:rPr>
        <w:t>Beoordeling:</w:t>
      </w:r>
    </w:p>
    <w:p w:rsidR="004314A9" w:rsidRDefault="004314A9" w:rsidP="004314A9">
      <w:pPr>
        <w:ind w:right="-334"/>
      </w:pPr>
      <w:r>
        <w:t xml:space="preserve">IJzer(III)chloride is toelaatbaar voor drinkwatertoepassing als de resultaten van de analyse op zware metalen aan bovengenoemde grenswaarden voldoen en (indien van toepassing) de resultaten van de risicobenadering voldoen aan de vastgestelde </w:t>
      </w:r>
      <w:proofErr w:type="spellStart"/>
      <w:r>
        <w:t>MTC's</w:t>
      </w:r>
      <w:proofErr w:type="spellEnd"/>
      <w:r>
        <w:t>.</w:t>
      </w:r>
    </w:p>
    <w:p w:rsidR="004314A9" w:rsidRDefault="004314A9" w:rsidP="004314A9"/>
    <w:p w:rsidR="004314A9" w:rsidRDefault="004314A9" w:rsidP="004314A9">
      <w:pPr>
        <w:ind w:right="-334"/>
      </w:pPr>
    </w:p>
    <w:p w:rsidR="004314A9" w:rsidRPr="0077274D" w:rsidRDefault="004314A9" w:rsidP="004314A9">
      <w:pPr>
        <w:ind w:left="1410" w:hanging="1410"/>
        <w:rPr>
          <w:rFonts w:ascii="Verdana" w:hAnsi="Verdana"/>
          <w:b/>
          <w:sz w:val="22"/>
          <w:szCs w:val="22"/>
        </w:rPr>
      </w:pPr>
      <w:r>
        <w:rPr>
          <w:rFonts w:ascii="Verdana" w:hAnsi="Verdana"/>
          <w:b/>
          <w:sz w:val="22"/>
          <w:szCs w:val="22"/>
        </w:rPr>
        <w:br w:type="page"/>
      </w:r>
      <w:r>
        <w:rPr>
          <w:rFonts w:ascii="Verdana" w:hAnsi="Verdana"/>
          <w:b/>
          <w:sz w:val="22"/>
          <w:szCs w:val="22"/>
        </w:rPr>
        <w:lastRenderedPageBreak/>
        <w:t>PRODUCTSPECIFICATIE FeClSO4</w:t>
      </w:r>
    </w:p>
    <w:p w:rsidR="004314A9" w:rsidRDefault="004314A9" w:rsidP="004314A9"/>
    <w:p w:rsidR="004314A9" w:rsidRPr="00EE5812" w:rsidRDefault="004314A9" w:rsidP="004314A9">
      <w:pPr>
        <w:ind w:right="-334"/>
        <w:rPr>
          <w:u w:val="single"/>
        </w:rPr>
      </w:pPr>
      <w:r w:rsidRPr="00EE5812">
        <w:rPr>
          <w:u w:val="single"/>
        </w:rPr>
        <w:t>Beschrijving:</w:t>
      </w:r>
    </w:p>
    <w:p w:rsidR="004314A9" w:rsidRDefault="004314A9" w:rsidP="004314A9">
      <w:pPr>
        <w:ind w:right="-334"/>
      </w:pPr>
      <w:r>
        <w:t>IJzer(III)chloridesulfaat (FeClSO4) wordt omschreven in NEN-EN 891:2004 (en).</w:t>
      </w:r>
    </w:p>
    <w:p w:rsidR="004314A9" w:rsidRDefault="004314A9" w:rsidP="004314A9">
      <w:pPr>
        <w:ind w:right="-334"/>
      </w:pPr>
      <w:r>
        <w:t>Bruinachtige waterige oplossing; gehalte FeClSO4 40% (W/W, dichtheid bij 20 graden Celsius 1,50 kg/dm³.)</w:t>
      </w:r>
    </w:p>
    <w:p w:rsidR="004314A9" w:rsidRDefault="004314A9" w:rsidP="004314A9">
      <w:pPr>
        <w:ind w:right="-334"/>
      </w:pPr>
      <w:r>
        <w:t>De chemische formule van het werkzame bestanddeel is: FeClSO4, molecuulmassa 187,34.</w:t>
      </w:r>
    </w:p>
    <w:p w:rsidR="004314A9" w:rsidRDefault="004314A9" w:rsidP="004314A9">
      <w:pPr>
        <w:ind w:right="-334"/>
      </w:pPr>
    </w:p>
    <w:p w:rsidR="004314A9" w:rsidRPr="00EE5812" w:rsidRDefault="004314A9" w:rsidP="004314A9">
      <w:pPr>
        <w:ind w:right="-334"/>
        <w:rPr>
          <w:u w:val="single"/>
        </w:rPr>
      </w:pPr>
      <w:r>
        <w:rPr>
          <w:u w:val="single"/>
        </w:rPr>
        <w:t>Werkzame stof:</w:t>
      </w:r>
    </w:p>
    <w:p w:rsidR="004314A9" w:rsidRDefault="004314A9" w:rsidP="004314A9">
      <w:pPr>
        <w:ind w:right="-334"/>
      </w:pPr>
      <w:r>
        <w:t>Leverancier waarborgt een hoeveelheid werkzame stof van 12</w:t>
      </w:r>
      <w:r w:rsidR="002A0572">
        <w:t>2</w:t>
      </w:r>
      <w:r>
        <w:t xml:space="preserve"> kilogram ijzer (Fe totaal) per 1000 kilogram eindproduct.</w:t>
      </w:r>
    </w:p>
    <w:p w:rsidR="004314A9" w:rsidRDefault="004314A9" w:rsidP="004314A9">
      <w:pPr>
        <w:ind w:right="-334"/>
      </w:pPr>
      <w:r>
        <w:rPr>
          <w:spacing w:val="-2"/>
        </w:rPr>
        <w:t xml:space="preserve">Als onderste acceptatiegrens wordt gesteld een gemeten waarde voor de dichtheid van </w:t>
      </w:r>
      <w:r w:rsidRPr="00B11ED5">
        <w:rPr>
          <w:spacing w:val="-2"/>
        </w:rPr>
        <w:t>1,</w:t>
      </w:r>
      <w:r>
        <w:rPr>
          <w:spacing w:val="-2"/>
        </w:rPr>
        <w:t>4</w:t>
      </w:r>
      <w:r w:rsidR="002A0572">
        <w:rPr>
          <w:spacing w:val="-2"/>
        </w:rPr>
        <w:t>4</w:t>
      </w:r>
      <w:r w:rsidRPr="00B11ED5">
        <w:rPr>
          <w:spacing w:val="-2"/>
        </w:rPr>
        <w:t xml:space="preserve"> kg/dm³</w:t>
      </w:r>
      <w:r>
        <w:rPr>
          <w:spacing w:val="-2"/>
        </w:rPr>
        <w:t>. Indien de dichtheid lager is dan de acceptatiegrens, wordt de levering geweigerd.</w:t>
      </w:r>
    </w:p>
    <w:p w:rsidR="004314A9" w:rsidRDefault="004314A9" w:rsidP="004314A9">
      <w:pPr>
        <w:ind w:right="-334"/>
      </w:pPr>
    </w:p>
    <w:p w:rsidR="004314A9" w:rsidRPr="00EE5812" w:rsidRDefault="004314A9" w:rsidP="004314A9">
      <w:pPr>
        <w:ind w:right="-334"/>
        <w:rPr>
          <w:u w:val="single"/>
        </w:rPr>
      </w:pPr>
      <w:r w:rsidRPr="00EE5812">
        <w:rPr>
          <w:u w:val="single"/>
        </w:rPr>
        <w:t>Productie van Product:</w:t>
      </w:r>
    </w:p>
    <w:p w:rsidR="004314A9" w:rsidRDefault="004314A9" w:rsidP="004314A9">
      <w:pPr>
        <w:ind w:right="-334"/>
      </w:pPr>
      <w:r>
        <w:rPr>
          <w:spacing w:val="-2"/>
        </w:rPr>
        <w:t>Wordt verkregen door het oplossen van ijzer(II)sulfaat in water en vervolgens te laten reageren met chloor.</w:t>
      </w:r>
    </w:p>
    <w:p w:rsidR="004314A9" w:rsidRDefault="004314A9" w:rsidP="004314A9">
      <w:pPr>
        <w:ind w:right="-334"/>
      </w:pPr>
    </w:p>
    <w:p w:rsidR="004314A9" w:rsidRPr="00EE5812" w:rsidRDefault="004314A9" w:rsidP="004314A9">
      <w:pPr>
        <w:ind w:right="-334"/>
        <w:rPr>
          <w:u w:val="single"/>
        </w:rPr>
      </w:pPr>
      <w:proofErr w:type="spellStart"/>
      <w:r w:rsidRPr="00EE5812">
        <w:rPr>
          <w:u w:val="single"/>
        </w:rPr>
        <w:t>Zuiverheideisen</w:t>
      </w:r>
      <w:proofErr w:type="spellEnd"/>
      <w:r w:rsidRPr="00EE5812">
        <w:rPr>
          <w:u w:val="single"/>
        </w:rPr>
        <w:t>:</w:t>
      </w:r>
    </w:p>
    <w:p w:rsidR="004314A9" w:rsidRDefault="004314A9" w:rsidP="004314A9">
      <w:pPr>
        <w:ind w:right="-334"/>
      </w:pPr>
      <w:r>
        <w:t>De gehalten aan de hieronder genoemde componenten in de omschreven productvorm mogen niet meer bedragen dan de bij de desbetreffende bestanddelen aangegeven waarden:</w:t>
      </w:r>
    </w:p>
    <w:p w:rsidR="004314A9" w:rsidRDefault="004314A9" w:rsidP="004314A9">
      <w:pPr>
        <w:tabs>
          <w:tab w:val="left" w:pos="-142"/>
          <w:tab w:val="left" w:pos="426"/>
          <w:tab w:val="center" w:pos="4680"/>
        </w:tabs>
        <w:suppressAutoHyphens/>
        <w:ind w:left="426" w:right="-334" w:hanging="426"/>
        <w:jc w:val="both"/>
        <w:rPr>
          <w:spacing w:val="-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5"/>
        <w:gridCol w:w="3011"/>
      </w:tblGrid>
      <w:tr w:rsidR="002A0572" w:rsidTr="002A0572">
        <w:tc>
          <w:tcPr>
            <w:tcW w:w="3185" w:type="dxa"/>
          </w:tcPr>
          <w:p w:rsidR="002A0572" w:rsidRDefault="002A0572" w:rsidP="002A0572">
            <w:pPr>
              <w:tabs>
                <w:tab w:val="left" w:pos="0"/>
                <w:tab w:val="left" w:pos="426"/>
              </w:tabs>
              <w:suppressAutoHyphens/>
              <w:ind w:left="426" w:right="-334" w:hanging="426"/>
              <w:jc w:val="both"/>
              <w:rPr>
                <w:b/>
                <w:spacing w:val="-2"/>
              </w:rPr>
            </w:pPr>
          </w:p>
        </w:tc>
        <w:tc>
          <w:tcPr>
            <w:tcW w:w="3011" w:type="dxa"/>
          </w:tcPr>
          <w:p w:rsidR="002A0572" w:rsidRDefault="002A0572" w:rsidP="002A0572">
            <w:pPr>
              <w:tabs>
                <w:tab w:val="left" w:pos="0"/>
              </w:tabs>
              <w:suppressAutoHyphens/>
              <w:ind w:right="-334"/>
              <w:jc w:val="center"/>
              <w:rPr>
                <w:b/>
                <w:spacing w:val="-2"/>
              </w:rPr>
            </w:pPr>
            <w:r>
              <w:rPr>
                <w:b/>
                <w:spacing w:val="-2"/>
              </w:rPr>
              <w:t>Drinkwater</w:t>
            </w:r>
          </w:p>
        </w:tc>
      </w:tr>
      <w:tr w:rsidR="004314A9" w:rsidTr="002A0572">
        <w:tc>
          <w:tcPr>
            <w:tcW w:w="3185" w:type="dxa"/>
          </w:tcPr>
          <w:p w:rsidR="004314A9" w:rsidRDefault="004314A9" w:rsidP="002A0572">
            <w:pPr>
              <w:tabs>
                <w:tab w:val="left" w:pos="0"/>
                <w:tab w:val="left" w:pos="426"/>
              </w:tabs>
              <w:suppressAutoHyphens/>
              <w:ind w:left="426" w:right="-334" w:hanging="426"/>
              <w:jc w:val="both"/>
              <w:rPr>
                <w:b/>
                <w:spacing w:val="-2"/>
              </w:rPr>
            </w:pPr>
            <w:r>
              <w:rPr>
                <w:b/>
                <w:spacing w:val="-2"/>
              </w:rPr>
              <w:t>Bestanddeel</w:t>
            </w:r>
          </w:p>
        </w:tc>
        <w:tc>
          <w:tcPr>
            <w:tcW w:w="3011" w:type="dxa"/>
          </w:tcPr>
          <w:p w:rsidR="004314A9" w:rsidRDefault="004314A9" w:rsidP="002A0572">
            <w:pPr>
              <w:tabs>
                <w:tab w:val="left" w:pos="0"/>
              </w:tabs>
              <w:suppressAutoHyphens/>
              <w:ind w:right="-334"/>
              <w:jc w:val="center"/>
              <w:rPr>
                <w:b/>
                <w:spacing w:val="-2"/>
              </w:rPr>
            </w:pPr>
            <w:r>
              <w:rPr>
                <w:b/>
                <w:spacing w:val="-2"/>
              </w:rPr>
              <w:t>mg/kg FeClSO</w:t>
            </w:r>
            <w:r>
              <w:rPr>
                <w:b/>
                <w:spacing w:val="-2"/>
                <w:vertAlign w:val="subscript"/>
              </w:rPr>
              <w:t>4</w:t>
            </w:r>
            <w:r w:rsidRPr="007A19E4">
              <w:rPr>
                <w:b/>
                <w:spacing w:val="-2"/>
              </w:rPr>
              <w:t xml:space="preserve"> </w:t>
            </w:r>
            <w:r>
              <w:rPr>
                <w:b/>
                <w:spacing w:val="-2"/>
              </w:rPr>
              <w:t>oplossing</w:t>
            </w:r>
          </w:p>
        </w:tc>
      </w:tr>
      <w:tr w:rsidR="004314A9" w:rsidTr="002A0572">
        <w:trPr>
          <w:trHeight w:val="253"/>
        </w:trPr>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Antimoon</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1,5</w:t>
            </w:r>
          </w:p>
        </w:tc>
      </w:tr>
      <w:tr w:rsidR="004314A9" w:rsidTr="002A0572">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Arseen</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2,6</w:t>
            </w:r>
          </w:p>
        </w:tc>
      </w:tr>
      <w:tr w:rsidR="004314A9" w:rsidTr="002A0572">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Cadmium</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1,5</w:t>
            </w:r>
          </w:p>
        </w:tc>
      </w:tr>
      <w:tr w:rsidR="004314A9" w:rsidTr="002A0572">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Chroom</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70</w:t>
            </w:r>
          </w:p>
        </w:tc>
      </w:tr>
      <w:tr w:rsidR="004314A9" w:rsidTr="002A0572">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Kwik</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0,3</w:t>
            </w:r>
          </w:p>
        </w:tc>
      </w:tr>
      <w:tr w:rsidR="004314A9" w:rsidTr="002A0572">
        <w:trPr>
          <w:trHeight w:val="253"/>
        </w:trPr>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Nikkel</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70</w:t>
            </w:r>
          </w:p>
        </w:tc>
      </w:tr>
      <w:tr w:rsidR="004314A9" w:rsidTr="002A0572">
        <w:trPr>
          <w:trHeight w:val="253"/>
        </w:trPr>
        <w:tc>
          <w:tcPr>
            <w:tcW w:w="3185" w:type="dxa"/>
          </w:tcPr>
          <w:p w:rsidR="004314A9" w:rsidRDefault="004314A9" w:rsidP="002A0572">
            <w:pPr>
              <w:tabs>
                <w:tab w:val="left" w:pos="0"/>
                <w:tab w:val="left" w:pos="426"/>
              </w:tabs>
              <w:suppressAutoHyphens/>
              <w:ind w:left="426" w:right="-334" w:hanging="426"/>
              <w:jc w:val="both"/>
              <w:rPr>
                <w:spacing w:val="-2"/>
              </w:rPr>
            </w:pPr>
            <w:r>
              <w:rPr>
                <w:spacing w:val="-2"/>
              </w:rPr>
              <w:t>Seleen</w:t>
            </w:r>
          </w:p>
        </w:tc>
        <w:tc>
          <w:tcPr>
            <w:tcW w:w="3011" w:type="dxa"/>
          </w:tcPr>
          <w:p w:rsidR="004314A9" w:rsidRDefault="004314A9" w:rsidP="002A0572">
            <w:pPr>
              <w:tabs>
                <w:tab w:val="left" w:pos="0"/>
                <w:tab w:val="left" w:pos="426"/>
              </w:tabs>
              <w:suppressAutoHyphens/>
              <w:ind w:left="426" w:right="-334" w:hanging="426"/>
              <w:jc w:val="center"/>
              <w:rPr>
                <w:spacing w:val="-2"/>
              </w:rPr>
            </w:pPr>
            <w:r>
              <w:rPr>
                <w:spacing w:val="-2"/>
              </w:rPr>
              <w:t>3</w:t>
            </w:r>
          </w:p>
        </w:tc>
      </w:tr>
    </w:tbl>
    <w:p w:rsidR="004314A9" w:rsidRDefault="004314A9" w:rsidP="002A0572">
      <w:pPr>
        <w:tabs>
          <w:tab w:val="left" w:pos="0"/>
          <w:tab w:val="left" w:pos="426"/>
        </w:tabs>
        <w:suppressAutoHyphens/>
        <w:ind w:left="426" w:right="-334" w:hanging="426"/>
        <w:jc w:val="both"/>
        <w:rPr>
          <w:color w:val="FF0000"/>
          <w:spacing w:val="-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2977"/>
      </w:tblGrid>
      <w:tr w:rsidR="002A0572" w:rsidTr="002A0572">
        <w:tc>
          <w:tcPr>
            <w:tcW w:w="3185" w:type="dxa"/>
            <w:tcBorders>
              <w:top w:val="single" w:sz="4" w:space="0" w:color="auto"/>
              <w:left w:val="single" w:sz="4" w:space="0" w:color="auto"/>
              <w:bottom w:val="single" w:sz="4" w:space="0" w:color="auto"/>
              <w:right w:val="single" w:sz="4" w:space="0" w:color="auto"/>
            </w:tcBorders>
          </w:tcPr>
          <w:p w:rsidR="002A0572" w:rsidRDefault="002A0572" w:rsidP="002A0572">
            <w:pPr>
              <w:tabs>
                <w:tab w:val="left" w:pos="0"/>
                <w:tab w:val="left" w:pos="426"/>
              </w:tabs>
              <w:suppressAutoHyphens/>
              <w:spacing w:line="276" w:lineRule="auto"/>
              <w:ind w:left="426" w:right="-334" w:hanging="426"/>
              <w:jc w:val="both"/>
              <w:rPr>
                <w:b/>
                <w:spacing w:val="-2"/>
                <w:sz w:val="20"/>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s>
              <w:suppressAutoHyphens/>
              <w:spacing w:line="276" w:lineRule="auto"/>
              <w:ind w:right="-334"/>
              <w:jc w:val="center"/>
              <w:rPr>
                <w:b/>
                <w:spacing w:val="-2"/>
                <w:lang w:eastAsia="en-US"/>
              </w:rPr>
            </w:pPr>
            <w:r w:rsidRPr="002A0572">
              <w:rPr>
                <w:b/>
                <w:spacing w:val="-2"/>
                <w:lang w:eastAsia="en-US"/>
              </w:rPr>
              <w:t>Rioolwater</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b/>
                <w:spacing w:val="-2"/>
                <w:lang w:eastAsia="en-US"/>
              </w:rPr>
            </w:pPr>
            <w:r w:rsidRPr="002A0572">
              <w:rPr>
                <w:b/>
                <w:spacing w:val="-2"/>
                <w:lang w:eastAsia="en-US"/>
              </w:rPr>
              <w:t>Bestanddeel</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s>
              <w:suppressAutoHyphens/>
              <w:spacing w:line="276" w:lineRule="auto"/>
              <w:ind w:right="-334"/>
              <w:jc w:val="center"/>
              <w:rPr>
                <w:b/>
                <w:spacing w:val="-2"/>
                <w:lang w:eastAsia="en-US"/>
              </w:rPr>
            </w:pPr>
            <w:r w:rsidRPr="002A0572">
              <w:rPr>
                <w:b/>
                <w:spacing w:val="-2"/>
                <w:lang w:eastAsia="en-US"/>
              </w:rPr>
              <w:t>mg/kg FeClSO</w:t>
            </w:r>
            <w:r w:rsidRPr="002A0572">
              <w:rPr>
                <w:b/>
                <w:spacing w:val="-2"/>
                <w:vertAlign w:val="subscript"/>
                <w:lang w:eastAsia="en-US"/>
              </w:rPr>
              <w:t>4</w:t>
            </w:r>
            <w:r w:rsidRPr="002A0572">
              <w:rPr>
                <w:b/>
                <w:spacing w:val="-2"/>
                <w:lang w:eastAsia="en-US"/>
              </w:rPr>
              <w:t xml:space="preserve">  oplossing</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Antimoon</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3</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Arseen</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10</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ind w:left="426" w:right="-334" w:hanging="426"/>
              <w:jc w:val="both"/>
              <w:rPr>
                <w:spacing w:val="-2"/>
              </w:rPr>
            </w:pPr>
            <w:r w:rsidRPr="002A0572">
              <w:rPr>
                <w:spacing w:val="-2"/>
              </w:rPr>
              <w:t>Cadmium</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ind w:left="426" w:right="-334" w:hanging="426"/>
              <w:jc w:val="center"/>
              <w:rPr>
                <w:spacing w:val="-2"/>
              </w:rPr>
            </w:pPr>
            <w:r w:rsidRPr="002A0572">
              <w:rPr>
                <w:spacing w:val="-2"/>
              </w:rPr>
              <w:t>1,5</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ind w:left="426" w:right="-334" w:hanging="426"/>
              <w:jc w:val="both"/>
              <w:rPr>
                <w:spacing w:val="-2"/>
              </w:rPr>
            </w:pPr>
            <w:r w:rsidRPr="002A0572">
              <w:rPr>
                <w:spacing w:val="-2"/>
              </w:rPr>
              <w:t>Chroom</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ind w:left="426" w:right="-334" w:hanging="426"/>
              <w:jc w:val="center"/>
              <w:rPr>
                <w:spacing w:val="-2"/>
              </w:rPr>
            </w:pPr>
            <w:r w:rsidRPr="002A0572">
              <w:rPr>
                <w:spacing w:val="-2"/>
              </w:rPr>
              <w:t>80</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Cyaniden</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13</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Lood</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13</w:t>
            </w:r>
          </w:p>
        </w:tc>
      </w:tr>
      <w:tr w:rsidR="002A0572" w:rsidTr="002A0572">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Kwik</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0,3</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Koper</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42</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Nikkel</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50</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Seleen</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3</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rPr>
                <w:spacing w:val="-2"/>
                <w:lang w:eastAsia="en-US"/>
              </w:rPr>
            </w:pPr>
            <w:r w:rsidRPr="002A0572">
              <w:rPr>
                <w:spacing w:val="-2"/>
                <w:lang w:eastAsia="en-US"/>
              </w:rPr>
              <w:t>Zink</w:t>
            </w:r>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42</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rPr>
                <w:spacing w:val="-2"/>
                <w:lang w:eastAsia="en-US"/>
              </w:rPr>
            </w:pPr>
            <w:r w:rsidRPr="002A0572">
              <w:rPr>
                <w:spacing w:val="-2"/>
                <w:lang w:eastAsia="en-US"/>
              </w:rPr>
              <w:t xml:space="preserve">Primaire aromatische </w:t>
            </w:r>
            <w:proofErr w:type="spellStart"/>
            <w:r w:rsidRPr="002A0572">
              <w:rPr>
                <w:spacing w:val="-2"/>
                <w:lang w:eastAsia="en-US"/>
              </w:rPr>
              <w:t>amines</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3</w:t>
            </w:r>
          </w:p>
        </w:tc>
      </w:tr>
      <w:tr w:rsidR="002A0572" w:rsidTr="002A0572">
        <w:trPr>
          <w:trHeight w:val="253"/>
        </w:trPr>
        <w:tc>
          <w:tcPr>
            <w:tcW w:w="3185"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both"/>
              <w:rPr>
                <w:spacing w:val="-2"/>
                <w:lang w:eastAsia="en-US"/>
              </w:rPr>
            </w:pPr>
            <w:r w:rsidRPr="002A0572">
              <w:rPr>
                <w:spacing w:val="-2"/>
                <w:lang w:eastAsia="en-US"/>
              </w:rPr>
              <w:t xml:space="preserve">Secundaire </w:t>
            </w:r>
            <w:proofErr w:type="spellStart"/>
            <w:r w:rsidRPr="002A0572">
              <w:rPr>
                <w:spacing w:val="-2"/>
                <w:lang w:eastAsia="en-US"/>
              </w:rPr>
              <w:t>alifatische</w:t>
            </w:r>
            <w:proofErr w:type="spellEnd"/>
            <w:r w:rsidRPr="002A0572">
              <w:rPr>
                <w:spacing w:val="-2"/>
                <w:lang w:eastAsia="en-US"/>
              </w:rPr>
              <w:t xml:space="preserve"> </w:t>
            </w:r>
            <w:proofErr w:type="spellStart"/>
            <w:r w:rsidRPr="002A0572">
              <w:rPr>
                <w:spacing w:val="-2"/>
                <w:lang w:eastAsia="en-US"/>
              </w:rPr>
              <w:t>amines</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A0572" w:rsidRPr="002A0572" w:rsidRDefault="002A0572" w:rsidP="002A0572">
            <w:pPr>
              <w:tabs>
                <w:tab w:val="left" w:pos="0"/>
                <w:tab w:val="left" w:pos="426"/>
              </w:tabs>
              <w:suppressAutoHyphens/>
              <w:spacing w:line="276" w:lineRule="auto"/>
              <w:ind w:left="426" w:right="-334" w:hanging="426"/>
              <w:jc w:val="center"/>
              <w:rPr>
                <w:spacing w:val="-2"/>
                <w:lang w:eastAsia="en-US"/>
              </w:rPr>
            </w:pPr>
            <w:r w:rsidRPr="002A0572">
              <w:rPr>
                <w:spacing w:val="-2"/>
                <w:lang w:eastAsia="en-US"/>
              </w:rPr>
              <w:t>3</w:t>
            </w:r>
          </w:p>
        </w:tc>
      </w:tr>
    </w:tbl>
    <w:p w:rsidR="004314A9" w:rsidRDefault="004314A9" w:rsidP="004314A9">
      <w:pPr>
        <w:ind w:right="-334"/>
      </w:pPr>
      <w:r>
        <w:lastRenderedPageBreak/>
        <w:t>De bijdrage die onzuiverheden in drinkwater-chemicaliën leveren, mogen bij de gekozen dosering, niet meer dan 10% van de norm opvullen die in de waterleidingwet, WVO en/of KWR staat genoemd.</w:t>
      </w:r>
    </w:p>
    <w:p w:rsidR="004314A9" w:rsidRDefault="004314A9" w:rsidP="004314A9">
      <w:pPr>
        <w:ind w:right="-334"/>
      </w:pPr>
      <w:r>
        <w:t>Bij de berekening van de maximale concentraties die voortvloeien uit de bovenstaande regel mag geen rekening worden gehouden met het feit dat een deel van deze onzuiverheden bij de zuivering tot drinkwater wordt verwijderd.</w:t>
      </w:r>
    </w:p>
    <w:p w:rsidR="004314A9" w:rsidRDefault="004314A9" w:rsidP="004314A9">
      <w:pPr>
        <w:ind w:right="-334"/>
      </w:pPr>
    </w:p>
    <w:p w:rsidR="004314A9" w:rsidRPr="00EE5812" w:rsidRDefault="004314A9" w:rsidP="004314A9">
      <w:pPr>
        <w:ind w:right="-334"/>
        <w:rPr>
          <w:u w:val="single"/>
        </w:rPr>
      </w:pPr>
      <w:r w:rsidRPr="00EE5812">
        <w:rPr>
          <w:u w:val="single"/>
        </w:rPr>
        <w:t>Criteria en grenswaarden:</w:t>
      </w:r>
    </w:p>
    <w:p w:rsidR="004314A9" w:rsidRDefault="004314A9" w:rsidP="004314A9">
      <w:pPr>
        <w:ind w:right="-334"/>
      </w:pPr>
      <w:r>
        <w:t>De maximale dosering van ijzerchloridesulfaat ten behoeve van drinkwater toepassing bedraagt 50 mg Fe per liter te behandelen water.</w:t>
      </w:r>
    </w:p>
    <w:p w:rsidR="004314A9" w:rsidRDefault="004314A9" w:rsidP="004314A9">
      <w:pPr>
        <w:ind w:right="-334"/>
      </w:pPr>
    </w:p>
    <w:p w:rsidR="004314A9" w:rsidRPr="00EE5812" w:rsidRDefault="004314A9" w:rsidP="004314A9">
      <w:pPr>
        <w:ind w:right="-334"/>
        <w:rPr>
          <w:u w:val="single"/>
        </w:rPr>
      </w:pPr>
      <w:r w:rsidRPr="00EE5812">
        <w:rPr>
          <w:u w:val="single"/>
        </w:rPr>
        <w:t>Beoordeling:</w:t>
      </w:r>
    </w:p>
    <w:p w:rsidR="004314A9" w:rsidRDefault="004314A9" w:rsidP="004314A9">
      <w:pPr>
        <w:ind w:right="-334"/>
      </w:pPr>
      <w:r>
        <w:t xml:space="preserve">IJzerchloridesulfaat is toelaatbaar als de resultaten van de analyse op zware metalen aan bovengenoemde grenswaarden voldoen en (indien van toepassing) de resultaten van de risicobenadering voldoen aan de vastgestelde </w:t>
      </w:r>
      <w:proofErr w:type="spellStart"/>
      <w:r>
        <w:t>MTC's</w:t>
      </w:r>
      <w:proofErr w:type="spellEnd"/>
      <w:r>
        <w:t>.</w:t>
      </w:r>
    </w:p>
    <w:p w:rsidR="004314A9" w:rsidRDefault="004314A9" w:rsidP="004314A9">
      <w:pPr>
        <w:ind w:right="-334"/>
      </w:pPr>
    </w:p>
    <w:p w:rsidR="004314A9" w:rsidRDefault="004314A9">
      <w:pPr>
        <w:spacing w:after="200" w:line="276" w:lineRule="auto"/>
        <w:rPr>
          <w:rFonts w:ascii="Verdana" w:hAnsi="Verdana"/>
          <w:b/>
          <w:sz w:val="22"/>
          <w:szCs w:val="22"/>
        </w:rPr>
      </w:pPr>
      <w:r>
        <w:rPr>
          <w:rFonts w:ascii="Verdana" w:hAnsi="Verdana"/>
          <w:b/>
          <w:sz w:val="22"/>
          <w:szCs w:val="22"/>
        </w:rPr>
        <w:br w:type="page"/>
      </w:r>
    </w:p>
    <w:p w:rsidR="004314A9" w:rsidRPr="0077274D" w:rsidRDefault="004314A9" w:rsidP="004314A9">
      <w:pPr>
        <w:ind w:left="1410" w:hanging="1410"/>
        <w:rPr>
          <w:rFonts w:ascii="Verdana" w:hAnsi="Verdana"/>
          <w:b/>
          <w:sz w:val="22"/>
          <w:szCs w:val="22"/>
        </w:rPr>
      </w:pPr>
      <w:r>
        <w:rPr>
          <w:rFonts w:ascii="Verdana" w:hAnsi="Verdana"/>
          <w:b/>
          <w:sz w:val="22"/>
          <w:szCs w:val="22"/>
        </w:rPr>
        <w:lastRenderedPageBreak/>
        <w:t>PRODUCTSPECIFICATIE Poly-aluminiumchloride</w:t>
      </w:r>
    </w:p>
    <w:p w:rsidR="004314A9" w:rsidRDefault="004314A9" w:rsidP="004314A9"/>
    <w:p w:rsidR="004314A9" w:rsidRDefault="004314A9" w:rsidP="004314A9">
      <w:pPr>
        <w:rPr>
          <w:rFonts w:ascii="Arial" w:hAnsi="Arial" w:cs="Arial"/>
          <w:sz w:val="20"/>
          <w:szCs w:val="20"/>
        </w:rPr>
      </w:pPr>
    </w:p>
    <w:p w:rsidR="004314A9" w:rsidRPr="00EE5812" w:rsidRDefault="004314A9" w:rsidP="004314A9">
      <w:pPr>
        <w:ind w:right="-334"/>
        <w:rPr>
          <w:u w:val="single"/>
        </w:rPr>
      </w:pPr>
      <w:r w:rsidRPr="00EE5812">
        <w:rPr>
          <w:u w:val="single"/>
        </w:rPr>
        <w:t>Beschrijving:</w:t>
      </w:r>
    </w:p>
    <w:p w:rsidR="00D56E98" w:rsidRDefault="004314A9" w:rsidP="003672D8">
      <w:pPr>
        <w:ind w:right="-334"/>
      </w:pPr>
      <w:r>
        <w:t>Poly-</w:t>
      </w:r>
      <w:proofErr w:type="spellStart"/>
      <w:r>
        <w:t>aluminumchloride</w:t>
      </w:r>
      <w:proofErr w:type="spellEnd"/>
      <w:r>
        <w:t xml:space="preserve">  is een waterige kleurloze tot gelige oplossing. </w:t>
      </w:r>
      <w:r w:rsidR="003672D8">
        <w:t xml:space="preserve">De oplossing bevat </w:t>
      </w:r>
      <w:r w:rsidR="00D56E98">
        <w:t>minimaal 5,3</w:t>
      </w:r>
      <w:r w:rsidR="003672D8">
        <w:t xml:space="preserve">  </w:t>
      </w:r>
      <w:r w:rsidR="00D56E98">
        <w:t xml:space="preserve">gewicht </w:t>
      </w:r>
      <w:r w:rsidR="003672D8">
        <w:t>% aluminium</w:t>
      </w:r>
      <w:r w:rsidR="00D56E98">
        <w:t>.</w:t>
      </w:r>
    </w:p>
    <w:p w:rsidR="003672D8" w:rsidRDefault="003672D8" w:rsidP="003672D8">
      <w:pPr>
        <w:ind w:right="-334"/>
      </w:pPr>
    </w:p>
    <w:p w:rsidR="004314A9" w:rsidRPr="00D56E98" w:rsidRDefault="004314A9" w:rsidP="005D5236">
      <w:pPr>
        <w:pBdr>
          <w:top w:val="single" w:sz="4" w:space="1" w:color="auto"/>
          <w:left w:val="single" w:sz="4" w:space="4" w:color="auto"/>
          <w:bottom w:val="single" w:sz="4" w:space="1" w:color="auto"/>
          <w:right w:val="single" w:sz="4" w:space="0" w:color="auto"/>
        </w:pBdr>
        <w:ind w:right="-334"/>
        <w:jc w:val="center"/>
        <w:rPr>
          <w:b/>
        </w:rPr>
      </w:pPr>
      <w:r w:rsidRPr="00D56E98">
        <w:rPr>
          <w:b/>
        </w:rPr>
        <w:t xml:space="preserve">Afnemer bepaalt de </w:t>
      </w:r>
      <w:r w:rsidR="005D5236">
        <w:rPr>
          <w:b/>
        </w:rPr>
        <w:t>definitieve</w:t>
      </w:r>
      <w:r w:rsidRPr="00D56E98">
        <w:rPr>
          <w:b/>
        </w:rPr>
        <w:t xml:space="preserve"> specificatie </w:t>
      </w:r>
      <w:r w:rsidR="005D5236">
        <w:rPr>
          <w:b/>
        </w:rPr>
        <w:t xml:space="preserve">van poly-aluminiumchloride </w:t>
      </w:r>
      <w:r w:rsidRPr="00D56E98">
        <w:rPr>
          <w:b/>
        </w:rPr>
        <w:t xml:space="preserve">bij </w:t>
      </w:r>
      <w:r w:rsidR="005D5236">
        <w:rPr>
          <w:b/>
        </w:rPr>
        <w:t xml:space="preserve">de </w:t>
      </w:r>
      <w:r w:rsidRPr="00D56E98">
        <w:rPr>
          <w:b/>
        </w:rPr>
        <w:t>aanbesteding</w:t>
      </w:r>
      <w:r w:rsidR="00D56E98">
        <w:rPr>
          <w:b/>
        </w:rPr>
        <w:t xml:space="preserve"> waarbij hogere gehaltes voor o.a. aluminium en chloor kunnen worden vereist</w:t>
      </w:r>
      <w:r w:rsidRPr="00D56E98">
        <w:rPr>
          <w:b/>
        </w:rPr>
        <w:t>.</w:t>
      </w:r>
    </w:p>
    <w:p w:rsidR="004314A9" w:rsidRDefault="004314A9" w:rsidP="004314A9">
      <w:pPr>
        <w:ind w:right="-334"/>
      </w:pPr>
    </w:p>
    <w:p w:rsidR="004314A9" w:rsidRDefault="004314A9" w:rsidP="004314A9">
      <w:pPr>
        <w:ind w:right="-334"/>
        <w:rPr>
          <w:u w:val="single"/>
        </w:rPr>
      </w:pPr>
      <w:r>
        <w:rPr>
          <w:u w:val="single"/>
        </w:rPr>
        <w:t>Werkzame stof:</w:t>
      </w:r>
    </w:p>
    <w:p w:rsidR="004314A9" w:rsidRDefault="004314A9" w:rsidP="004314A9">
      <w:pPr>
        <w:ind w:right="-334"/>
      </w:pPr>
      <w:r>
        <w:t xml:space="preserve">De leverancier streeft naar een hoeveelheid werkzame stof van minimaal </w:t>
      </w:r>
      <w:r w:rsidR="00D56E98">
        <w:t>53</w:t>
      </w:r>
      <w:r>
        <w:t xml:space="preserve"> kg aluminium per </w:t>
      </w:r>
      <w:smartTag w:uri="urn:schemas-microsoft-com:office:smarttags" w:element="metricconverter">
        <w:smartTagPr>
          <w:attr w:name="ProductID" w:val="1000 kg"/>
        </w:smartTagPr>
        <w:r>
          <w:t>1000 kg</w:t>
        </w:r>
      </w:smartTag>
      <w:r>
        <w:t xml:space="preserve"> product.</w:t>
      </w:r>
    </w:p>
    <w:p w:rsidR="004314A9" w:rsidRDefault="004314A9" w:rsidP="004314A9">
      <w:pPr>
        <w:ind w:right="-334"/>
      </w:pPr>
    </w:p>
    <w:p w:rsidR="004314A9" w:rsidRPr="005A4A47" w:rsidRDefault="004314A9" w:rsidP="004314A9">
      <w:pPr>
        <w:ind w:right="-334"/>
      </w:pPr>
      <w:r>
        <w:t xml:space="preserve">De onderste acceptatie grens voor aluminium is afhankelijk van het product en wordt door de afnemer vastgesteld. </w:t>
      </w:r>
      <w:r w:rsidRPr="005A4A47">
        <w:rPr>
          <w:spacing w:val="-2"/>
        </w:rPr>
        <w:t>Indien de hoeveelheid aluminium lager is dan de</w:t>
      </w:r>
      <w:r>
        <w:rPr>
          <w:spacing w:val="-2"/>
        </w:rPr>
        <w:t xml:space="preserve"> onderste</w:t>
      </w:r>
      <w:r w:rsidRPr="005A4A47">
        <w:rPr>
          <w:spacing w:val="-2"/>
        </w:rPr>
        <w:t xml:space="preserve"> acceptatiegrens, wordt de levering geweigerd.</w:t>
      </w:r>
    </w:p>
    <w:p w:rsidR="004314A9" w:rsidRDefault="004314A9" w:rsidP="004314A9">
      <w:pPr>
        <w:ind w:right="-334"/>
      </w:pPr>
    </w:p>
    <w:p w:rsidR="004314A9" w:rsidRPr="00EE5812" w:rsidRDefault="004314A9" w:rsidP="004314A9">
      <w:pPr>
        <w:ind w:right="-334"/>
        <w:rPr>
          <w:u w:val="single"/>
        </w:rPr>
      </w:pPr>
      <w:r w:rsidRPr="00EE5812">
        <w:rPr>
          <w:u w:val="single"/>
        </w:rPr>
        <w:t>Productie van Product:</w:t>
      </w:r>
    </w:p>
    <w:p w:rsidR="004314A9" w:rsidRDefault="004314A9" w:rsidP="004314A9">
      <w:pPr>
        <w:ind w:right="-334"/>
      </w:pPr>
      <w:r>
        <w:t>Er zijn twee verschillende bereidingsprocedures, die uitgaan van een behandeling van aluminium(</w:t>
      </w:r>
      <w:proofErr w:type="spellStart"/>
      <w:r>
        <w:t>hydr</w:t>
      </w:r>
      <w:proofErr w:type="spellEnd"/>
      <w:r>
        <w:t>)oxide met zoutzuur ofwel zwavelzuur.</w:t>
      </w:r>
    </w:p>
    <w:p w:rsidR="004314A9" w:rsidRDefault="004314A9" w:rsidP="004314A9">
      <w:pPr>
        <w:ind w:right="-334"/>
      </w:pPr>
      <w:r>
        <w:t>Producten op basis van poly-aluminiumchloride worden verkregen door behandeling van aluminiumoxide (eventueel in combinatie met aluminiumsulfaat) met zoutzuur.</w:t>
      </w:r>
    </w:p>
    <w:p w:rsidR="004314A9" w:rsidRDefault="004314A9" w:rsidP="004314A9">
      <w:pPr>
        <w:ind w:right="-334"/>
      </w:pPr>
      <w:r>
        <w:t>Producten op basis van aluminiumsulfaat worden verkregen door behandeling van aluminiumhydroxide met zwavelzuur, eventueel aangevuld door een verdere reactie met zoutzuur in aanwezigheid van geselecteerde krijtsoorten.</w:t>
      </w:r>
    </w:p>
    <w:p w:rsidR="004314A9" w:rsidRDefault="004314A9" w:rsidP="004314A9">
      <w:pPr>
        <w:ind w:right="-334"/>
      </w:pPr>
    </w:p>
    <w:p w:rsidR="004314A9" w:rsidRPr="00EE5812" w:rsidRDefault="004314A9" w:rsidP="004314A9">
      <w:pPr>
        <w:ind w:right="-334"/>
        <w:rPr>
          <w:u w:val="single"/>
        </w:rPr>
      </w:pPr>
      <w:proofErr w:type="spellStart"/>
      <w:r w:rsidRPr="00EE5812">
        <w:rPr>
          <w:u w:val="single"/>
        </w:rPr>
        <w:t>Zuiverheideisen</w:t>
      </w:r>
      <w:proofErr w:type="spellEnd"/>
      <w:r w:rsidRPr="00EE5812">
        <w:rPr>
          <w:u w:val="single"/>
        </w:rPr>
        <w:t>:</w:t>
      </w:r>
    </w:p>
    <w:p w:rsidR="004314A9" w:rsidRDefault="004314A9" w:rsidP="004314A9">
      <w:pPr>
        <w:ind w:right="-334"/>
      </w:pPr>
      <w:r>
        <w:t>De gehalten aan de hieronder genoemde componenten in de omschreven productvorm mogen niet meer bedragen dan de bij de desbetreffende bestanddelen aangegeven waarden:</w:t>
      </w:r>
    </w:p>
    <w:p w:rsidR="004314A9" w:rsidRDefault="004314A9" w:rsidP="004314A9"/>
    <w:tbl>
      <w:tblPr>
        <w:tblW w:w="763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6"/>
        <w:gridCol w:w="2700"/>
        <w:gridCol w:w="2700"/>
      </w:tblGrid>
      <w:tr w:rsidR="004314A9" w:rsidTr="007479F1">
        <w:tc>
          <w:tcPr>
            <w:tcW w:w="2236" w:type="dxa"/>
          </w:tcPr>
          <w:p w:rsidR="004314A9" w:rsidRDefault="004314A9" w:rsidP="007479F1">
            <w:pPr>
              <w:tabs>
                <w:tab w:val="left" w:pos="0"/>
                <w:tab w:val="left" w:pos="426"/>
              </w:tabs>
              <w:suppressAutoHyphens/>
              <w:ind w:left="426" w:right="-334" w:hanging="426"/>
              <w:jc w:val="both"/>
              <w:rPr>
                <w:b/>
                <w:spacing w:val="-2"/>
              </w:rPr>
            </w:pPr>
          </w:p>
        </w:tc>
        <w:tc>
          <w:tcPr>
            <w:tcW w:w="2700" w:type="dxa"/>
          </w:tcPr>
          <w:p w:rsidR="004314A9" w:rsidRPr="008B778E" w:rsidRDefault="004314A9" w:rsidP="007479F1">
            <w:pPr>
              <w:tabs>
                <w:tab w:val="left" w:pos="0"/>
              </w:tabs>
              <w:suppressAutoHyphens/>
              <w:ind w:right="-334"/>
              <w:jc w:val="center"/>
              <w:rPr>
                <w:b/>
                <w:spacing w:val="-2"/>
              </w:rPr>
            </w:pPr>
            <w:r w:rsidRPr="008B778E">
              <w:rPr>
                <w:b/>
                <w:spacing w:val="-2"/>
              </w:rPr>
              <w:t>Rioolwater</w:t>
            </w:r>
          </w:p>
        </w:tc>
        <w:tc>
          <w:tcPr>
            <w:tcW w:w="2700" w:type="dxa"/>
          </w:tcPr>
          <w:p w:rsidR="004314A9" w:rsidRPr="008B778E" w:rsidRDefault="004314A9" w:rsidP="007479F1">
            <w:pPr>
              <w:tabs>
                <w:tab w:val="left" w:pos="0"/>
              </w:tabs>
              <w:suppressAutoHyphens/>
              <w:ind w:right="-334"/>
              <w:jc w:val="center"/>
              <w:rPr>
                <w:b/>
                <w:spacing w:val="-2"/>
              </w:rPr>
            </w:pPr>
            <w:r w:rsidRPr="008B778E">
              <w:rPr>
                <w:b/>
                <w:spacing w:val="-2"/>
              </w:rPr>
              <w:t>Drinkwater</w:t>
            </w:r>
          </w:p>
        </w:tc>
      </w:tr>
      <w:tr w:rsidR="004314A9" w:rsidRPr="00D6440B" w:rsidTr="007479F1">
        <w:tc>
          <w:tcPr>
            <w:tcW w:w="2236" w:type="dxa"/>
          </w:tcPr>
          <w:p w:rsidR="004314A9" w:rsidRDefault="004314A9" w:rsidP="007479F1">
            <w:pPr>
              <w:tabs>
                <w:tab w:val="left" w:pos="0"/>
                <w:tab w:val="left" w:pos="426"/>
              </w:tabs>
              <w:suppressAutoHyphens/>
              <w:ind w:left="426" w:right="-334" w:hanging="426"/>
              <w:jc w:val="both"/>
              <w:rPr>
                <w:b/>
                <w:spacing w:val="-2"/>
              </w:rPr>
            </w:pPr>
            <w:r>
              <w:rPr>
                <w:b/>
                <w:spacing w:val="-2"/>
              </w:rPr>
              <w:t>Bestanddeel</w:t>
            </w:r>
          </w:p>
        </w:tc>
        <w:tc>
          <w:tcPr>
            <w:tcW w:w="2700" w:type="dxa"/>
          </w:tcPr>
          <w:p w:rsidR="004314A9" w:rsidRPr="00D6440B" w:rsidRDefault="004314A9" w:rsidP="007479F1">
            <w:pPr>
              <w:tabs>
                <w:tab w:val="left" w:pos="0"/>
              </w:tabs>
              <w:suppressAutoHyphens/>
              <w:ind w:right="-334"/>
              <w:jc w:val="center"/>
              <w:rPr>
                <w:b/>
                <w:spacing w:val="-2"/>
                <w:lang w:val="en-GB"/>
              </w:rPr>
            </w:pPr>
            <w:r w:rsidRPr="00D6440B">
              <w:rPr>
                <w:b/>
                <w:spacing w:val="-2"/>
                <w:lang w:val="en-GB"/>
              </w:rPr>
              <w:t>mg/kg poly-aluminium</w:t>
            </w:r>
          </w:p>
          <w:p w:rsidR="004314A9" w:rsidRPr="00D6440B" w:rsidRDefault="004314A9" w:rsidP="007479F1">
            <w:pPr>
              <w:tabs>
                <w:tab w:val="left" w:pos="0"/>
              </w:tabs>
              <w:suppressAutoHyphens/>
              <w:ind w:right="-334"/>
              <w:jc w:val="center"/>
              <w:rPr>
                <w:b/>
                <w:spacing w:val="-2"/>
                <w:lang w:val="en-GB"/>
              </w:rPr>
            </w:pPr>
            <w:r w:rsidRPr="00D6440B">
              <w:rPr>
                <w:b/>
                <w:spacing w:val="-2"/>
                <w:lang w:val="en-GB"/>
              </w:rPr>
              <w:t xml:space="preserve">chloride </w:t>
            </w:r>
            <w:proofErr w:type="spellStart"/>
            <w:r w:rsidRPr="00D6440B">
              <w:rPr>
                <w:b/>
                <w:spacing w:val="-2"/>
                <w:lang w:val="en-GB"/>
              </w:rPr>
              <w:t>oplossing</w:t>
            </w:r>
            <w:proofErr w:type="spellEnd"/>
          </w:p>
        </w:tc>
        <w:tc>
          <w:tcPr>
            <w:tcW w:w="2700" w:type="dxa"/>
          </w:tcPr>
          <w:p w:rsidR="004314A9" w:rsidRPr="00D6440B" w:rsidRDefault="004314A9" w:rsidP="007479F1">
            <w:pPr>
              <w:tabs>
                <w:tab w:val="left" w:pos="0"/>
              </w:tabs>
              <w:suppressAutoHyphens/>
              <w:ind w:right="-334"/>
              <w:jc w:val="center"/>
              <w:rPr>
                <w:b/>
                <w:spacing w:val="-2"/>
                <w:lang w:val="en-GB"/>
              </w:rPr>
            </w:pPr>
            <w:r w:rsidRPr="00D6440B">
              <w:rPr>
                <w:b/>
                <w:spacing w:val="-2"/>
                <w:lang w:val="en-GB"/>
              </w:rPr>
              <w:t>mg/kg poly-aluminium</w:t>
            </w:r>
          </w:p>
          <w:p w:rsidR="004314A9" w:rsidRPr="00D6440B" w:rsidRDefault="004314A9" w:rsidP="007479F1">
            <w:pPr>
              <w:tabs>
                <w:tab w:val="left" w:pos="0"/>
              </w:tabs>
              <w:suppressAutoHyphens/>
              <w:ind w:right="-334"/>
              <w:jc w:val="center"/>
              <w:rPr>
                <w:b/>
                <w:spacing w:val="-2"/>
                <w:lang w:val="en-GB"/>
              </w:rPr>
            </w:pPr>
            <w:r w:rsidRPr="00D6440B">
              <w:rPr>
                <w:b/>
                <w:spacing w:val="-2"/>
                <w:lang w:val="en-GB"/>
              </w:rPr>
              <w:t xml:space="preserve">chloride </w:t>
            </w:r>
            <w:proofErr w:type="spellStart"/>
            <w:r w:rsidRPr="00D6440B">
              <w:rPr>
                <w:b/>
                <w:spacing w:val="-2"/>
                <w:lang w:val="en-GB"/>
              </w:rPr>
              <w:t>oplossing</w:t>
            </w:r>
            <w:proofErr w:type="spellEnd"/>
            <w:r>
              <w:rPr>
                <w:rStyle w:val="Voetnootmarkering"/>
                <w:rFonts w:eastAsiaTheme="majorEastAsia"/>
                <w:b/>
                <w:spacing w:val="-2"/>
                <w:lang w:val="en-GB"/>
              </w:rPr>
              <w:footnoteReference w:id="1"/>
            </w:r>
          </w:p>
        </w:tc>
      </w:tr>
      <w:tr w:rsidR="004314A9" w:rsidTr="007479F1">
        <w:trPr>
          <w:trHeight w:val="253"/>
        </w:trPr>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Antimoon</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5</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1,8</w:t>
            </w:r>
          </w:p>
        </w:tc>
      </w:tr>
      <w:tr w:rsidR="004314A9" w:rsidTr="007479F1">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Arseen</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23</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3,6</w:t>
            </w:r>
          </w:p>
        </w:tc>
      </w:tr>
      <w:tr w:rsidR="004314A9" w:rsidTr="007479F1">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Cadmium</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2,3</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1,8</w:t>
            </w:r>
          </w:p>
        </w:tc>
      </w:tr>
      <w:tr w:rsidR="004314A9" w:rsidTr="007479F1">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Chroom</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50</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18</w:t>
            </w:r>
          </w:p>
        </w:tc>
      </w:tr>
      <w:tr w:rsidR="004314A9" w:rsidTr="007479F1">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Lood</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23</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18</w:t>
            </w:r>
          </w:p>
        </w:tc>
      </w:tr>
      <w:tr w:rsidR="004314A9" w:rsidTr="007479F1">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Kwik</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0,5</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0,4</w:t>
            </w:r>
          </w:p>
        </w:tc>
      </w:tr>
      <w:tr w:rsidR="004314A9" w:rsidTr="007479F1">
        <w:trPr>
          <w:trHeight w:val="253"/>
        </w:trPr>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Koper</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42</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3,6</w:t>
            </w:r>
          </w:p>
        </w:tc>
      </w:tr>
      <w:tr w:rsidR="004314A9" w:rsidTr="007479F1">
        <w:trPr>
          <w:trHeight w:val="253"/>
        </w:trPr>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Nikkel</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50</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7,2</w:t>
            </w:r>
          </w:p>
        </w:tc>
      </w:tr>
      <w:tr w:rsidR="004314A9" w:rsidTr="007479F1">
        <w:trPr>
          <w:trHeight w:val="253"/>
        </w:trPr>
        <w:tc>
          <w:tcPr>
            <w:tcW w:w="2236" w:type="dxa"/>
          </w:tcPr>
          <w:p w:rsidR="004314A9" w:rsidRDefault="004314A9" w:rsidP="007479F1">
            <w:pPr>
              <w:tabs>
                <w:tab w:val="left" w:pos="0"/>
                <w:tab w:val="left" w:pos="426"/>
              </w:tabs>
              <w:suppressAutoHyphens/>
              <w:ind w:left="426" w:right="-334" w:hanging="426"/>
              <w:jc w:val="both"/>
              <w:rPr>
                <w:spacing w:val="-2"/>
              </w:rPr>
            </w:pPr>
            <w:r>
              <w:rPr>
                <w:spacing w:val="-2"/>
              </w:rPr>
              <w:t>Seleen</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5</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3,6</w:t>
            </w:r>
          </w:p>
        </w:tc>
      </w:tr>
      <w:tr w:rsidR="004314A9" w:rsidTr="007479F1">
        <w:trPr>
          <w:trHeight w:val="253"/>
        </w:trPr>
        <w:tc>
          <w:tcPr>
            <w:tcW w:w="2236" w:type="dxa"/>
          </w:tcPr>
          <w:p w:rsidR="004314A9" w:rsidRDefault="004314A9" w:rsidP="007479F1">
            <w:pPr>
              <w:tabs>
                <w:tab w:val="left" w:pos="0"/>
                <w:tab w:val="left" w:pos="426"/>
              </w:tabs>
              <w:suppressAutoHyphens/>
              <w:ind w:left="426" w:right="-334" w:hanging="426"/>
              <w:rPr>
                <w:spacing w:val="-2"/>
              </w:rPr>
            </w:pPr>
            <w:r>
              <w:rPr>
                <w:spacing w:val="-2"/>
              </w:rPr>
              <w:t>Zink</w:t>
            </w:r>
          </w:p>
        </w:tc>
        <w:tc>
          <w:tcPr>
            <w:tcW w:w="2700" w:type="dxa"/>
          </w:tcPr>
          <w:p w:rsidR="004314A9" w:rsidRDefault="004314A9" w:rsidP="007479F1">
            <w:pPr>
              <w:tabs>
                <w:tab w:val="left" w:pos="0"/>
                <w:tab w:val="left" w:pos="426"/>
              </w:tabs>
              <w:suppressAutoHyphens/>
              <w:ind w:left="426" w:right="-334" w:hanging="426"/>
              <w:jc w:val="center"/>
              <w:rPr>
                <w:spacing w:val="-2"/>
              </w:rPr>
            </w:pPr>
            <w:r>
              <w:rPr>
                <w:spacing w:val="-2"/>
              </w:rPr>
              <w:t>42</w:t>
            </w:r>
          </w:p>
        </w:tc>
        <w:tc>
          <w:tcPr>
            <w:tcW w:w="2700" w:type="dxa"/>
          </w:tcPr>
          <w:p w:rsidR="004314A9" w:rsidRDefault="004314A9" w:rsidP="007479F1">
            <w:pPr>
              <w:tabs>
                <w:tab w:val="left" w:pos="0"/>
                <w:tab w:val="left" w:pos="426"/>
              </w:tabs>
              <w:suppressAutoHyphens/>
              <w:ind w:left="426" w:right="-334" w:hanging="426"/>
              <w:jc w:val="center"/>
              <w:rPr>
                <w:spacing w:val="-2"/>
              </w:rPr>
            </w:pPr>
            <w:proofErr w:type="spellStart"/>
            <w:r>
              <w:rPr>
                <w:spacing w:val="-2"/>
              </w:rPr>
              <w:t>ntb</w:t>
            </w:r>
            <w:proofErr w:type="spellEnd"/>
          </w:p>
        </w:tc>
      </w:tr>
    </w:tbl>
    <w:p w:rsidR="004314A9" w:rsidRDefault="004314A9" w:rsidP="004314A9">
      <w:pPr>
        <w:autoSpaceDE w:val="0"/>
        <w:autoSpaceDN w:val="0"/>
        <w:adjustRightInd w:val="0"/>
        <w:rPr>
          <w:rFonts w:ascii="Arial" w:hAnsi="Arial" w:cs="Arial"/>
          <w:color w:val="000000"/>
          <w:sz w:val="18"/>
          <w:szCs w:val="18"/>
        </w:rPr>
      </w:pPr>
    </w:p>
    <w:p w:rsidR="005D5236" w:rsidRDefault="005D5236" w:rsidP="004314A9">
      <w:pPr>
        <w:autoSpaceDE w:val="0"/>
        <w:autoSpaceDN w:val="0"/>
        <w:adjustRightInd w:val="0"/>
        <w:rPr>
          <w:rFonts w:ascii="Arial" w:hAnsi="Arial" w:cs="Arial"/>
          <w:color w:val="000000"/>
          <w:sz w:val="18"/>
          <w:szCs w:val="18"/>
        </w:rPr>
      </w:pPr>
    </w:p>
    <w:p w:rsidR="005D5236" w:rsidRDefault="005D5236" w:rsidP="004314A9">
      <w:pPr>
        <w:autoSpaceDE w:val="0"/>
        <w:autoSpaceDN w:val="0"/>
        <w:adjustRightInd w:val="0"/>
        <w:rPr>
          <w:rFonts w:ascii="Arial" w:hAnsi="Arial" w:cs="Arial"/>
          <w:color w:val="000000"/>
          <w:sz w:val="18"/>
          <w:szCs w:val="18"/>
        </w:rPr>
      </w:pPr>
      <w:bookmarkStart w:id="0" w:name="_GoBack"/>
      <w:bookmarkEnd w:id="0"/>
    </w:p>
    <w:p w:rsidR="004314A9" w:rsidRDefault="004314A9" w:rsidP="004314A9">
      <w:pPr>
        <w:autoSpaceDE w:val="0"/>
        <w:autoSpaceDN w:val="0"/>
        <w:adjustRightInd w:val="0"/>
        <w:rPr>
          <w:rFonts w:ascii="Arial" w:hAnsi="Arial" w:cs="Arial"/>
          <w:color w:val="000000"/>
          <w:sz w:val="18"/>
          <w:szCs w:val="18"/>
        </w:rPr>
      </w:pPr>
    </w:p>
    <w:p w:rsidR="004314A9" w:rsidRPr="00EE5812" w:rsidRDefault="004314A9" w:rsidP="004314A9">
      <w:pPr>
        <w:ind w:right="-334"/>
        <w:rPr>
          <w:u w:val="single"/>
        </w:rPr>
      </w:pPr>
      <w:r w:rsidRPr="00EE5812">
        <w:rPr>
          <w:u w:val="single"/>
        </w:rPr>
        <w:lastRenderedPageBreak/>
        <w:t>Criteria en grenswaarden:</w:t>
      </w:r>
    </w:p>
    <w:p w:rsidR="004314A9" w:rsidRDefault="004314A9" w:rsidP="004314A9">
      <w:pPr>
        <w:ind w:right="-334"/>
      </w:pPr>
      <w:r>
        <w:t>De maximale dosering van poly-aluminiumchloride ten behoeve van drinkwater toepassing bedraagt 15 mg Aluminium per liter te behandelen water.</w:t>
      </w:r>
    </w:p>
    <w:p w:rsidR="00B943B7" w:rsidRPr="00B943B7" w:rsidRDefault="00B943B7" w:rsidP="00B943B7"/>
    <w:sectPr w:rsidR="00B943B7" w:rsidRPr="00B943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A9" w:rsidRDefault="004314A9" w:rsidP="004314A9">
      <w:r>
        <w:separator/>
      </w:r>
    </w:p>
  </w:endnote>
  <w:endnote w:type="continuationSeparator" w:id="0">
    <w:p w:rsidR="004314A9" w:rsidRDefault="004314A9" w:rsidP="0043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A9" w:rsidRDefault="004314A9" w:rsidP="004314A9">
      <w:r>
        <w:separator/>
      </w:r>
    </w:p>
  </w:footnote>
  <w:footnote w:type="continuationSeparator" w:id="0">
    <w:p w:rsidR="004314A9" w:rsidRDefault="004314A9" w:rsidP="004314A9">
      <w:r>
        <w:continuationSeparator/>
      </w:r>
    </w:p>
  </w:footnote>
  <w:footnote w:id="1">
    <w:p w:rsidR="004314A9" w:rsidRPr="008B778E" w:rsidRDefault="004314A9" w:rsidP="004314A9">
      <w:pPr>
        <w:pStyle w:val="Voetnoottekst"/>
      </w:pPr>
      <w:r>
        <w:rPr>
          <w:rStyle w:val="Voetnootmarkering"/>
          <w:rFonts w:eastAsiaTheme="majorEastAsia"/>
        </w:rPr>
        <w:footnoteRef/>
      </w:r>
      <w:r>
        <w:t xml:space="preserve"> Bij een g</w:t>
      </w:r>
      <w:r w:rsidRPr="008B778E">
        <w:t xml:space="preserve">ehalte aan werkzaam bestanddeel </w:t>
      </w:r>
      <w:r>
        <w:t xml:space="preserve">Al </w:t>
      </w:r>
      <w:r w:rsidRPr="008B778E">
        <w:t>in het product</w:t>
      </w:r>
      <w:r>
        <w:t xml:space="preserve"> van 54 g/kg. Bij een hoger aandeel Al worden ook de grenswaarden aangepast.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A9"/>
    <w:rsid w:val="002A0572"/>
    <w:rsid w:val="002C0061"/>
    <w:rsid w:val="003672D8"/>
    <w:rsid w:val="004314A9"/>
    <w:rsid w:val="005D5236"/>
    <w:rsid w:val="006112A0"/>
    <w:rsid w:val="00B943B7"/>
    <w:rsid w:val="00C632B8"/>
    <w:rsid w:val="00CD6D8C"/>
    <w:rsid w:val="00D20CB7"/>
    <w:rsid w:val="00D56E98"/>
    <w:rsid w:val="00E35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A81BB1-0BBA-4765-9F4F-E8529F8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14A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C0061"/>
    <w:pPr>
      <w:keepNext/>
      <w:keepLines/>
      <w:spacing w:before="480"/>
      <w:outlineLvl w:val="0"/>
    </w:pPr>
    <w:rPr>
      <w:rFonts w:eastAsiaTheme="majorEastAsia" w:cstheme="majorBidi"/>
      <w:b/>
      <w:bCs/>
      <w:color w:val="1481AB" w:themeColor="accent1" w:themeShade="BF"/>
      <w:sz w:val="28"/>
      <w:szCs w:val="28"/>
    </w:rPr>
  </w:style>
  <w:style w:type="paragraph" w:styleId="Kop2">
    <w:name w:val="heading 2"/>
    <w:basedOn w:val="Standaard"/>
    <w:next w:val="Standaard"/>
    <w:link w:val="Kop2Char"/>
    <w:uiPriority w:val="9"/>
    <w:unhideWhenUsed/>
    <w:qFormat/>
    <w:rsid w:val="002C0061"/>
    <w:pPr>
      <w:keepNext/>
      <w:keepLines/>
      <w:spacing w:before="200"/>
      <w:outlineLvl w:val="1"/>
    </w:pPr>
    <w:rPr>
      <w:rFonts w:eastAsiaTheme="majorEastAsia" w:cstheme="majorBidi"/>
      <w:b/>
      <w:bCs/>
      <w:color w:val="1CADE4" w:themeColor="accent1"/>
      <w:sz w:val="26"/>
      <w:szCs w:val="26"/>
    </w:rPr>
  </w:style>
  <w:style w:type="paragraph" w:styleId="Kop3">
    <w:name w:val="heading 3"/>
    <w:basedOn w:val="Standaard"/>
    <w:next w:val="Standaard"/>
    <w:link w:val="Kop3Char"/>
    <w:uiPriority w:val="9"/>
    <w:unhideWhenUsed/>
    <w:qFormat/>
    <w:rsid w:val="002C0061"/>
    <w:pPr>
      <w:keepNext/>
      <w:keepLines/>
      <w:spacing w:before="200"/>
      <w:outlineLvl w:val="2"/>
    </w:pPr>
    <w:rPr>
      <w:rFonts w:eastAsiaTheme="majorEastAsia" w:cstheme="majorBidi"/>
      <w:b/>
      <w:bCs/>
      <w:color w:val="1CADE4" w:themeColor="accent1"/>
    </w:rPr>
  </w:style>
  <w:style w:type="paragraph" w:styleId="Kop4">
    <w:name w:val="heading 4"/>
    <w:basedOn w:val="Standaard"/>
    <w:next w:val="Standaard"/>
    <w:link w:val="Kop4Char"/>
    <w:uiPriority w:val="9"/>
    <w:unhideWhenUsed/>
    <w:qFormat/>
    <w:rsid w:val="002C0061"/>
    <w:pPr>
      <w:keepNext/>
      <w:keepLines/>
      <w:spacing w:before="200"/>
      <w:outlineLvl w:val="3"/>
    </w:pPr>
    <w:rPr>
      <w:rFonts w:eastAsiaTheme="majorEastAsia" w:cstheme="majorBidi"/>
      <w:b/>
      <w:bCs/>
      <w:i/>
      <w:iCs/>
      <w:color w:val="1CADE4" w:themeColor="accent1"/>
    </w:rPr>
  </w:style>
  <w:style w:type="paragraph" w:styleId="Kop5">
    <w:name w:val="heading 5"/>
    <w:basedOn w:val="Standaard"/>
    <w:next w:val="Standaard"/>
    <w:link w:val="Kop5Char"/>
    <w:uiPriority w:val="9"/>
    <w:unhideWhenUsed/>
    <w:qFormat/>
    <w:rsid w:val="002C0061"/>
    <w:pPr>
      <w:keepNext/>
      <w:keepLines/>
      <w:spacing w:before="200"/>
      <w:outlineLvl w:val="4"/>
    </w:pPr>
    <w:rPr>
      <w:rFonts w:eastAsiaTheme="majorEastAsia" w:cstheme="majorBidi"/>
      <w:color w:val="0D5571" w:themeColor="accent1" w:themeShade="7F"/>
    </w:rPr>
  </w:style>
  <w:style w:type="paragraph" w:styleId="Kop6">
    <w:name w:val="heading 6"/>
    <w:basedOn w:val="Standaard"/>
    <w:next w:val="Standaard"/>
    <w:link w:val="Kop6Char"/>
    <w:uiPriority w:val="9"/>
    <w:unhideWhenUsed/>
    <w:qFormat/>
    <w:rsid w:val="002C0061"/>
    <w:pPr>
      <w:keepNext/>
      <w:keepLines/>
      <w:spacing w:before="200"/>
      <w:outlineLvl w:val="5"/>
    </w:pPr>
    <w:rPr>
      <w:rFonts w:eastAsiaTheme="majorEastAsia" w:cstheme="majorBidi"/>
      <w:i/>
      <w:iCs/>
      <w:color w:val="0D5571" w:themeColor="accent1" w:themeShade="7F"/>
    </w:rPr>
  </w:style>
  <w:style w:type="paragraph" w:styleId="Kop7">
    <w:name w:val="heading 7"/>
    <w:basedOn w:val="Standaard"/>
    <w:next w:val="Standaard"/>
    <w:link w:val="Kop7Char"/>
    <w:uiPriority w:val="9"/>
    <w:unhideWhenUsed/>
    <w:qFormat/>
    <w:rsid w:val="002C0061"/>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2C0061"/>
    <w:pPr>
      <w:keepNext/>
      <w:keepLines/>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uiPriority w:val="9"/>
    <w:unhideWhenUsed/>
    <w:qFormat/>
    <w:rsid w:val="002C0061"/>
    <w:pPr>
      <w:keepNext/>
      <w:keepLines/>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C0061"/>
    <w:rPr>
      <w:rFonts w:eastAsiaTheme="majorEastAsia" w:cstheme="majorBidi"/>
      <w:b/>
      <w:bCs/>
      <w:color w:val="1CADE4" w:themeColor="accent1"/>
      <w:sz w:val="26"/>
      <w:szCs w:val="26"/>
    </w:rPr>
  </w:style>
  <w:style w:type="character" w:customStyle="1" w:styleId="Kop1Char">
    <w:name w:val="Kop 1 Char"/>
    <w:basedOn w:val="Standaardalinea-lettertype"/>
    <w:link w:val="Kop1"/>
    <w:uiPriority w:val="9"/>
    <w:rsid w:val="002C0061"/>
    <w:rPr>
      <w:rFonts w:eastAsiaTheme="majorEastAsia" w:cstheme="majorBidi"/>
      <w:b/>
      <w:bCs/>
      <w:color w:val="1481AB" w:themeColor="accent1" w:themeShade="BF"/>
      <w:sz w:val="28"/>
      <w:szCs w:val="28"/>
    </w:rPr>
  </w:style>
  <w:style w:type="character" w:customStyle="1" w:styleId="Kop3Char">
    <w:name w:val="Kop 3 Char"/>
    <w:basedOn w:val="Standaardalinea-lettertype"/>
    <w:link w:val="Kop3"/>
    <w:uiPriority w:val="9"/>
    <w:rsid w:val="002C0061"/>
    <w:rPr>
      <w:rFonts w:eastAsiaTheme="majorEastAsia" w:cstheme="majorBidi"/>
      <w:b/>
      <w:bCs/>
      <w:color w:val="1CADE4" w:themeColor="accent1"/>
    </w:rPr>
  </w:style>
  <w:style w:type="character" w:customStyle="1" w:styleId="Kop4Char">
    <w:name w:val="Kop 4 Char"/>
    <w:basedOn w:val="Standaardalinea-lettertype"/>
    <w:link w:val="Kop4"/>
    <w:uiPriority w:val="9"/>
    <w:rsid w:val="002C0061"/>
    <w:rPr>
      <w:rFonts w:eastAsiaTheme="majorEastAsia" w:cstheme="majorBidi"/>
      <w:b/>
      <w:bCs/>
      <w:i/>
      <w:iCs/>
      <w:color w:val="1CADE4" w:themeColor="accent1"/>
    </w:rPr>
  </w:style>
  <w:style w:type="character" w:customStyle="1" w:styleId="Kop5Char">
    <w:name w:val="Kop 5 Char"/>
    <w:basedOn w:val="Standaardalinea-lettertype"/>
    <w:link w:val="Kop5"/>
    <w:uiPriority w:val="9"/>
    <w:rsid w:val="002C0061"/>
    <w:rPr>
      <w:rFonts w:eastAsiaTheme="majorEastAsia" w:cstheme="majorBidi"/>
      <w:color w:val="0D5571" w:themeColor="accent1" w:themeShade="7F"/>
    </w:rPr>
  </w:style>
  <w:style w:type="character" w:customStyle="1" w:styleId="Kop6Char">
    <w:name w:val="Kop 6 Char"/>
    <w:basedOn w:val="Standaardalinea-lettertype"/>
    <w:link w:val="Kop6"/>
    <w:uiPriority w:val="9"/>
    <w:rsid w:val="002C0061"/>
    <w:rPr>
      <w:rFonts w:eastAsiaTheme="majorEastAsia" w:cstheme="majorBidi"/>
      <w:i/>
      <w:iCs/>
      <w:color w:val="0D5571" w:themeColor="accent1" w:themeShade="7F"/>
    </w:rPr>
  </w:style>
  <w:style w:type="character" w:customStyle="1" w:styleId="Kop7Char">
    <w:name w:val="Kop 7 Char"/>
    <w:basedOn w:val="Standaardalinea-lettertype"/>
    <w:link w:val="Kop7"/>
    <w:uiPriority w:val="9"/>
    <w:rsid w:val="002C0061"/>
    <w:rPr>
      <w:rFonts w:eastAsiaTheme="majorEastAsia" w:cstheme="majorBidi"/>
      <w:i/>
      <w:iCs/>
      <w:color w:val="404040" w:themeColor="text1" w:themeTint="BF"/>
    </w:rPr>
  </w:style>
  <w:style w:type="character" w:customStyle="1" w:styleId="Kop8Char">
    <w:name w:val="Kop 8 Char"/>
    <w:basedOn w:val="Standaardalinea-lettertype"/>
    <w:link w:val="Kop8"/>
    <w:uiPriority w:val="9"/>
    <w:rsid w:val="002C0061"/>
    <w:rPr>
      <w:rFonts w:eastAsiaTheme="majorEastAsia" w:cstheme="majorBidi"/>
      <w:color w:val="404040" w:themeColor="text1" w:themeTint="BF"/>
      <w:sz w:val="20"/>
      <w:szCs w:val="20"/>
    </w:rPr>
  </w:style>
  <w:style w:type="character" w:customStyle="1" w:styleId="Kop9Char">
    <w:name w:val="Kop 9 Char"/>
    <w:basedOn w:val="Standaardalinea-lettertype"/>
    <w:link w:val="Kop9"/>
    <w:uiPriority w:val="9"/>
    <w:rsid w:val="002C0061"/>
    <w:rPr>
      <w:rFonts w:eastAsiaTheme="majorEastAsia" w:cstheme="majorBidi"/>
      <w:i/>
      <w:iCs/>
      <w:color w:val="404040" w:themeColor="text1" w:themeTint="BF"/>
      <w:sz w:val="20"/>
      <w:szCs w:val="20"/>
    </w:rPr>
  </w:style>
  <w:style w:type="paragraph" w:styleId="Titel">
    <w:name w:val="Title"/>
    <w:basedOn w:val="Standaard"/>
    <w:next w:val="Standaard"/>
    <w:link w:val="TitelChar"/>
    <w:uiPriority w:val="10"/>
    <w:qFormat/>
    <w:rsid w:val="002C0061"/>
    <w:pPr>
      <w:pBdr>
        <w:bottom w:val="single" w:sz="8" w:space="4" w:color="1CADE4" w:themeColor="accent1"/>
      </w:pBdr>
      <w:spacing w:after="300"/>
      <w:contextualSpacing/>
    </w:pPr>
    <w:rPr>
      <w:rFonts w:eastAsiaTheme="majorEastAsia" w:cstheme="majorBidi"/>
      <w:color w:val="264356" w:themeColor="text2" w:themeShade="BF"/>
      <w:spacing w:val="5"/>
      <w:kern w:val="28"/>
      <w:sz w:val="52"/>
      <w:szCs w:val="52"/>
    </w:rPr>
  </w:style>
  <w:style w:type="character" w:customStyle="1" w:styleId="TitelChar">
    <w:name w:val="Titel Char"/>
    <w:basedOn w:val="Standaardalinea-lettertype"/>
    <w:link w:val="Titel"/>
    <w:uiPriority w:val="10"/>
    <w:rsid w:val="002C0061"/>
    <w:rPr>
      <w:rFonts w:eastAsiaTheme="majorEastAsia" w:cstheme="majorBidi"/>
      <w:color w:val="264356" w:themeColor="text2" w:themeShade="BF"/>
      <w:spacing w:val="5"/>
      <w:kern w:val="28"/>
      <w:sz w:val="52"/>
      <w:szCs w:val="52"/>
    </w:rPr>
  </w:style>
  <w:style w:type="paragraph" w:styleId="Ondertitel">
    <w:name w:val="Subtitle"/>
    <w:basedOn w:val="Standaard"/>
    <w:next w:val="Standaard"/>
    <w:link w:val="OndertitelChar"/>
    <w:uiPriority w:val="11"/>
    <w:qFormat/>
    <w:rsid w:val="002C0061"/>
    <w:pPr>
      <w:numPr>
        <w:ilvl w:val="1"/>
      </w:numPr>
    </w:pPr>
    <w:rPr>
      <w:rFonts w:eastAsiaTheme="majorEastAsia" w:cstheme="majorBidi"/>
      <w:i/>
      <w:iCs/>
      <w:color w:val="1CADE4" w:themeColor="accent1"/>
      <w:spacing w:val="15"/>
    </w:rPr>
  </w:style>
  <w:style w:type="character" w:customStyle="1" w:styleId="OndertitelChar">
    <w:name w:val="Ondertitel Char"/>
    <w:basedOn w:val="Standaardalinea-lettertype"/>
    <w:link w:val="Ondertitel"/>
    <w:uiPriority w:val="11"/>
    <w:rsid w:val="002C0061"/>
    <w:rPr>
      <w:rFonts w:eastAsiaTheme="majorEastAsia" w:cstheme="majorBidi"/>
      <w:i/>
      <w:iCs/>
      <w:color w:val="1CADE4" w:themeColor="accent1"/>
      <w:spacing w:val="15"/>
      <w:sz w:val="24"/>
      <w:szCs w:val="24"/>
    </w:rPr>
  </w:style>
  <w:style w:type="paragraph" w:styleId="Geenafstand">
    <w:name w:val="No Spacing"/>
    <w:uiPriority w:val="1"/>
    <w:rsid w:val="00D20CB7"/>
    <w:pPr>
      <w:spacing w:after="0" w:line="240" w:lineRule="auto"/>
    </w:pPr>
  </w:style>
  <w:style w:type="paragraph" w:styleId="Voetnoottekst">
    <w:name w:val="footnote text"/>
    <w:basedOn w:val="Standaard"/>
    <w:link w:val="VoetnoottekstChar"/>
    <w:semiHidden/>
    <w:rsid w:val="004314A9"/>
    <w:rPr>
      <w:sz w:val="20"/>
      <w:szCs w:val="20"/>
    </w:rPr>
  </w:style>
  <w:style w:type="character" w:customStyle="1" w:styleId="VoetnoottekstChar">
    <w:name w:val="Voetnoottekst Char"/>
    <w:basedOn w:val="Standaardalinea-lettertype"/>
    <w:link w:val="Voetnoottekst"/>
    <w:semiHidden/>
    <w:rsid w:val="004314A9"/>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rsid w:val="00431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57005">
      <w:bodyDiv w:val="1"/>
      <w:marLeft w:val="0"/>
      <w:marRight w:val="0"/>
      <w:marTop w:val="0"/>
      <w:marBottom w:val="0"/>
      <w:divBdr>
        <w:top w:val="none" w:sz="0" w:space="0" w:color="auto"/>
        <w:left w:val="none" w:sz="0" w:space="0" w:color="auto"/>
        <w:bottom w:val="none" w:sz="0" w:space="0" w:color="auto"/>
        <w:right w:val="none" w:sz="0" w:space="0" w:color="auto"/>
      </w:divBdr>
    </w:div>
    <w:div w:id="17522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1058</Words>
  <Characters>5825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PWN</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Nijman, Maarten</dc:creator>
  <cp:keywords/>
  <dc:description/>
  <cp:lastModifiedBy>Nijman, Maarten</cp:lastModifiedBy>
  <cp:revision>4</cp:revision>
  <dcterms:created xsi:type="dcterms:W3CDTF">2014-12-23T15:04:00Z</dcterms:created>
  <dcterms:modified xsi:type="dcterms:W3CDTF">2015-07-01T12:29:00Z</dcterms:modified>
</cp:coreProperties>
</file>