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CF" w:rsidRDefault="00B52A07" w:rsidP="00F314AE">
      <w:pPr>
        <w:pStyle w:val="Kop1"/>
      </w:pPr>
      <w:bookmarkStart w:id="0" w:name="_GoBack"/>
      <w:bookmarkEnd w:id="0"/>
      <w:r>
        <w:t>Marktinformatie,</w:t>
      </w:r>
      <w:r w:rsidR="00252E7B">
        <w:t xml:space="preserve"> </w:t>
      </w:r>
      <w:r w:rsidR="00126329">
        <w:t xml:space="preserve">versie </w:t>
      </w:r>
      <w:r w:rsidR="00661534">
        <w:t>0201615</w:t>
      </w:r>
    </w:p>
    <w:p w:rsidR="00F314AE" w:rsidRDefault="00F314AE" w:rsidP="00F314AE">
      <w:pPr>
        <w:pStyle w:val="Kop2"/>
      </w:pPr>
      <w:r>
        <w:t>Inleiding</w:t>
      </w:r>
    </w:p>
    <w:p w:rsidR="00C45A79" w:rsidRDefault="00C45A79"/>
    <w:p w:rsidR="00126329" w:rsidRDefault="00126329">
      <w:r w:rsidRPr="00126329">
        <w:t xml:space="preserve">Voor het uitvoeren van activiteiten wordt </w:t>
      </w:r>
      <w:r>
        <w:t xml:space="preserve">door RWS </w:t>
      </w:r>
      <w:r w:rsidR="00CE2160">
        <w:t>onder meer</w:t>
      </w:r>
      <w:r>
        <w:t xml:space="preserve"> op het gebied van </w:t>
      </w:r>
      <w:r w:rsidRPr="00126329">
        <w:t xml:space="preserve">de projectbeheersing veelvuldig gebruik gemaakt van externe </w:t>
      </w:r>
      <w:r w:rsidR="00B52A07" w:rsidRPr="00126329">
        <w:t>capaciteit.</w:t>
      </w:r>
      <w:r w:rsidRPr="00126329">
        <w:t xml:space="preserve"> Deze capaciteit werd/wordt veelal op basis van een inspanningsverplichting ingehuurd.</w:t>
      </w:r>
    </w:p>
    <w:p w:rsidR="007749A2" w:rsidRDefault="00C45A79">
      <w:r w:rsidRPr="00C45A79">
        <w:t xml:space="preserve">RWS heeft besloten de inhuur </w:t>
      </w:r>
      <w:r w:rsidR="003331EA" w:rsidRPr="003331EA">
        <w:t xml:space="preserve">in de vorm van inspanningsverbintenissen </w:t>
      </w:r>
      <w:r w:rsidRPr="00C45A79">
        <w:t xml:space="preserve">in de nabije toekomst verder af te bouwen en </w:t>
      </w:r>
      <w:r w:rsidR="003331EA">
        <w:t xml:space="preserve">opdrachten </w:t>
      </w:r>
      <w:r w:rsidR="00126329">
        <w:t xml:space="preserve">steeds meer </w:t>
      </w:r>
      <w:r w:rsidR="003331EA">
        <w:t xml:space="preserve">te gunnen op basis </w:t>
      </w:r>
      <w:r w:rsidR="00B52A07">
        <w:t xml:space="preserve">van </w:t>
      </w:r>
      <w:r>
        <w:t xml:space="preserve">resultaatverbintenissen, in </w:t>
      </w:r>
      <w:r w:rsidR="003331EA">
        <w:t>het onderhavige geval</w:t>
      </w:r>
      <w:r>
        <w:t xml:space="preserve"> op basis van </w:t>
      </w:r>
      <w:r w:rsidRPr="00C45A79">
        <w:t xml:space="preserve">het uitbesteden van producten op basis van </w:t>
      </w:r>
      <w:r w:rsidR="00B52A07" w:rsidRPr="00C45A79">
        <w:t xml:space="preserve">een </w:t>
      </w:r>
      <w:r w:rsidRPr="00C45A79">
        <w:t xml:space="preserve">prijs per op te leveren </w:t>
      </w:r>
      <w:r w:rsidR="00B52A07" w:rsidRPr="00C45A79">
        <w:t>product</w:t>
      </w:r>
      <w:r w:rsidR="00B52A07">
        <w:t xml:space="preserve">. </w:t>
      </w:r>
      <w:r w:rsidR="006C23D5">
        <w:t>De</w:t>
      </w:r>
      <w:r>
        <w:t xml:space="preserve"> </w:t>
      </w:r>
      <w:r w:rsidR="00B52A07">
        <w:t xml:space="preserve">onderstaande </w:t>
      </w:r>
      <w:r w:rsidR="006C23D5">
        <w:t>informatie geeft de beeldvorming van RWS op dit moment weer</w:t>
      </w:r>
      <w:r>
        <w:t xml:space="preserve"> voor de resultaatgerichte aanbesteding van projectbeheersingsaspecten</w:t>
      </w:r>
      <w:r w:rsidR="006C23D5">
        <w:t xml:space="preserve">. </w:t>
      </w:r>
      <w:r w:rsidR="00126329" w:rsidRPr="00126329">
        <w:t>Eventuele opdrachten die op basis van een inspanning</w:t>
      </w:r>
      <w:r w:rsidR="00CE2160">
        <w:t>s</w:t>
      </w:r>
      <w:r w:rsidR="00126329" w:rsidRPr="00126329">
        <w:t>verbintenis in de markt worden gezet maken geen deel uit van de scope van de</w:t>
      </w:r>
      <w:r w:rsidR="00126329">
        <w:t xml:space="preserve"> voorgenomen aanbesteding </w:t>
      </w:r>
      <w:r w:rsidR="008477AF">
        <w:t xml:space="preserve">van de raamovereenkomsten </w:t>
      </w:r>
      <w:r w:rsidR="00126329">
        <w:t>projectbeheersing.</w:t>
      </w:r>
      <w:r w:rsidR="00126329" w:rsidRPr="00126329">
        <w:t xml:space="preserve"> </w:t>
      </w:r>
    </w:p>
    <w:p w:rsidR="006C23D5" w:rsidRDefault="006C23D5">
      <w:r>
        <w:t xml:space="preserve">Mede op basis van </w:t>
      </w:r>
      <w:r w:rsidR="008477AF">
        <w:t xml:space="preserve">reacties </w:t>
      </w:r>
      <w:r>
        <w:t xml:space="preserve">uit de markt en interne ontwikkelingen kunnen de intenties </w:t>
      </w:r>
      <w:r w:rsidR="008477AF">
        <w:t xml:space="preserve">en invulling </w:t>
      </w:r>
      <w:r>
        <w:t xml:space="preserve">nog wijzigen. </w:t>
      </w:r>
      <w:r w:rsidR="007A1F11">
        <w:t xml:space="preserve">Ook geeft deze notitie niet alle aspecten weer van de aanbesteding. </w:t>
      </w:r>
      <w:r>
        <w:t>Aan deze notitie kunnen dan ook geen rechten worden ontleend.</w:t>
      </w:r>
    </w:p>
    <w:p w:rsidR="009350C7" w:rsidRDefault="009350C7" w:rsidP="009350C7">
      <w:r>
        <w:t xml:space="preserve">Binnen Rijkswaterstaat (RWS) zijn de afdelingen Grote Projecten en Onderhoud (GPO) en Programma’s, Projecten en Onderhoud (PPO) belast met de infrastructuurprojecten. </w:t>
      </w:r>
    </w:p>
    <w:p w:rsidR="00144C05" w:rsidRDefault="00C45A79" w:rsidP="009350C7">
      <w:r>
        <w:t xml:space="preserve">Resultaatgerichte </w:t>
      </w:r>
      <w:r w:rsidR="009350C7">
        <w:t>uitbesteding zal</w:t>
      </w:r>
      <w:r>
        <w:t>,</w:t>
      </w:r>
      <w:r w:rsidR="00126329">
        <w:t xml:space="preserve"> </w:t>
      </w:r>
      <w:r>
        <w:t>zoals RWS breed is besloten,</w:t>
      </w:r>
      <w:r w:rsidR="009350C7">
        <w:t xml:space="preserve"> </w:t>
      </w:r>
      <w:r w:rsidR="000F0435">
        <w:t xml:space="preserve">een </w:t>
      </w:r>
      <w:r w:rsidR="00126329">
        <w:t xml:space="preserve">steeds </w:t>
      </w:r>
      <w:r w:rsidR="000F0435">
        <w:t xml:space="preserve">belangrijker deel gaan vormen van </w:t>
      </w:r>
      <w:r w:rsidR="00B52A07">
        <w:t xml:space="preserve">de </w:t>
      </w:r>
      <w:r w:rsidR="009350C7">
        <w:t xml:space="preserve">wijze </w:t>
      </w:r>
      <w:r w:rsidR="00B52A07">
        <w:t xml:space="preserve">waarop </w:t>
      </w:r>
      <w:r w:rsidR="009350C7">
        <w:t xml:space="preserve">de noodzakelijke producten </w:t>
      </w:r>
      <w:r w:rsidR="000F0435">
        <w:t>worden verkregen</w:t>
      </w:r>
      <w:r w:rsidR="009350C7">
        <w:t xml:space="preserve">. </w:t>
      </w:r>
      <w:r w:rsidR="000F0435">
        <w:br/>
      </w:r>
      <w:r w:rsidR="0027709B">
        <w:br/>
      </w:r>
      <w:r w:rsidRPr="00C45A79">
        <w:t>Resultaatgerichte</w:t>
      </w:r>
      <w:r w:rsidR="009350C7">
        <w:t xml:space="preserve"> uitbesteding vraagt een transparante vraagstelling aan en eenduidige afspraken met de markt/opdrachtnemers gericht op te leveren producten (deliverables) die voldoen aan de aan </w:t>
      </w:r>
      <w:r w:rsidR="00B52A07">
        <w:t xml:space="preserve">de </w:t>
      </w:r>
      <w:r w:rsidR="009350C7">
        <w:t>producten gestelde eisen (kwaliteit, tijdigheid etc.)</w:t>
      </w:r>
      <w:r w:rsidR="0027709B">
        <w:t>,</w:t>
      </w:r>
      <w:r w:rsidR="009350C7">
        <w:t xml:space="preserve"> zodat het mogelijk is te bepalen of de overeengekomen prestaties conform overeenkomst zijn geleverd. </w:t>
      </w:r>
    </w:p>
    <w:p w:rsidR="00F314AE" w:rsidRDefault="00144C05" w:rsidP="009350C7">
      <w:r>
        <w:t>B</w:t>
      </w:r>
      <w:r w:rsidRPr="00144C05">
        <w:t>innen de</w:t>
      </w:r>
      <w:r w:rsidR="000F0435">
        <w:t xml:space="preserve"> huidige</w:t>
      </w:r>
      <w:r w:rsidRPr="00144C05">
        <w:t xml:space="preserve"> </w:t>
      </w:r>
      <w:r>
        <w:t>aanbestedings</w:t>
      </w:r>
      <w:r w:rsidRPr="00144C05">
        <w:t>wetgeving</w:t>
      </w:r>
      <w:r>
        <w:t xml:space="preserve"> kunnen in tegenstelling tot </w:t>
      </w:r>
      <w:r w:rsidR="000F0435">
        <w:t xml:space="preserve">inhuur van capaciteit via de </w:t>
      </w:r>
      <w:r w:rsidR="00B52A07">
        <w:t xml:space="preserve">marktplaats </w:t>
      </w:r>
      <w:r>
        <w:t xml:space="preserve">mogelijke aanbieders </w:t>
      </w:r>
      <w:r w:rsidR="00E872A3" w:rsidRPr="00E872A3">
        <w:t xml:space="preserve">voor de invulling van de vraag in de vorm de levering van producten </w:t>
      </w:r>
      <w:r w:rsidR="00B52A07">
        <w:t xml:space="preserve">niet </w:t>
      </w:r>
      <w:r>
        <w:t xml:space="preserve">via de marktplaats worden benaderd. </w:t>
      </w:r>
    </w:p>
    <w:p w:rsidR="00F314AE" w:rsidRDefault="00F314AE" w:rsidP="00F314AE">
      <w:pPr>
        <w:pStyle w:val="Kop2"/>
      </w:pPr>
      <w:r>
        <w:t>De voorgenomen aanbesteding</w:t>
      </w:r>
    </w:p>
    <w:p w:rsidR="00144C05" w:rsidRDefault="007A1F11" w:rsidP="009350C7">
      <w:r>
        <w:t xml:space="preserve">Er zal </w:t>
      </w:r>
      <w:r w:rsidR="00F314AE">
        <w:t xml:space="preserve">gelet op het voorgaande </w:t>
      </w:r>
      <w:r>
        <w:t xml:space="preserve">dan ook een Europese aanbesteding worden opgestart gericht op het afsluiten van </w:t>
      </w:r>
      <w:r w:rsidR="00CE2160">
        <w:t>productgerichte</w:t>
      </w:r>
      <w:r w:rsidR="00E872A3">
        <w:t xml:space="preserve"> </w:t>
      </w:r>
      <w:r>
        <w:t>raamovereenkomsten per perceel, waarna nadere opdrachten zullen worden uitgezet bij de raamcontractanten.</w:t>
      </w:r>
    </w:p>
    <w:p w:rsidR="00AD795F" w:rsidRDefault="00144C05" w:rsidP="009350C7">
      <w:r>
        <w:t xml:space="preserve">Projectbeheersingsopdrachten zullen, in tegenstelling tot de huidige situatie, in de meeste gevallen niet meer voor een beperkte looptijd plaatsvinden, maar de looptijd van de overeenkomsten </w:t>
      </w:r>
      <w:r w:rsidR="0027709B">
        <w:t xml:space="preserve">(die gedurende de looptijd van de raamovereenkomst zijn verleend) </w:t>
      </w:r>
      <w:r>
        <w:t xml:space="preserve">zal doorgaans gelijk lopen met (behoudens onvoldoende prestaties) de </w:t>
      </w:r>
      <w:r w:rsidR="00385C3A">
        <w:t xml:space="preserve">behoefte van RWS op dit gebied </w:t>
      </w:r>
      <w:r w:rsidR="00AD795F">
        <w:t xml:space="preserve">gedurende </w:t>
      </w:r>
      <w:r w:rsidR="00385C3A">
        <w:t>de looptijd van het infrastructurele project.</w:t>
      </w:r>
      <w:r w:rsidR="0067760F">
        <w:t xml:space="preserve"> </w:t>
      </w:r>
      <w:r w:rsidR="00B52A07">
        <w:t xml:space="preserve">Dit betekent dat opdrachtnemers in staat moeten zijn gedurende de </w:t>
      </w:r>
      <w:r w:rsidR="00B52A07">
        <w:lastRenderedPageBreak/>
        <w:t xml:space="preserve">gehele looptijd van de overeenkomst de ongestoorde oplevering van de op te leveren producten op de op te leveren momenten te borgen. </w:t>
      </w:r>
    </w:p>
    <w:p w:rsidR="007749A2" w:rsidRDefault="00AD795F" w:rsidP="00CC3A3D">
      <w:r>
        <w:t>Opdrachten zullen deel</w:t>
      </w:r>
      <w:r w:rsidR="0067760F">
        <w:t>s</w:t>
      </w:r>
      <w:r>
        <w:t xml:space="preserve"> betrekking hebben op één projectbeheersingsdiscipline, maar </w:t>
      </w:r>
      <w:r w:rsidR="00D8366C">
        <w:t xml:space="preserve">zullen veelal </w:t>
      </w:r>
      <w:r>
        <w:t>ook een multidisciplinair</w:t>
      </w:r>
      <w:r w:rsidR="00B8740A">
        <w:t xml:space="preserve"> (</w:t>
      </w:r>
      <w:r w:rsidR="00B8740A" w:rsidRPr="00B8740A">
        <w:t xml:space="preserve">dit </w:t>
      </w:r>
      <w:r w:rsidR="00B52A07" w:rsidRPr="00B8740A">
        <w:t xml:space="preserve">betreft </w:t>
      </w:r>
      <w:r w:rsidR="00B8740A" w:rsidRPr="00B8740A">
        <w:t>zowel het op de markt zetten van alle aspecten van projectbeheersing</w:t>
      </w:r>
      <w:r w:rsidR="00661534">
        <w:t>,</w:t>
      </w:r>
      <w:r w:rsidR="00B8740A" w:rsidRPr="00B8740A">
        <w:t xml:space="preserve"> als een combinatie van 2 of meer aspecten</w:t>
      </w:r>
      <w:r w:rsidR="00B8740A">
        <w:t>)</w:t>
      </w:r>
      <w:r>
        <w:t xml:space="preserve"> karakter hebben. </w:t>
      </w:r>
      <w:r w:rsidR="0067760F">
        <w:t xml:space="preserve">Multidisciplinaire </w:t>
      </w:r>
      <w:r w:rsidR="000F0435">
        <w:t xml:space="preserve">productgerichte </w:t>
      </w:r>
      <w:r w:rsidR="0067760F">
        <w:t xml:space="preserve">opdrachten zullen enkel worden uitgevraagd wanneer de voordelen voor RWS opwegen tegen de risico's en de eventuele nadelen </w:t>
      </w:r>
      <w:r w:rsidR="00B52A07">
        <w:t xml:space="preserve">die </w:t>
      </w:r>
      <w:r w:rsidR="0067760F">
        <w:t>marktpartijen van de samenvoeging ondervinden</w:t>
      </w:r>
      <w:r w:rsidR="00CC3A3D">
        <w:t>.</w:t>
      </w:r>
      <w:r w:rsidR="000F0435">
        <w:t xml:space="preserve"> </w:t>
      </w:r>
    </w:p>
    <w:p w:rsidR="007749A2" w:rsidRDefault="007749A2" w:rsidP="00CC3A3D">
      <w:r>
        <w:t>Daa</w:t>
      </w:r>
      <w:r w:rsidR="00B8740A">
        <w:t>r</w:t>
      </w:r>
      <w:r>
        <w:t>naast bestaat de mogelijkheid dat voor grote opdrachten</w:t>
      </w:r>
      <w:r w:rsidR="00C101B8">
        <w:t xml:space="preserve"> (op dit moment wordt gedacht aan een grensbedrag van € 5 M)</w:t>
      </w:r>
      <w:r w:rsidR="00B8740A">
        <w:t>,</w:t>
      </w:r>
      <w:r>
        <w:t xml:space="preserve"> waarbij </w:t>
      </w:r>
      <w:r w:rsidR="002920D2">
        <w:t>(</w:t>
      </w:r>
      <w:r>
        <w:t>onder meer</w:t>
      </w:r>
      <w:r w:rsidR="002920D2">
        <w:t>)</w:t>
      </w:r>
      <w:r>
        <w:t xml:space="preserve"> projectbeheersing wordt aanbesteed</w:t>
      </w:r>
      <w:r w:rsidR="00B8740A">
        <w:t>,</w:t>
      </w:r>
      <w:r>
        <w:t xml:space="preserve"> de vraag op een alternatieve wijze naar de markt wordt gebracht. Dergelijke opdrachten zullen niet onder de scope van de onderhavige aanbesteding vallen. O</w:t>
      </w:r>
      <w:r w:rsidR="00C101B8">
        <w:t xml:space="preserve">ok </w:t>
      </w:r>
      <w:r w:rsidR="00B8740A">
        <w:t>inspanning</w:t>
      </w:r>
      <w:r w:rsidR="00C101B8">
        <w:t xml:space="preserve"> </w:t>
      </w:r>
      <w:r w:rsidR="00B8740A">
        <w:t>gerichte overeenkomsten</w:t>
      </w:r>
      <w:r w:rsidR="00C101B8">
        <w:t xml:space="preserve"> vallen </w:t>
      </w:r>
      <w:r w:rsidR="00B8740A">
        <w:t>buiten de scope van de onderhavige aanbesteding.</w:t>
      </w:r>
      <w:r>
        <w:t xml:space="preserve"> </w:t>
      </w:r>
    </w:p>
    <w:p w:rsidR="0067760F" w:rsidRDefault="00CC3A3D" w:rsidP="0067760F">
      <w:r>
        <w:t xml:space="preserve">Om de </w:t>
      </w:r>
      <w:r w:rsidR="00AD795F">
        <w:t xml:space="preserve">vraag </w:t>
      </w:r>
      <w:r w:rsidR="00BD64E5">
        <w:t>optimaal</w:t>
      </w:r>
      <w:r w:rsidR="00AD795F">
        <w:t xml:space="preserve"> te kunnen invullen is het huidige </w:t>
      </w:r>
      <w:r w:rsidR="00AD795F" w:rsidRPr="00B8740A">
        <w:t xml:space="preserve">voornemen </w:t>
      </w:r>
      <w:r w:rsidR="00207AC0" w:rsidRPr="00B8740A">
        <w:t>deze</w:t>
      </w:r>
      <w:r w:rsidR="00207AC0">
        <w:t xml:space="preserve"> </w:t>
      </w:r>
      <w:r w:rsidR="00AD795F">
        <w:t>aanbesteding op te delen in perc</w:t>
      </w:r>
      <w:r w:rsidR="00606068">
        <w:t>e</w:t>
      </w:r>
      <w:r w:rsidR="00AD795F">
        <w:t>len.</w:t>
      </w:r>
      <w:r w:rsidR="00BD64E5">
        <w:t xml:space="preserve"> </w:t>
      </w:r>
      <w:r w:rsidR="00AD795F">
        <w:t>Op dit moment worden de volgende percelen voorzien:</w:t>
      </w:r>
    </w:p>
    <w:p w:rsidR="00661534" w:rsidRDefault="00606068" w:rsidP="0067760F">
      <w:pPr>
        <w:pStyle w:val="Lijstalinea"/>
        <w:numPr>
          <w:ilvl w:val="0"/>
          <w:numId w:val="2"/>
        </w:numPr>
        <w:rPr>
          <w:rFonts w:ascii="Verdana" w:eastAsia="Times New Roman" w:hAnsi="Verdana" w:cs="Times New Roman"/>
          <w:sz w:val="18"/>
          <w:szCs w:val="18"/>
          <w:lang w:eastAsia="nl-NL"/>
        </w:rPr>
      </w:pPr>
      <w:r w:rsidRPr="00606068">
        <w:rPr>
          <w:rFonts w:ascii="Verdana" w:eastAsia="Times New Roman" w:hAnsi="Verdana" w:cs="Times New Roman"/>
          <w:sz w:val="18"/>
          <w:szCs w:val="18"/>
          <w:lang w:eastAsia="nl-NL"/>
        </w:rPr>
        <w:t>Multidisciplinair</w:t>
      </w:r>
      <w:r w:rsidR="00862F91">
        <w:rPr>
          <w:rFonts w:ascii="Verdana" w:eastAsia="Times New Roman" w:hAnsi="Verdana" w:cs="Times New Roman"/>
          <w:sz w:val="18"/>
          <w:szCs w:val="18"/>
          <w:lang w:eastAsia="nl-NL"/>
        </w:rPr>
        <w:t>;</w:t>
      </w:r>
    </w:p>
    <w:p w:rsidR="00606068" w:rsidRDefault="00661534" w:rsidP="00661534">
      <w:pPr>
        <w:pStyle w:val="Lijstalinea"/>
        <w:numPr>
          <w:ilvl w:val="1"/>
          <w:numId w:val="2"/>
        </w:numPr>
        <w:rPr>
          <w:rFonts w:ascii="Verdana" w:eastAsia="Times New Roman" w:hAnsi="Verdana" w:cs="Times New Roman"/>
          <w:sz w:val="18"/>
          <w:szCs w:val="18"/>
          <w:lang w:eastAsia="nl-NL"/>
        </w:rPr>
      </w:pPr>
      <w:r>
        <w:rPr>
          <w:rFonts w:ascii="Verdana" w:eastAsia="Times New Roman" w:hAnsi="Verdana" w:cs="Times New Roman"/>
          <w:sz w:val="18"/>
          <w:szCs w:val="18"/>
          <w:lang w:eastAsia="nl-NL"/>
        </w:rPr>
        <w:t>Binnen dit perceel dienen alle mogelijk combinaties van de onderstaande percelen te kunnen worden geleverd en die kunnen worden aangevuld met de levering van producten voor scope, kwaliteits- en capaciteitsmanagement;</w:t>
      </w:r>
      <w:r w:rsidR="001B66A5">
        <w:rPr>
          <w:rFonts w:ascii="Verdana" w:eastAsia="Times New Roman" w:hAnsi="Verdana" w:cs="Times New Roman"/>
          <w:sz w:val="18"/>
          <w:szCs w:val="18"/>
          <w:lang w:eastAsia="nl-NL"/>
        </w:rPr>
        <w:t xml:space="preserve"> </w:t>
      </w:r>
    </w:p>
    <w:p w:rsidR="00606068" w:rsidRPr="00606068" w:rsidRDefault="00606068" w:rsidP="00606068">
      <w:pPr>
        <w:pStyle w:val="Lijstalinea"/>
        <w:numPr>
          <w:ilvl w:val="0"/>
          <w:numId w:val="2"/>
        </w:numPr>
        <w:rPr>
          <w:rFonts w:ascii="Verdana" w:eastAsia="Times New Roman" w:hAnsi="Verdana" w:cs="Times New Roman"/>
          <w:sz w:val="18"/>
          <w:szCs w:val="18"/>
          <w:lang w:eastAsia="nl-NL"/>
        </w:rPr>
      </w:pPr>
      <w:r w:rsidRPr="00606068">
        <w:rPr>
          <w:rFonts w:ascii="Verdana" w:eastAsia="Times New Roman" w:hAnsi="Verdana" w:cs="Times New Roman"/>
          <w:sz w:val="18"/>
          <w:szCs w:val="18"/>
          <w:lang w:eastAsia="nl-NL"/>
        </w:rPr>
        <w:t>Planningsmanagement</w:t>
      </w:r>
      <w:r w:rsidR="00862F91">
        <w:rPr>
          <w:rFonts w:ascii="Verdana" w:eastAsia="Times New Roman" w:hAnsi="Verdana" w:cs="Times New Roman"/>
          <w:sz w:val="18"/>
          <w:szCs w:val="18"/>
          <w:lang w:eastAsia="nl-NL"/>
        </w:rPr>
        <w:t>;</w:t>
      </w:r>
    </w:p>
    <w:p w:rsidR="00606068" w:rsidRPr="00606068" w:rsidRDefault="00606068" w:rsidP="00606068">
      <w:pPr>
        <w:pStyle w:val="Lijstalinea"/>
        <w:numPr>
          <w:ilvl w:val="0"/>
          <w:numId w:val="2"/>
        </w:numPr>
        <w:rPr>
          <w:rFonts w:ascii="Verdana" w:eastAsia="Times New Roman" w:hAnsi="Verdana" w:cs="Times New Roman"/>
          <w:sz w:val="18"/>
          <w:szCs w:val="18"/>
          <w:lang w:eastAsia="nl-NL"/>
        </w:rPr>
      </w:pPr>
      <w:r w:rsidRPr="00606068">
        <w:rPr>
          <w:rFonts w:ascii="Verdana" w:eastAsia="Times New Roman" w:hAnsi="Verdana" w:cs="Times New Roman"/>
          <w:sz w:val="18"/>
          <w:szCs w:val="18"/>
          <w:lang w:eastAsia="nl-NL"/>
        </w:rPr>
        <w:t>Risicomanagement</w:t>
      </w:r>
      <w:r w:rsidR="00862F91">
        <w:rPr>
          <w:rFonts w:ascii="Verdana" w:eastAsia="Times New Roman" w:hAnsi="Verdana" w:cs="Times New Roman"/>
          <w:sz w:val="18"/>
          <w:szCs w:val="18"/>
          <w:lang w:eastAsia="nl-NL"/>
        </w:rPr>
        <w:t>;</w:t>
      </w:r>
    </w:p>
    <w:p w:rsidR="00606068" w:rsidRPr="00606068" w:rsidRDefault="00606068" w:rsidP="00606068">
      <w:pPr>
        <w:pStyle w:val="Lijstalinea"/>
        <w:numPr>
          <w:ilvl w:val="0"/>
          <w:numId w:val="2"/>
        </w:numPr>
        <w:rPr>
          <w:rFonts w:ascii="Verdana" w:eastAsia="Times New Roman" w:hAnsi="Verdana" w:cs="Times New Roman"/>
          <w:sz w:val="18"/>
          <w:szCs w:val="18"/>
          <w:lang w:eastAsia="nl-NL"/>
        </w:rPr>
      </w:pPr>
      <w:r w:rsidRPr="00606068">
        <w:rPr>
          <w:rFonts w:ascii="Verdana" w:eastAsia="Times New Roman" w:hAnsi="Verdana" w:cs="Times New Roman"/>
          <w:sz w:val="18"/>
          <w:szCs w:val="18"/>
          <w:lang w:eastAsia="nl-NL"/>
        </w:rPr>
        <w:t>Financieel management</w:t>
      </w:r>
      <w:r w:rsidR="00862F91">
        <w:rPr>
          <w:rFonts w:ascii="Verdana" w:eastAsia="Times New Roman" w:hAnsi="Verdana" w:cs="Times New Roman"/>
          <w:sz w:val="18"/>
          <w:szCs w:val="18"/>
          <w:lang w:eastAsia="nl-NL"/>
        </w:rPr>
        <w:t>;</w:t>
      </w:r>
    </w:p>
    <w:p w:rsidR="00606068" w:rsidRPr="00606068" w:rsidRDefault="00606068" w:rsidP="00606068">
      <w:pPr>
        <w:pStyle w:val="Lijstalinea"/>
        <w:numPr>
          <w:ilvl w:val="0"/>
          <w:numId w:val="2"/>
        </w:numPr>
        <w:rPr>
          <w:rFonts w:ascii="Verdana" w:eastAsia="Times New Roman" w:hAnsi="Verdana" w:cs="Times New Roman"/>
          <w:sz w:val="18"/>
          <w:szCs w:val="18"/>
          <w:lang w:eastAsia="nl-NL"/>
        </w:rPr>
      </w:pPr>
      <w:r w:rsidRPr="00606068">
        <w:rPr>
          <w:rFonts w:ascii="Verdana" w:eastAsia="Times New Roman" w:hAnsi="Verdana" w:cs="Times New Roman"/>
          <w:sz w:val="18"/>
          <w:szCs w:val="18"/>
          <w:lang w:eastAsia="nl-NL"/>
        </w:rPr>
        <w:t>Projectondersteuning</w:t>
      </w:r>
      <w:r w:rsidR="00862F91">
        <w:rPr>
          <w:rFonts w:ascii="Verdana" w:eastAsia="Times New Roman" w:hAnsi="Verdana" w:cs="Times New Roman"/>
          <w:sz w:val="18"/>
          <w:szCs w:val="18"/>
          <w:lang w:eastAsia="nl-NL"/>
        </w:rPr>
        <w:t>;</w:t>
      </w:r>
    </w:p>
    <w:p w:rsidR="00036F20" w:rsidRDefault="00B75933" w:rsidP="009350C7">
      <w:r>
        <w:t>Op basis van historische gegevens en de inschatting van de vraag voor 2016 geeft een ruwe inschatting het volgende beeld.</w:t>
      </w:r>
      <w:r w:rsidR="00E76618">
        <w:t xml:space="preserve"> De aantallen en omvang geven de maximale potentie </w:t>
      </w:r>
      <w:r w:rsidR="00B52A07">
        <w:t xml:space="preserve">aan. </w:t>
      </w:r>
      <w:r w:rsidR="00E76618">
        <w:t xml:space="preserve">De verwachting is dat binnen het </w:t>
      </w:r>
      <w:r w:rsidR="00AC4C40">
        <w:t>product projectbeheersing</w:t>
      </w:r>
      <w:r w:rsidR="00E76618">
        <w:t xml:space="preserve"> in 2016 een opdrachtwaarde van maximaal € 10.000.000</w:t>
      </w:r>
      <w:r w:rsidR="00B52A07">
        <w:t>, -</w:t>
      </w:r>
      <w:r w:rsidR="00E76618">
        <w:t xml:space="preserve"> </w:t>
      </w:r>
      <w:r w:rsidR="00C101B8">
        <w:t xml:space="preserve">verdeeld over meerdere opdrachten </w:t>
      </w:r>
      <w:r w:rsidR="00E76618">
        <w:t>naar de markt kan worden gebracht.</w:t>
      </w:r>
      <w:r w:rsidR="00036F20">
        <w:t xml:space="preserve"> Het volume </w:t>
      </w:r>
      <w:r w:rsidR="00B52A07">
        <w:t xml:space="preserve">in </w:t>
      </w:r>
      <w:r w:rsidR="00036F20">
        <w:t xml:space="preserve">de daar op volgende jaren zal naar verwachting tussen de 50 tot 75% van het eerste jaar zijn. </w:t>
      </w:r>
    </w:p>
    <w:tbl>
      <w:tblPr>
        <w:tblStyle w:val="Tabelraster"/>
        <w:tblW w:w="0" w:type="auto"/>
        <w:tblLook w:val="04A0" w:firstRow="1" w:lastRow="0" w:firstColumn="1" w:lastColumn="0" w:noHBand="0" w:noVBand="1"/>
      </w:tblPr>
      <w:tblGrid>
        <w:gridCol w:w="2271"/>
        <w:gridCol w:w="1253"/>
        <w:gridCol w:w="2282"/>
        <w:gridCol w:w="2666"/>
      </w:tblGrid>
      <w:tr w:rsidR="00036F20" w:rsidTr="00036F20">
        <w:tc>
          <w:tcPr>
            <w:tcW w:w="2271" w:type="dxa"/>
          </w:tcPr>
          <w:p w:rsidR="00036F20" w:rsidRDefault="00036F20" w:rsidP="009350C7">
            <w:r>
              <w:t>Aspecten</w:t>
            </w:r>
          </w:p>
        </w:tc>
        <w:tc>
          <w:tcPr>
            <w:tcW w:w="1253" w:type="dxa"/>
          </w:tcPr>
          <w:p w:rsidR="00036F20" w:rsidRDefault="00036F20" w:rsidP="009350C7">
            <w:r>
              <w:t>Aantal opdrachten</w:t>
            </w:r>
          </w:p>
        </w:tc>
        <w:tc>
          <w:tcPr>
            <w:tcW w:w="2282" w:type="dxa"/>
          </w:tcPr>
          <w:p w:rsidR="00036F20" w:rsidRDefault="00036F20" w:rsidP="00B75933">
            <w:r>
              <w:t>Percentage van de opdrachtwaarde gedurende de looptijd</w:t>
            </w:r>
          </w:p>
        </w:tc>
        <w:tc>
          <w:tcPr>
            <w:tcW w:w="2666" w:type="dxa"/>
          </w:tcPr>
          <w:p w:rsidR="00036F20" w:rsidRDefault="00036F20" w:rsidP="00B75933">
            <w:r>
              <w:t>Looptijd in jaren</w:t>
            </w:r>
          </w:p>
        </w:tc>
      </w:tr>
      <w:tr w:rsidR="00036F20" w:rsidTr="0012016E">
        <w:tc>
          <w:tcPr>
            <w:tcW w:w="2271" w:type="dxa"/>
          </w:tcPr>
          <w:p w:rsidR="00036F20" w:rsidRDefault="00036F20" w:rsidP="00B75933">
            <w:pPr>
              <w:jc w:val="both"/>
            </w:pPr>
            <w:r w:rsidRPr="00606068">
              <w:rPr>
                <w:rFonts w:ascii="Verdana" w:eastAsia="Times New Roman" w:hAnsi="Verdana" w:cs="Times New Roman"/>
                <w:sz w:val="18"/>
                <w:szCs w:val="18"/>
                <w:lang w:eastAsia="nl-NL"/>
              </w:rPr>
              <w:t>Multidisciplinair</w:t>
            </w:r>
          </w:p>
        </w:tc>
        <w:tc>
          <w:tcPr>
            <w:tcW w:w="1253" w:type="dxa"/>
          </w:tcPr>
          <w:p w:rsidR="00E20497" w:rsidRDefault="00036F20">
            <w:pPr>
              <w:jc w:val="center"/>
            </w:pPr>
            <w:r>
              <w:t>10 – 20</w:t>
            </w:r>
          </w:p>
        </w:tc>
        <w:tc>
          <w:tcPr>
            <w:tcW w:w="2282" w:type="dxa"/>
          </w:tcPr>
          <w:p w:rsidR="00E20497" w:rsidRDefault="00D8366C" w:rsidP="00661534">
            <w:pPr>
              <w:jc w:val="center"/>
            </w:pPr>
            <w:r>
              <w:t>7</w:t>
            </w:r>
            <w:r w:rsidR="00661534">
              <w:t>0</w:t>
            </w:r>
            <w:r w:rsidRPr="00E76618">
              <w:t xml:space="preserve"> </w:t>
            </w:r>
            <w:r w:rsidR="00036F20" w:rsidRPr="00E76618">
              <w:t>%</w:t>
            </w:r>
          </w:p>
        </w:tc>
        <w:tc>
          <w:tcPr>
            <w:tcW w:w="2666" w:type="dxa"/>
            <w:vMerge w:val="restart"/>
          </w:tcPr>
          <w:p w:rsidR="00036F20" w:rsidRDefault="00B52A07" w:rsidP="00CE2160">
            <w:r w:rsidRPr="00036F20">
              <w:t xml:space="preserve">2- 4 jaar met incidenteel kortere ( 1 </w:t>
            </w:r>
            <w:r>
              <w:t>j</w:t>
            </w:r>
            <w:r w:rsidRPr="00036F20">
              <w:t>aar</w:t>
            </w:r>
            <w:r w:rsidR="00F44958">
              <w:t>)</w:t>
            </w:r>
            <w:r w:rsidRPr="00036F20">
              <w:t xml:space="preserve"> of langere looptijden </w:t>
            </w:r>
            <w:r w:rsidR="00F44958">
              <w:t>(</w:t>
            </w:r>
            <w:r w:rsidRPr="00036F20">
              <w:t>tot 7 jaar)</w:t>
            </w:r>
          </w:p>
        </w:tc>
      </w:tr>
      <w:tr w:rsidR="00036F20" w:rsidTr="0012016E">
        <w:tc>
          <w:tcPr>
            <w:tcW w:w="2271" w:type="dxa"/>
          </w:tcPr>
          <w:p w:rsidR="00036F20" w:rsidRDefault="00036F20" w:rsidP="009350C7">
            <w:r w:rsidRPr="00606068">
              <w:rPr>
                <w:rFonts w:ascii="Verdana" w:eastAsia="Times New Roman" w:hAnsi="Verdana" w:cs="Times New Roman"/>
                <w:sz w:val="18"/>
                <w:szCs w:val="18"/>
                <w:lang w:eastAsia="nl-NL"/>
              </w:rPr>
              <w:t>Planningsmanagement</w:t>
            </w:r>
          </w:p>
        </w:tc>
        <w:tc>
          <w:tcPr>
            <w:tcW w:w="1253" w:type="dxa"/>
          </w:tcPr>
          <w:p w:rsidR="00E20497" w:rsidRDefault="00036F20">
            <w:pPr>
              <w:jc w:val="center"/>
            </w:pPr>
            <w:r>
              <w:t>4- 8</w:t>
            </w:r>
          </w:p>
        </w:tc>
        <w:tc>
          <w:tcPr>
            <w:tcW w:w="2282" w:type="dxa"/>
          </w:tcPr>
          <w:p w:rsidR="00E20497" w:rsidRDefault="00661534" w:rsidP="00661534">
            <w:pPr>
              <w:jc w:val="center"/>
            </w:pPr>
            <w:r>
              <w:t xml:space="preserve">10 </w:t>
            </w:r>
            <w:r w:rsidR="00036F20" w:rsidRPr="00E76618">
              <w:t>%</w:t>
            </w:r>
          </w:p>
        </w:tc>
        <w:tc>
          <w:tcPr>
            <w:tcW w:w="2666" w:type="dxa"/>
            <w:vMerge/>
          </w:tcPr>
          <w:p w:rsidR="00036F20" w:rsidRDefault="00036F20" w:rsidP="00036F20"/>
        </w:tc>
      </w:tr>
      <w:tr w:rsidR="00036F20" w:rsidTr="0012016E">
        <w:tc>
          <w:tcPr>
            <w:tcW w:w="2271" w:type="dxa"/>
          </w:tcPr>
          <w:p w:rsidR="00036F20" w:rsidRDefault="00036F20" w:rsidP="009350C7">
            <w:r w:rsidRPr="00606068">
              <w:rPr>
                <w:rFonts w:ascii="Verdana" w:eastAsia="Times New Roman" w:hAnsi="Verdana" w:cs="Times New Roman"/>
                <w:sz w:val="18"/>
                <w:szCs w:val="18"/>
                <w:lang w:eastAsia="nl-NL"/>
              </w:rPr>
              <w:t>Risicomanagement</w:t>
            </w:r>
          </w:p>
        </w:tc>
        <w:tc>
          <w:tcPr>
            <w:tcW w:w="1253" w:type="dxa"/>
          </w:tcPr>
          <w:p w:rsidR="00E20497" w:rsidRDefault="00036F20">
            <w:pPr>
              <w:jc w:val="center"/>
            </w:pPr>
            <w:r>
              <w:t>4-8</w:t>
            </w:r>
          </w:p>
        </w:tc>
        <w:tc>
          <w:tcPr>
            <w:tcW w:w="2282" w:type="dxa"/>
          </w:tcPr>
          <w:p w:rsidR="00E20497" w:rsidRDefault="00661534" w:rsidP="00661534">
            <w:pPr>
              <w:jc w:val="center"/>
            </w:pPr>
            <w:r>
              <w:t xml:space="preserve">10 </w:t>
            </w:r>
            <w:r w:rsidR="00036F20">
              <w:t>%</w:t>
            </w:r>
          </w:p>
        </w:tc>
        <w:tc>
          <w:tcPr>
            <w:tcW w:w="2666" w:type="dxa"/>
            <w:vMerge/>
          </w:tcPr>
          <w:p w:rsidR="00036F20" w:rsidRDefault="00036F20" w:rsidP="009350C7"/>
        </w:tc>
      </w:tr>
      <w:tr w:rsidR="00036F20" w:rsidTr="0012016E">
        <w:tc>
          <w:tcPr>
            <w:tcW w:w="2271" w:type="dxa"/>
          </w:tcPr>
          <w:p w:rsidR="00036F20" w:rsidRDefault="00036F20" w:rsidP="009350C7">
            <w:r w:rsidRPr="00606068">
              <w:rPr>
                <w:rFonts w:ascii="Verdana" w:eastAsia="Times New Roman" w:hAnsi="Verdana" w:cs="Times New Roman"/>
                <w:sz w:val="18"/>
                <w:szCs w:val="18"/>
                <w:lang w:eastAsia="nl-NL"/>
              </w:rPr>
              <w:t>Financieel management</w:t>
            </w:r>
          </w:p>
        </w:tc>
        <w:tc>
          <w:tcPr>
            <w:tcW w:w="1253" w:type="dxa"/>
          </w:tcPr>
          <w:p w:rsidR="00E20497" w:rsidRDefault="00036F20">
            <w:pPr>
              <w:jc w:val="center"/>
            </w:pPr>
            <w:r>
              <w:t>3-6</w:t>
            </w:r>
          </w:p>
        </w:tc>
        <w:tc>
          <w:tcPr>
            <w:tcW w:w="2282" w:type="dxa"/>
          </w:tcPr>
          <w:p w:rsidR="00E20497" w:rsidRDefault="00D8366C" w:rsidP="00661534">
            <w:pPr>
              <w:jc w:val="center"/>
            </w:pPr>
            <w:r>
              <w:t>5</w:t>
            </w:r>
            <w:r w:rsidR="00661534">
              <w:t xml:space="preserve"> </w:t>
            </w:r>
            <w:r w:rsidR="00036F20">
              <w:t>%</w:t>
            </w:r>
          </w:p>
        </w:tc>
        <w:tc>
          <w:tcPr>
            <w:tcW w:w="2666" w:type="dxa"/>
            <w:vMerge/>
          </w:tcPr>
          <w:p w:rsidR="00036F20" w:rsidRDefault="00036F20" w:rsidP="009350C7"/>
        </w:tc>
      </w:tr>
      <w:tr w:rsidR="00036F20" w:rsidTr="0012016E">
        <w:tc>
          <w:tcPr>
            <w:tcW w:w="2271" w:type="dxa"/>
          </w:tcPr>
          <w:p w:rsidR="00036F20" w:rsidRDefault="00036F20" w:rsidP="009350C7">
            <w:r w:rsidRPr="00606068">
              <w:rPr>
                <w:rFonts w:ascii="Verdana" w:eastAsia="Times New Roman" w:hAnsi="Verdana" w:cs="Times New Roman"/>
                <w:sz w:val="18"/>
                <w:szCs w:val="18"/>
                <w:lang w:eastAsia="nl-NL"/>
              </w:rPr>
              <w:t>Projectondersteuning</w:t>
            </w:r>
          </w:p>
        </w:tc>
        <w:tc>
          <w:tcPr>
            <w:tcW w:w="1253" w:type="dxa"/>
          </w:tcPr>
          <w:p w:rsidR="00E20497" w:rsidRDefault="00D8366C">
            <w:pPr>
              <w:jc w:val="center"/>
            </w:pPr>
            <w:r w:rsidRPr="00D8366C">
              <w:t>10 – 20</w:t>
            </w:r>
          </w:p>
        </w:tc>
        <w:tc>
          <w:tcPr>
            <w:tcW w:w="2282" w:type="dxa"/>
          </w:tcPr>
          <w:p w:rsidR="00E20497" w:rsidRDefault="00D8366C">
            <w:pPr>
              <w:jc w:val="center"/>
            </w:pPr>
            <w:r>
              <w:t>5</w:t>
            </w:r>
            <w:r w:rsidR="00661534">
              <w:t xml:space="preserve"> </w:t>
            </w:r>
            <w:r w:rsidR="00036F20">
              <w:t>%</w:t>
            </w:r>
          </w:p>
        </w:tc>
        <w:tc>
          <w:tcPr>
            <w:tcW w:w="2666" w:type="dxa"/>
            <w:vMerge/>
          </w:tcPr>
          <w:p w:rsidR="00036F20" w:rsidRDefault="00036F20" w:rsidP="009350C7"/>
        </w:tc>
      </w:tr>
    </w:tbl>
    <w:p w:rsidR="00472447" w:rsidRPr="00472447" w:rsidRDefault="00472447" w:rsidP="009350C7">
      <w:pPr>
        <w:rPr>
          <w:i/>
          <w:sz w:val="18"/>
        </w:rPr>
      </w:pPr>
      <w:r w:rsidRPr="00472447">
        <w:rPr>
          <w:i/>
          <w:sz w:val="18"/>
        </w:rPr>
        <w:t>Aan de bovenstaande gegevens kunnen geen rechten worden ontleend. In de aanbestedingstukken zal er zo mogelijk meer actuele informatie worden vertrekt.</w:t>
      </w:r>
    </w:p>
    <w:p w:rsidR="00036F20" w:rsidRPr="00036F20" w:rsidRDefault="007A1F11" w:rsidP="00036F20">
      <w:r>
        <w:t xml:space="preserve">Voor de gevraagde producten zullen in de </w:t>
      </w:r>
      <w:r w:rsidR="00B52A07">
        <w:t xml:space="preserve">aanbesteding </w:t>
      </w:r>
      <w:r>
        <w:t xml:space="preserve">productbeschrijvingen beschikbaar worden gesteld. Deze productbeschrijvingen zullen zoveel mogelijk generiek zijn, maar in de loop van de tijd steeds </w:t>
      </w:r>
      <w:r w:rsidR="00C101B8">
        <w:t xml:space="preserve">verder </w:t>
      </w:r>
      <w:r>
        <w:t>worden geoptimaliseerd en kunnen zo nodig ook worden uitgebreid binnen de scope van het betreffende perceel.</w:t>
      </w:r>
      <w:r w:rsidR="00036F20" w:rsidRPr="00036F20">
        <w:t xml:space="preserve"> </w:t>
      </w:r>
    </w:p>
    <w:p w:rsidR="007A1F11" w:rsidRDefault="007A1F11" w:rsidP="007A1F11"/>
    <w:p w:rsidR="00C17A0E" w:rsidRDefault="00472447" w:rsidP="009350C7">
      <w:r>
        <w:t xml:space="preserve">RWS heeft de intentie per perceel een raamovereenkomst aan te gaan </w:t>
      </w:r>
      <w:r w:rsidR="00E9208A" w:rsidRPr="00E9208A">
        <w:t xml:space="preserve">met </w:t>
      </w:r>
      <w:r w:rsidR="00E9208A">
        <w:t xml:space="preserve">een </w:t>
      </w:r>
      <w:r w:rsidR="00E9208A" w:rsidRPr="00E9208A">
        <w:t xml:space="preserve">beperkt aantal partijen </w:t>
      </w:r>
      <w:r>
        <w:t xml:space="preserve">voor </w:t>
      </w:r>
      <w:r w:rsidR="00E9208A" w:rsidRPr="00E9208A">
        <w:t>een vaste looptijd van twee jaar</w:t>
      </w:r>
      <w:r w:rsidR="00E9208A">
        <w:t>,</w:t>
      </w:r>
      <w:r w:rsidR="00E9208A" w:rsidRPr="00E9208A">
        <w:t xml:space="preserve"> die door RWS kan worden verlengd met maximaal twee keer één jaar</w:t>
      </w:r>
      <w:r w:rsidR="00E9208A">
        <w:t xml:space="preserve">, waarmee de </w:t>
      </w:r>
      <w:r>
        <w:t xml:space="preserve"> </w:t>
      </w:r>
      <w:r w:rsidR="00444E49">
        <w:t>maximale</w:t>
      </w:r>
      <w:r>
        <w:t xml:space="preserve"> looptijd  vier jaar</w:t>
      </w:r>
      <w:r w:rsidR="00E9208A">
        <w:t xml:space="preserve"> kan worden</w:t>
      </w:r>
      <w:r>
        <w:t xml:space="preserve"> . </w:t>
      </w:r>
    </w:p>
    <w:p w:rsidR="00444E49" w:rsidRDefault="00472447" w:rsidP="009350C7">
      <w:r>
        <w:t>Per perceel zal het maximale aantal raamcontracten nog worden bepaald</w:t>
      </w:r>
      <w:r w:rsidR="002920D2">
        <w:t>.</w:t>
      </w:r>
      <w:r w:rsidR="002920D2">
        <w:br/>
        <w:t>D</w:t>
      </w:r>
      <w:r>
        <w:t>e verwachting is</w:t>
      </w:r>
      <w:r w:rsidR="00444E49">
        <w:t xml:space="preserve"> dat dit voor het multidisciplinaire perceel 7 </w:t>
      </w:r>
      <w:r w:rsidR="00B52A07">
        <w:t xml:space="preserve">tot </w:t>
      </w:r>
      <w:r w:rsidR="00444E49">
        <w:t>10 partijen zal zijn en voor de overige</w:t>
      </w:r>
      <w:r w:rsidR="002920D2">
        <w:t xml:space="preserve"> </w:t>
      </w:r>
      <w:r w:rsidR="00444E49">
        <w:t>percelen 5</w:t>
      </w:r>
      <w:r w:rsidR="002E0FF9">
        <w:t xml:space="preserve"> tot </w:t>
      </w:r>
      <w:r w:rsidR="00444E49">
        <w:t>7.</w:t>
      </w:r>
    </w:p>
    <w:p w:rsidR="00444E49" w:rsidRDefault="00444E49" w:rsidP="009350C7">
      <w:r>
        <w:t>Gegadigden zullen de geschiktheid voor het perceel waarvoor wordt ingeschreven moeten kunnen aantonen op basis van bewezen</w:t>
      </w:r>
      <w:r w:rsidR="007A1F11">
        <w:t>,</w:t>
      </w:r>
      <w:r>
        <w:t xml:space="preserve"> voor het perceel relevante</w:t>
      </w:r>
      <w:r w:rsidR="007A1F11">
        <w:t>,</w:t>
      </w:r>
      <w:r>
        <w:t xml:space="preserve"> competenties</w:t>
      </w:r>
      <w:r w:rsidR="009C2CD6">
        <w:t>. D</w:t>
      </w:r>
      <w:r>
        <w:t xml:space="preserve">ie worden aangetoond door het </w:t>
      </w:r>
      <w:r w:rsidR="00E9208A">
        <w:t xml:space="preserve">indienen </w:t>
      </w:r>
      <w:r>
        <w:t xml:space="preserve">van een passende referentie </w:t>
      </w:r>
      <w:r w:rsidR="00C101B8">
        <w:t xml:space="preserve">op het betreffende projectbeheersingsaspect voor een periode 24 maanden </w:t>
      </w:r>
      <w:r>
        <w:t>die niet ouder is dan 3 jaar en betrekking</w:t>
      </w:r>
      <w:r w:rsidR="00F44958">
        <w:t xml:space="preserve"> heeft</w:t>
      </w:r>
      <w:r w:rsidR="002A6701">
        <w:t xml:space="preserve"> op complexe GWW en/of infrastructurele projecten met een aanneemsom van het project waar de aanbesteding betrekking heeft van minimaal € 35 M. </w:t>
      </w:r>
      <w:r>
        <w:t xml:space="preserve">Tevens dient de </w:t>
      </w:r>
      <w:r w:rsidR="00312923">
        <w:t>inschrijver</w:t>
      </w:r>
      <w:r w:rsidR="007A1F11">
        <w:t xml:space="preserve"> </w:t>
      </w:r>
      <w:r>
        <w:t>onder meer aan te kunnen tonen dat er voldoende capaciteit beschikbaar is om de continuïteit van de opdracht (en) te kunnen invullen.</w:t>
      </w:r>
    </w:p>
    <w:p w:rsidR="00444E49" w:rsidRDefault="00444E49" w:rsidP="009350C7">
      <w:r>
        <w:t>De gunning van de raamovereenkomst en de nadere overeenkomst(en) zal plaatsvinden op basi</w:t>
      </w:r>
      <w:r w:rsidR="006C23D5">
        <w:t>s</w:t>
      </w:r>
      <w:r>
        <w:t xml:space="preserve"> van de economisch meest voordelige </w:t>
      </w:r>
      <w:r w:rsidR="006C23D5">
        <w:t>inschrijving</w:t>
      </w:r>
      <w:r>
        <w:t>(en). Hiertoe zal bij de raamovereenkomst een</w:t>
      </w:r>
      <w:r w:rsidR="006C23D5">
        <w:t xml:space="preserve"> </w:t>
      </w:r>
      <w:r>
        <w:t xml:space="preserve">uitvraag voor een nadere opdracht </w:t>
      </w:r>
      <w:r w:rsidR="006C23D5">
        <w:t xml:space="preserve">worden gedaan. Voor </w:t>
      </w:r>
      <w:r w:rsidR="00B52A07">
        <w:t xml:space="preserve">de </w:t>
      </w:r>
      <w:r w:rsidR="006C23D5" w:rsidRPr="006C23D5">
        <w:t>economisch meest voordelige inschrijv</w:t>
      </w:r>
      <w:r w:rsidR="006C23D5">
        <w:t xml:space="preserve">er kan dit leiden tot de gunning van de nadere opdracht en zal dit leiden tot het gunnen van de raamovereenkomst, dit laatste zal ook, tot het </w:t>
      </w:r>
      <w:r w:rsidR="0027709B">
        <w:t xml:space="preserve">nog te bepalen </w:t>
      </w:r>
      <w:r w:rsidR="006C23D5">
        <w:t>maximum plaatsvinden aan de overige partijen in de rangorde.</w:t>
      </w:r>
    </w:p>
    <w:p w:rsidR="006C23D5" w:rsidRDefault="006C23D5" w:rsidP="009350C7">
      <w:r>
        <w:t xml:space="preserve">Om de inschrijfkosten </w:t>
      </w:r>
      <w:r w:rsidR="004B01B8">
        <w:t xml:space="preserve">voor de marktpartijen </w:t>
      </w:r>
      <w:r>
        <w:t xml:space="preserve">te beperken en het proces </w:t>
      </w:r>
      <w:r w:rsidR="00BD010F">
        <w:t>efficiënt</w:t>
      </w:r>
      <w:r>
        <w:t xml:space="preserve"> te laten </w:t>
      </w:r>
      <w:r w:rsidR="00B52A07">
        <w:t>verlopen,</w:t>
      </w:r>
      <w:r>
        <w:t xml:space="preserve"> zal enkel voor opdrachten van een </w:t>
      </w:r>
      <w:r w:rsidR="00BD010F">
        <w:t>substantiële</w:t>
      </w:r>
      <w:r>
        <w:t xml:space="preserve"> omvang een offerte aanvraag worden gedaan bij alle raamcontracten (binnen het perceel)</w:t>
      </w:r>
      <w:r w:rsidR="00BD010F">
        <w:t xml:space="preserve">. Voor kleiner opdrachten zal er steeds één </w:t>
      </w:r>
      <w:r w:rsidR="004B01B8">
        <w:t xml:space="preserve">door RWS bepaalde </w:t>
      </w:r>
      <w:r w:rsidR="00BD010F">
        <w:t>raamcontractant worden uitgenodigd</w:t>
      </w:r>
      <w:r w:rsidR="00C17A0E">
        <w:t>. B</w:t>
      </w:r>
      <w:r w:rsidR="004B01B8">
        <w:t xml:space="preserve">oven de bagatelgrens die voorlopig is </w:t>
      </w:r>
      <w:r w:rsidR="00312923">
        <w:t>vastgesteld</w:t>
      </w:r>
      <w:r w:rsidR="004B01B8">
        <w:t xml:space="preserve"> op € 50.000</w:t>
      </w:r>
      <w:r w:rsidR="00B52A07">
        <w:t>, -</w:t>
      </w:r>
      <w:r w:rsidR="00BD010F">
        <w:t xml:space="preserve"> </w:t>
      </w:r>
      <w:r w:rsidR="004B01B8">
        <w:t xml:space="preserve">, </w:t>
      </w:r>
      <w:r w:rsidR="00C17A0E">
        <w:t xml:space="preserve">zal dit worden </w:t>
      </w:r>
      <w:r w:rsidR="004B01B8">
        <w:t xml:space="preserve">aangevuld met één of meer </w:t>
      </w:r>
      <w:r w:rsidR="00C17A0E">
        <w:t xml:space="preserve">(afhankelijk van de opdrachtwaarde) </w:t>
      </w:r>
      <w:r w:rsidR="004B01B8">
        <w:t xml:space="preserve">door de randomiser vast te stellen </w:t>
      </w:r>
      <w:r w:rsidR="00B52A07">
        <w:t xml:space="preserve">raamcontractant(en). </w:t>
      </w:r>
    </w:p>
    <w:p w:rsidR="00144C05" w:rsidRDefault="00144C05" w:rsidP="00F314AE">
      <w:pPr>
        <w:pStyle w:val="Kop2"/>
      </w:pPr>
      <w:r>
        <w:t xml:space="preserve">Wat betekent </w:t>
      </w:r>
      <w:r w:rsidR="004B01B8">
        <w:t xml:space="preserve">het bovenstaande </w:t>
      </w:r>
      <w:r w:rsidR="00603C2E">
        <w:t>onder</w:t>
      </w:r>
      <w:r w:rsidR="007A1F11">
        <w:t xml:space="preserve"> </w:t>
      </w:r>
      <w:r w:rsidR="00603C2E">
        <w:t xml:space="preserve">meer </w:t>
      </w:r>
      <w:r>
        <w:t xml:space="preserve">voor de </w:t>
      </w:r>
      <w:r w:rsidR="004B01B8">
        <w:t xml:space="preserve">(mogelijke) </w:t>
      </w:r>
      <w:r>
        <w:t>zakenpartners van RWS op het gebied van projectbeheersingsopdrachten</w:t>
      </w:r>
      <w:r w:rsidR="007A1F11">
        <w:t>:</w:t>
      </w:r>
    </w:p>
    <w:p w:rsidR="00603C2E" w:rsidRDefault="00603C2E" w:rsidP="00F314AE">
      <w:pPr>
        <w:pStyle w:val="Lijstalinea"/>
        <w:numPr>
          <w:ilvl w:val="0"/>
          <w:numId w:val="3"/>
        </w:numPr>
      </w:pPr>
      <w:r>
        <w:t xml:space="preserve">Opdrachten zullen ten opzichte van de huidige situatie leiden tot een grotere </w:t>
      </w:r>
      <w:r w:rsidR="00312923">
        <w:t>continuïteit</w:t>
      </w:r>
      <w:r>
        <w:t xml:space="preserve"> van de opdrachtnemer doordat de omvang en looptijd van opdrachten naar verwachting zal toenemen.</w:t>
      </w:r>
    </w:p>
    <w:p w:rsidR="009350C7" w:rsidRDefault="009350C7" w:rsidP="00F314AE">
      <w:pPr>
        <w:pStyle w:val="Lijstalinea"/>
        <w:numPr>
          <w:ilvl w:val="0"/>
          <w:numId w:val="3"/>
        </w:numPr>
      </w:pPr>
      <w:r>
        <w:t xml:space="preserve">Betalingen zullen niet (meer) plaatsvinden op basis van inspanning </w:t>
      </w:r>
      <w:r w:rsidR="00144C05">
        <w:t xml:space="preserve">en bestede tijd, maar enkel en alleen op basis van de overeengekomen prijs </w:t>
      </w:r>
      <w:r w:rsidR="00603C2E">
        <w:t>voor de opdracht ( per opgeleverd product)</w:t>
      </w:r>
    </w:p>
    <w:p w:rsidR="00603C2E" w:rsidRDefault="00603C2E" w:rsidP="00F314AE">
      <w:pPr>
        <w:pStyle w:val="Lijstalinea"/>
        <w:numPr>
          <w:ilvl w:val="0"/>
          <w:numId w:val="3"/>
        </w:numPr>
      </w:pPr>
      <w:r>
        <w:t>Het aantal partijen dat kan meedingen naar een opdracht wordt beperkt, om de inschrijfkosten voor partijen te beperken.</w:t>
      </w:r>
    </w:p>
    <w:p w:rsidR="00603C2E" w:rsidRDefault="00603C2E" w:rsidP="00F314AE">
      <w:pPr>
        <w:pStyle w:val="Lijstalinea"/>
        <w:numPr>
          <w:ilvl w:val="0"/>
          <w:numId w:val="3"/>
        </w:numPr>
      </w:pPr>
      <w:r>
        <w:t>Opdrachtnemers worden aansprakelijk voor de juiste invulling van de opdracht (tijdige en juiste oplevering van producten en daarmee de continuïteit van de leveringen) en oplevering van de informatie benodigd voor het verkrijgen van de prestatieverklaring die betaling mogelijk maakt.</w:t>
      </w:r>
    </w:p>
    <w:p w:rsidR="007A1F11" w:rsidRDefault="007A1F11" w:rsidP="00F314AE">
      <w:pPr>
        <w:pStyle w:val="Lijstalinea"/>
        <w:numPr>
          <w:ilvl w:val="0"/>
          <w:numId w:val="3"/>
        </w:numPr>
      </w:pPr>
      <w:r>
        <w:lastRenderedPageBreak/>
        <w:t>Het zoek</w:t>
      </w:r>
      <w:r w:rsidR="00F314AE">
        <w:t>en</w:t>
      </w:r>
      <w:r>
        <w:t xml:space="preserve"> van samenwerking</w:t>
      </w:r>
      <w:r w:rsidR="00F314AE">
        <w:t>s</w:t>
      </w:r>
      <w:r>
        <w:t>verbanden om te kunnen voldoen aan de geschiktheids(eisen) kan in sommige gevallen noodzakelijk zijn.</w:t>
      </w:r>
    </w:p>
    <w:p w:rsidR="007A1F11" w:rsidRDefault="007A1F11" w:rsidP="009350C7"/>
    <w:p w:rsidR="00E37D5D" w:rsidRDefault="00E37D5D" w:rsidP="00E37D5D">
      <w:pPr>
        <w:pStyle w:val="Lijstalinea"/>
      </w:pPr>
    </w:p>
    <w:p w:rsidR="00603C2E" w:rsidRDefault="00603C2E" w:rsidP="009350C7"/>
    <w:sectPr w:rsidR="00603C2E" w:rsidSect="00DC4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92C"/>
    <w:multiLevelType w:val="hybridMultilevel"/>
    <w:tmpl w:val="6AF4A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A22B33"/>
    <w:multiLevelType w:val="hybridMultilevel"/>
    <w:tmpl w:val="2FE6D99C"/>
    <w:lvl w:ilvl="0" w:tplc="5A3C32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40261F3"/>
    <w:multiLevelType w:val="hybridMultilevel"/>
    <w:tmpl w:val="DC6E1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1675900"/>
    <w:multiLevelType w:val="hybridMultilevel"/>
    <w:tmpl w:val="454AB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C7"/>
    <w:rsid w:val="00036F20"/>
    <w:rsid w:val="000A3DC9"/>
    <w:rsid w:val="000F0435"/>
    <w:rsid w:val="000F3B95"/>
    <w:rsid w:val="00126329"/>
    <w:rsid w:val="001265AD"/>
    <w:rsid w:val="00142601"/>
    <w:rsid w:val="00144C05"/>
    <w:rsid w:val="001B66A5"/>
    <w:rsid w:val="00207AC0"/>
    <w:rsid w:val="0021346D"/>
    <w:rsid w:val="00252E7B"/>
    <w:rsid w:val="0027709B"/>
    <w:rsid w:val="002920D2"/>
    <w:rsid w:val="002A6701"/>
    <w:rsid w:val="002E0FF9"/>
    <w:rsid w:val="00312923"/>
    <w:rsid w:val="003331EA"/>
    <w:rsid w:val="00385C3A"/>
    <w:rsid w:val="003B0C67"/>
    <w:rsid w:val="004116DC"/>
    <w:rsid w:val="00444E49"/>
    <w:rsid w:val="00472447"/>
    <w:rsid w:val="00485EC4"/>
    <w:rsid w:val="004B01B8"/>
    <w:rsid w:val="00603C2E"/>
    <w:rsid w:val="00606068"/>
    <w:rsid w:val="00661534"/>
    <w:rsid w:val="0066364C"/>
    <w:rsid w:val="0067760F"/>
    <w:rsid w:val="006C23D5"/>
    <w:rsid w:val="00720DA4"/>
    <w:rsid w:val="007442F9"/>
    <w:rsid w:val="007749A2"/>
    <w:rsid w:val="007A1F11"/>
    <w:rsid w:val="007E35C5"/>
    <w:rsid w:val="00832CA2"/>
    <w:rsid w:val="008477AF"/>
    <w:rsid w:val="00862F91"/>
    <w:rsid w:val="009350C7"/>
    <w:rsid w:val="009632DA"/>
    <w:rsid w:val="009B1884"/>
    <w:rsid w:val="009C2CD6"/>
    <w:rsid w:val="009C7E34"/>
    <w:rsid w:val="00AC4C40"/>
    <w:rsid w:val="00AD795F"/>
    <w:rsid w:val="00B15A9F"/>
    <w:rsid w:val="00B52A07"/>
    <w:rsid w:val="00B75933"/>
    <w:rsid w:val="00B8740A"/>
    <w:rsid w:val="00BD010F"/>
    <w:rsid w:val="00BD64E5"/>
    <w:rsid w:val="00BE70D5"/>
    <w:rsid w:val="00C101B8"/>
    <w:rsid w:val="00C17A0E"/>
    <w:rsid w:val="00C45A79"/>
    <w:rsid w:val="00CC3A3D"/>
    <w:rsid w:val="00CE2160"/>
    <w:rsid w:val="00D8366C"/>
    <w:rsid w:val="00DC4AAD"/>
    <w:rsid w:val="00DD2559"/>
    <w:rsid w:val="00E20497"/>
    <w:rsid w:val="00E234B6"/>
    <w:rsid w:val="00E37D5D"/>
    <w:rsid w:val="00E601A4"/>
    <w:rsid w:val="00E76618"/>
    <w:rsid w:val="00E872A3"/>
    <w:rsid w:val="00E9208A"/>
    <w:rsid w:val="00F314AE"/>
    <w:rsid w:val="00F44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3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314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06068"/>
    <w:rPr>
      <w:sz w:val="16"/>
      <w:szCs w:val="16"/>
    </w:rPr>
  </w:style>
  <w:style w:type="paragraph" w:styleId="Tekstopmerking">
    <w:name w:val="annotation text"/>
    <w:basedOn w:val="Standaard"/>
    <w:link w:val="TekstopmerkingChar"/>
    <w:uiPriority w:val="99"/>
    <w:semiHidden/>
    <w:unhideWhenUsed/>
    <w:rsid w:val="006060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6068"/>
    <w:rPr>
      <w:sz w:val="20"/>
      <w:szCs w:val="20"/>
    </w:rPr>
  </w:style>
  <w:style w:type="paragraph" w:styleId="Onderwerpvanopmerking">
    <w:name w:val="annotation subject"/>
    <w:basedOn w:val="Tekstopmerking"/>
    <w:next w:val="Tekstopmerking"/>
    <w:link w:val="OnderwerpvanopmerkingChar"/>
    <w:uiPriority w:val="99"/>
    <w:semiHidden/>
    <w:unhideWhenUsed/>
    <w:rsid w:val="00606068"/>
    <w:rPr>
      <w:b/>
      <w:bCs/>
    </w:rPr>
  </w:style>
  <w:style w:type="character" w:customStyle="1" w:styleId="OnderwerpvanopmerkingChar">
    <w:name w:val="Onderwerp van opmerking Char"/>
    <w:basedOn w:val="TekstopmerkingChar"/>
    <w:link w:val="Onderwerpvanopmerking"/>
    <w:uiPriority w:val="99"/>
    <w:semiHidden/>
    <w:rsid w:val="00606068"/>
    <w:rPr>
      <w:b/>
      <w:bCs/>
      <w:sz w:val="20"/>
      <w:szCs w:val="20"/>
    </w:rPr>
  </w:style>
  <w:style w:type="paragraph" w:styleId="Ballontekst">
    <w:name w:val="Balloon Text"/>
    <w:basedOn w:val="Standaard"/>
    <w:link w:val="BallontekstChar"/>
    <w:uiPriority w:val="99"/>
    <w:semiHidden/>
    <w:unhideWhenUsed/>
    <w:rsid w:val="006060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6068"/>
    <w:rPr>
      <w:rFonts w:ascii="Tahoma" w:hAnsi="Tahoma" w:cs="Tahoma"/>
      <w:sz w:val="16"/>
      <w:szCs w:val="16"/>
    </w:rPr>
  </w:style>
  <w:style w:type="paragraph" w:styleId="Lijstalinea">
    <w:name w:val="List Paragraph"/>
    <w:basedOn w:val="Standaard"/>
    <w:uiPriority w:val="34"/>
    <w:qFormat/>
    <w:rsid w:val="00606068"/>
    <w:pPr>
      <w:ind w:left="720"/>
      <w:contextualSpacing/>
    </w:pPr>
  </w:style>
  <w:style w:type="table" w:styleId="Tabelraster">
    <w:name w:val="Table Grid"/>
    <w:basedOn w:val="Standaardtabel"/>
    <w:uiPriority w:val="59"/>
    <w:rsid w:val="00B7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314AE"/>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F314A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3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314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06068"/>
    <w:rPr>
      <w:sz w:val="16"/>
      <w:szCs w:val="16"/>
    </w:rPr>
  </w:style>
  <w:style w:type="paragraph" w:styleId="Tekstopmerking">
    <w:name w:val="annotation text"/>
    <w:basedOn w:val="Standaard"/>
    <w:link w:val="TekstopmerkingChar"/>
    <w:uiPriority w:val="99"/>
    <w:semiHidden/>
    <w:unhideWhenUsed/>
    <w:rsid w:val="006060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6068"/>
    <w:rPr>
      <w:sz w:val="20"/>
      <w:szCs w:val="20"/>
    </w:rPr>
  </w:style>
  <w:style w:type="paragraph" w:styleId="Onderwerpvanopmerking">
    <w:name w:val="annotation subject"/>
    <w:basedOn w:val="Tekstopmerking"/>
    <w:next w:val="Tekstopmerking"/>
    <w:link w:val="OnderwerpvanopmerkingChar"/>
    <w:uiPriority w:val="99"/>
    <w:semiHidden/>
    <w:unhideWhenUsed/>
    <w:rsid w:val="00606068"/>
    <w:rPr>
      <w:b/>
      <w:bCs/>
    </w:rPr>
  </w:style>
  <w:style w:type="character" w:customStyle="1" w:styleId="OnderwerpvanopmerkingChar">
    <w:name w:val="Onderwerp van opmerking Char"/>
    <w:basedOn w:val="TekstopmerkingChar"/>
    <w:link w:val="Onderwerpvanopmerking"/>
    <w:uiPriority w:val="99"/>
    <w:semiHidden/>
    <w:rsid w:val="00606068"/>
    <w:rPr>
      <w:b/>
      <w:bCs/>
      <w:sz w:val="20"/>
      <w:szCs w:val="20"/>
    </w:rPr>
  </w:style>
  <w:style w:type="paragraph" w:styleId="Ballontekst">
    <w:name w:val="Balloon Text"/>
    <w:basedOn w:val="Standaard"/>
    <w:link w:val="BallontekstChar"/>
    <w:uiPriority w:val="99"/>
    <w:semiHidden/>
    <w:unhideWhenUsed/>
    <w:rsid w:val="006060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6068"/>
    <w:rPr>
      <w:rFonts w:ascii="Tahoma" w:hAnsi="Tahoma" w:cs="Tahoma"/>
      <w:sz w:val="16"/>
      <w:szCs w:val="16"/>
    </w:rPr>
  </w:style>
  <w:style w:type="paragraph" w:styleId="Lijstalinea">
    <w:name w:val="List Paragraph"/>
    <w:basedOn w:val="Standaard"/>
    <w:uiPriority w:val="34"/>
    <w:qFormat/>
    <w:rsid w:val="00606068"/>
    <w:pPr>
      <w:ind w:left="720"/>
      <w:contextualSpacing/>
    </w:pPr>
  </w:style>
  <w:style w:type="table" w:styleId="Tabelraster">
    <w:name w:val="Table Grid"/>
    <w:basedOn w:val="Standaardtabel"/>
    <w:uiPriority w:val="59"/>
    <w:rsid w:val="00B7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314AE"/>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F314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A35B-2BE9-4D31-BDE5-C6486798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7483</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Meulenkamp, Jakob (GPO)</dc:creator>
  <cp:lastModifiedBy>Pelt, Ronald van (GPO)</cp:lastModifiedBy>
  <cp:revision>2</cp:revision>
  <cp:lastPrinted>2015-05-27T12:05:00Z</cp:lastPrinted>
  <dcterms:created xsi:type="dcterms:W3CDTF">2015-06-11T07:52:00Z</dcterms:created>
  <dcterms:modified xsi:type="dcterms:W3CDTF">2015-06-11T07:52:00Z</dcterms:modified>
</cp:coreProperties>
</file>