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2D" w:rsidRPr="00DF7C77" w:rsidRDefault="00214745" w:rsidP="00E74394">
      <w:pPr>
        <w:jc w:val="center"/>
        <w:rPr>
          <w:rFonts w:cstheme="minorHAnsi"/>
          <w:sz w:val="72"/>
          <w:szCs w:val="72"/>
          <w:lang w:val="en-GB"/>
        </w:rPr>
      </w:pPr>
      <w:bookmarkStart w:id="0" w:name="_GoBack"/>
      <w:bookmarkEnd w:id="0"/>
      <w:r w:rsidRPr="00DF7C77">
        <w:rPr>
          <w:rFonts w:cstheme="minorHAnsi"/>
          <w:sz w:val="72"/>
          <w:szCs w:val="72"/>
          <w:lang w:val="en-GB"/>
        </w:rPr>
        <w:t>Market Consultation</w:t>
      </w:r>
    </w:p>
    <w:p w:rsidR="00E74394" w:rsidRPr="00DF7C77" w:rsidRDefault="00214745" w:rsidP="00E74394">
      <w:pPr>
        <w:jc w:val="center"/>
        <w:rPr>
          <w:rFonts w:cstheme="minorHAnsi"/>
          <w:sz w:val="56"/>
          <w:szCs w:val="72"/>
          <w:lang w:val="en-GB"/>
        </w:rPr>
      </w:pPr>
      <w:r w:rsidRPr="00DF7C77">
        <w:rPr>
          <w:rFonts w:cstheme="minorHAnsi"/>
          <w:sz w:val="56"/>
          <w:szCs w:val="72"/>
          <w:lang w:val="en-GB"/>
        </w:rPr>
        <w:t>Turbine and Rotary Gas Meters</w:t>
      </w:r>
    </w:p>
    <w:p w:rsidR="00214745" w:rsidRPr="00DF7C77" w:rsidRDefault="00214745" w:rsidP="00E74394">
      <w:pPr>
        <w:jc w:val="center"/>
        <w:rPr>
          <w:rFonts w:cstheme="minorHAnsi"/>
          <w:sz w:val="72"/>
          <w:szCs w:val="72"/>
          <w:lang w:val="en-GB"/>
        </w:rPr>
      </w:pPr>
    </w:p>
    <w:p w:rsidR="00DC64F4" w:rsidRPr="00DF7C77" w:rsidRDefault="00E74394" w:rsidP="00E74394">
      <w:pPr>
        <w:jc w:val="center"/>
        <w:rPr>
          <w:rFonts w:cstheme="minorHAnsi"/>
          <w:sz w:val="72"/>
          <w:szCs w:val="72"/>
          <w:lang w:val="en-GB"/>
        </w:rPr>
      </w:pPr>
      <w:r w:rsidRPr="00DF7C77">
        <w:rPr>
          <w:rFonts w:cstheme="minorHAnsi"/>
          <w:sz w:val="72"/>
          <w:szCs w:val="72"/>
          <w:lang w:val="en-GB"/>
        </w:rPr>
        <w:t>N.V. Nederlandse Gasunie</w:t>
      </w:r>
    </w:p>
    <w:p w:rsidR="007F6AE4" w:rsidRPr="00DF7C77" w:rsidRDefault="00DC64F4" w:rsidP="00E74394">
      <w:pPr>
        <w:jc w:val="center"/>
        <w:rPr>
          <w:rFonts w:cstheme="minorHAnsi"/>
          <w:sz w:val="72"/>
          <w:szCs w:val="72"/>
          <w:lang w:val="en-GB"/>
        </w:rPr>
      </w:pPr>
      <w:r w:rsidRPr="00DF7C77">
        <w:rPr>
          <w:rFonts w:cstheme="minorHAnsi"/>
          <w:noProof/>
          <w:lang w:eastAsia="nl-NL"/>
        </w:rPr>
        <w:drawing>
          <wp:inline distT="0" distB="0" distL="0" distR="0" wp14:anchorId="7E73894D" wp14:editId="316759E4">
            <wp:extent cx="2962275" cy="88013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8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394" w:rsidRPr="00DF7C77" w:rsidRDefault="00E74394">
      <w:pPr>
        <w:rPr>
          <w:rFonts w:cstheme="minorHAnsi"/>
          <w:lang w:val="en-GB"/>
        </w:rPr>
      </w:pPr>
    </w:p>
    <w:p w:rsidR="00CE2D16" w:rsidRPr="00DF7C77" w:rsidRDefault="00CE2D16">
      <w:pPr>
        <w:rPr>
          <w:rFonts w:cstheme="minorHAnsi"/>
          <w:lang w:val="en-GB"/>
        </w:rPr>
      </w:pPr>
    </w:p>
    <w:p w:rsidR="00CE2D16" w:rsidRPr="00DF7C77" w:rsidRDefault="00CE2D16">
      <w:pPr>
        <w:rPr>
          <w:rFonts w:cstheme="minorHAnsi"/>
          <w:lang w:val="en-GB"/>
        </w:rPr>
      </w:pPr>
    </w:p>
    <w:p w:rsidR="00CE2D16" w:rsidRPr="00DF7C77" w:rsidRDefault="00CE2D16">
      <w:pPr>
        <w:rPr>
          <w:rFonts w:cstheme="minorHAnsi"/>
          <w:lang w:val="en-GB"/>
        </w:rPr>
      </w:pPr>
    </w:p>
    <w:p w:rsidR="001C3991" w:rsidRPr="00DF7C77" w:rsidRDefault="001C3991">
      <w:pPr>
        <w:rPr>
          <w:rFonts w:cstheme="minorHAnsi"/>
          <w:lang w:val="en-GB"/>
        </w:rPr>
      </w:pPr>
    </w:p>
    <w:p w:rsidR="001C3991" w:rsidRPr="00DF7C77" w:rsidRDefault="001C3991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1C3991" w:rsidRPr="00DF7C77" w:rsidRDefault="001C3991">
      <w:pPr>
        <w:rPr>
          <w:rFonts w:cstheme="minorHAnsi"/>
          <w:lang w:val="en-GB"/>
        </w:rPr>
      </w:pPr>
    </w:p>
    <w:p w:rsidR="00E74394" w:rsidRPr="00B17154" w:rsidRDefault="00525495">
      <w:pPr>
        <w:rPr>
          <w:rFonts w:cstheme="minorHAnsi"/>
          <w:lang w:val="de-DE"/>
        </w:rPr>
      </w:pPr>
      <w:r w:rsidRPr="00B17154">
        <w:rPr>
          <w:rFonts w:cstheme="minorHAnsi"/>
          <w:lang w:val="de-DE"/>
        </w:rPr>
        <w:t>Sybolt Jaarsma</w:t>
      </w:r>
      <w:r w:rsidR="008B2B75" w:rsidRPr="00B17154">
        <w:rPr>
          <w:rFonts w:cstheme="minorHAnsi"/>
          <w:lang w:val="de-DE"/>
        </w:rPr>
        <w:t xml:space="preserve"> (</w:t>
      </w:r>
      <w:r w:rsidR="007B1714" w:rsidRPr="00B17154">
        <w:rPr>
          <w:rFonts w:cstheme="minorHAnsi"/>
          <w:lang w:val="de-DE"/>
        </w:rPr>
        <w:t>Procurement</w:t>
      </w:r>
      <w:r w:rsidR="008B2B75" w:rsidRPr="00B17154">
        <w:rPr>
          <w:rFonts w:cstheme="minorHAnsi"/>
          <w:lang w:val="de-DE"/>
        </w:rPr>
        <w:t>)</w:t>
      </w:r>
    </w:p>
    <w:p w:rsidR="00214745" w:rsidRPr="00B17154" w:rsidRDefault="00DC64F4">
      <w:pPr>
        <w:rPr>
          <w:rFonts w:cstheme="minorHAnsi"/>
          <w:lang w:val="de-DE"/>
        </w:rPr>
      </w:pPr>
      <w:r w:rsidRPr="00B17154">
        <w:rPr>
          <w:rFonts w:cstheme="minorHAnsi"/>
          <w:lang w:val="de-DE"/>
        </w:rPr>
        <w:t>Dat</w:t>
      </w:r>
      <w:r w:rsidR="00B17154">
        <w:rPr>
          <w:rFonts w:cstheme="minorHAnsi"/>
          <w:lang w:val="de-DE"/>
        </w:rPr>
        <w:t>e</w:t>
      </w:r>
      <w:r w:rsidRPr="00B17154">
        <w:rPr>
          <w:rFonts w:cstheme="minorHAnsi"/>
          <w:lang w:val="de-DE"/>
        </w:rPr>
        <w:t xml:space="preserve">: </w:t>
      </w:r>
      <w:r w:rsidR="00214745" w:rsidRPr="00B17154">
        <w:rPr>
          <w:rFonts w:cstheme="minorHAnsi"/>
          <w:lang w:val="de-DE"/>
        </w:rPr>
        <w:t xml:space="preserve">April </w:t>
      </w:r>
      <w:r w:rsidR="00B17154">
        <w:rPr>
          <w:rFonts w:cstheme="minorHAnsi"/>
          <w:lang w:val="de-DE"/>
        </w:rPr>
        <w:t xml:space="preserve">23, </w:t>
      </w:r>
      <w:r w:rsidR="00214745" w:rsidRPr="00B17154">
        <w:rPr>
          <w:rFonts w:cstheme="minorHAnsi"/>
          <w:lang w:val="de-DE"/>
        </w:rPr>
        <w:t>2015</w:t>
      </w:r>
    </w:p>
    <w:p w:rsidR="00E74394" w:rsidRPr="00B17154" w:rsidRDefault="006D1E23">
      <w:pPr>
        <w:rPr>
          <w:rFonts w:cstheme="minorHAnsi"/>
          <w:lang w:val="de-DE"/>
        </w:rPr>
      </w:pPr>
      <w:r w:rsidRPr="00B17154">
        <w:rPr>
          <w:rFonts w:cstheme="minorHAnsi"/>
          <w:lang w:val="de-DE"/>
        </w:rPr>
        <w:t>Version</w:t>
      </w:r>
      <w:r w:rsidR="00214745" w:rsidRPr="00B17154">
        <w:rPr>
          <w:rFonts w:cstheme="minorHAnsi"/>
          <w:lang w:val="de-DE"/>
        </w:rPr>
        <w:t xml:space="preserve">: </w:t>
      </w:r>
      <w:r w:rsidR="00B17154" w:rsidRPr="00B17154">
        <w:rPr>
          <w:rFonts w:cstheme="minorHAnsi"/>
          <w:lang w:val="de-DE"/>
        </w:rPr>
        <w:t>1.</w:t>
      </w:r>
      <w:r w:rsidR="00B17154">
        <w:rPr>
          <w:rFonts w:cstheme="minorHAnsi"/>
          <w:lang w:val="de-DE"/>
        </w:rPr>
        <w:t>1</w:t>
      </w:r>
    </w:p>
    <w:p w:rsidR="00E74394" w:rsidRPr="00DF7C77" w:rsidRDefault="00E74394">
      <w:pPr>
        <w:rPr>
          <w:rFonts w:cstheme="minorHAnsi"/>
          <w:lang w:val="en-GB"/>
        </w:rPr>
      </w:pPr>
    </w:p>
    <w:p w:rsidR="00E74394" w:rsidRPr="00DF7C77" w:rsidRDefault="00E74394">
      <w:p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GB" w:eastAsia="en-US"/>
        </w:rPr>
        <w:id w:val="112804371"/>
        <w:docPartObj>
          <w:docPartGallery w:val="Table of Contents"/>
          <w:docPartUnique/>
        </w:docPartObj>
      </w:sdtPr>
      <w:sdtEndPr/>
      <w:sdtContent>
        <w:p w:rsidR="005660F1" w:rsidRDefault="007B1714">
          <w:pPr>
            <w:pStyle w:val="Kopvaninhoudsopgave"/>
            <w:rPr>
              <w:rFonts w:asciiTheme="minorHAnsi" w:hAnsiTheme="minorHAnsi" w:cstheme="minorHAnsi"/>
              <w:lang w:val="en-GB"/>
            </w:rPr>
          </w:pPr>
          <w:r>
            <w:rPr>
              <w:rFonts w:asciiTheme="minorHAnsi" w:hAnsiTheme="minorHAnsi" w:cstheme="minorHAnsi"/>
              <w:lang w:val="en-GB"/>
            </w:rPr>
            <w:t>Content</w:t>
          </w:r>
        </w:p>
        <w:p w:rsidR="007B1714" w:rsidRPr="007B1714" w:rsidRDefault="007B1714" w:rsidP="007B1714">
          <w:pPr>
            <w:rPr>
              <w:lang w:val="en-GB" w:eastAsia="nl-NL"/>
            </w:rPr>
          </w:pPr>
        </w:p>
        <w:p w:rsidR="00EC7D35" w:rsidRDefault="005660F1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r w:rsidRPr="00DF7C77">
            <w:rPr>
              <w:rFonts w:cstheme="minorHAnsi"/>
              <w:lang w:val="en-GB"/>
            </w:rPr>
            <w:fldChar w:fldCharType="begin"/>
          </w:r>
          <w:r w:rsidRPr="00DF7C77">
            <w:rPr>
              <w:rFonts w:cstheme="minorHAnsi"/>
              <w:lang w:val="en-GB"/>
            </w:rPr>
            <w:instrText xml:space="preserve"> TOC \o "1-3" \h \z \u </w:instrText>
          </w:r>
          <w:r w:rsidRPr="00DF7C77">
            <w:rPr>
              <w:rFonts w:cstheme="minorHAnsi"/>
              <w:lang w:val="en-GB"/>
            </w:rPr>
            <w:fldChar w:fldCharType="separate"/>
          </w:r>
          <w:hyperlink w:anchor="_Toc417548019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1.</w:t>
            </w:r>
            <w:r w:rsidR="00EC7D35">
              <w:rPr>
                <w:rFonts w:eastAsiaTheme="minorEastAsia"/>
                <w:noProof/>
                <w:lang w:eastAsia="nl-NL"/>
              </w:rPr>
              <w:tab/>
            </w:r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Setting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_Toc417548019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3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0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2.</w:t>
            </w:r>
            <w:r w:rsidR="00EC7D35">
              <w:rPr>
                <w:rFonts w:eastAsiaTheme="minorEastAsia"/>
                <w:noProof/>
                <w:lang w:eastAsia="nl-NL"/>
              </w:rPr>
              <w:tab/>
            </w:r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The market consultation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_Toc417548020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3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1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3.</w:t>
            </w:r>
            <w:r w:rsidR="00EC7D35">
              <w:rPr>
                <w:rFonts w:eastAsiaTheme="minorEastAsia"/>
                <w:noProof/>
                <w:lang w:eastAsia="nl-NL"/>
              </w:rPr>
              <w:tab/>
            </w:r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Sequence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_Toc417548021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3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2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Response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_Toc417548022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3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3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Questions to Gasunie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_Toc417548023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4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4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Reponse by Gasunie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_Toc417548024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4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EC7D35" w:rsidRDefault="00B227ED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417548025" w:history="1"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4.</w:t>
            </w:r>
            <w:r w:rsidR="00EC7D35">
              <w:rPr>
                <w:rFonts w:eastAsiaTheme="minorEastAsia"/>
                <w:noProof/>
                <w:lang w:eastAsia="nl-NL"/>
              </w:rPr>
              <w:tab/>
            </w:r>
            <w:r w:rsidR="00EC7D35" w:rsidRPr="009D206E">
              <w:rPr>
                <w:rStyle w:val="Hyperlink"/>
                <w:rFonts w:cstheme="minorHAnsi"/>
                <w:noProof/>
                <w:lang w:val="en-GB"/>
              </w:rPr>
              <w:t>Confidentiality</w:t>
            </w:r>
            <w:r w:rsidR="00EC7D35">
              <w:rPr>
                <w:noProof/>
                <w:webHidden/>
              </w:rPr>
              <w:tab/>
            </w:r>
            <w:r w:rsidR="00EC7D35">
              <w:rPr>
                <w:noProof/>
                <w:webHidden/>
              </w:rPr>
              <w:fldChar w:fldCharType="begin"/>
            </w:r>
            <w:r w:rsidR="00EC7D35">
              <w:rPr>
                <w:noProof/>
                <w:webHidden/>
              </w:rPr>
              <w:instrText xml:space="preserve"> PAGEREF _Toc417548025 \h </w:instrText>
            </w:r>
            <w:r w:rsidR="00EC7D35">
              <w:rPr>
                <w:noProof/>
                <w:webHidden/>
              </w:rPr>
            </w:r>
            <w:r w:rsidR="00EC7D35">
              <w:rPr>
                <w:noProof/>
                <w:webHidden/>
              </w:rPr>
              <w:fldChar w:fldCharType="separate"/>
            </w:r>
            <w:r w:rsidR="00EC7D35">
              <w:rPr>
                <w:noProof/>
                <w:webHidden/>
              </w:rPr>
              <w:t>4</w:t>
            </w:r>
            <w:r w:rsidR="00EC7D35">
              <w:rPr>
                <w:noProof/>
                <w:webHidden/>
              </w:rPr>
              <w:fldChar w:fldCharType="end"/>
            </w:r>
          </w:hyperlink>
        </w:p>
        <w:p w:rsidR="005660F1" w:rsidRPr="00DF7C77" w:rsidRDefault="005660F1">
          <w:pPr>
            <w:rPr>
              <w:rFonts w:cstheme="minorHAnsi"/>
              <w:lang w:val="en-GB"/>
            </w:rPr>
          </w:pPr>
          <w:r w:rsidRPr="00DF7C77">
            <w:rPr>
              <w:rFonts w:cstheme="minorHAnsi"/>
              <w:b/>
              <w:bCs/>
              <w:lang w:val="en-GB"/>
            </w:rPr>
            <w:fldChar w:fldCharType="end"/>
          </w:r>
        </w:p>
      </w:sdtContent>
    </w:sdt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4301"/>
        <w:gridCol w:w="3056"/>
      </w:tblGrid>
      <w:tr w:rsidR="002C52B2" w:rsidRPr="00DF7C77" w:rsidTr="002C52B2">
        <w:tc>
          <w:tcPr>
            <w:tcW w:w="1809" w:type="dxa"/>
          </w:tcPr>
          <w:p w:rsidR="002C52B2" w:rsidRPr="00DF7C77" w:rsidRDefault="002C52B2" w:rsidP="00214745">
            <w:pPr>
              <w:rPr>
                <w:rFonts w:cstheme="minorHAnsi"/>
                <w:b/>
                <w:lang w:val="en-GB"/>
              </w:rPr>
            </w:pPr>
            <w:r w:rsidRPr="00DF7C77">
              <w:rPr>
                <w:rFonts w:cstheme="minorHAnsi"/>
                <w:b/>
                <w:lang w:val="en-GB"/>
              </w:rPr>
              <w:t>V</w:t>
            </w:r>
            <w:r w:rsidR="00214745" w:rsidRPr="00DF7C77">
              <w:rPr>
                <w:rFonts w:cstheme="minorHAnsi"/>
                <w:b/>
                <w:lang w:val="en-GB"/>
              </w:rPr>
              <w:t>ersion</w:t>
            </w:r>
          </w:p>
        </w:tc>
        <w:tc>
          <w:tcPr>
            <w:tcW w:w="4301" w:type="dxa"/>
          </w:tcPr>
          <w:p w:rsidR="002C52B2" w:rsidRPr="00DF7C77" w:rsidRDefault="00214745">
            <w:pPr>
              <w:rPr>
                <w:rFonts w:cstheme="minorHAnsi"/>
                <w:b/>
                <w:lang w:val="en-GB"/>
              </w:rPr>
            </w:pPr>
            <w:r w:rsidRPr="00DF7C77">
              <w:rPr>
                <w:rFonts w:cstheme="minorHAnsi"/>
                <w:b/>
                <w:lang w:val="en-GB"/>
              </w:rPr>
              <w:t>Description</w:t>
            </w:r>
          </w:p>
        </w:tc>
        <w:tc>
          <w:tcPr>
            <w:tcW w:w="3056" w:type="dxa"/>
          </w:tcPr>
          <w:p w:rsidR="002C52B2" w:rsidRPr="00DF7C77" w:rsidRDefault="00214745">
            <w:pPr>
              <w:rPr>
                <w:rFonts w:cstheme="minorHAnsi"/>
                <w:b/>
                <w:lang w:val="en-GB"/>
              </w:rPr>
            </w:pPr>
            <w:r w:rsidRPr="00DF7C77">
              <w:rPr>
                <w:rFonts w:cstheme="minorHAnsi"/>
                <w:b/>
                <w:lang w:val="en-GB"/>
              </w:rPr>
              <w:t>Date</w:t>
            </w:r>
          </w:p>
        </w:tc>
      </w:tr>
      <w:tr w:rsidR="002C52B2" w:rsidRPr="00DF7C77" w:rsidTr="002C52B2">
        <w:tc>
          <w:tcPr>
            <w:tcW w:w="1809" w:type="dxa"/>
          </w:tcPr>
          <w:p w:rsidR="002C52B2" w:rsidRPr="00DF7C77" w:rsidRDefault="00B1715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1.0</w:t>
            </w:r>
          </w:p>
        </w:tc>
        <w:tc>
          <w:tcPr>
            <w:tcW w:w="4301" w:type="dxa"/>
          </w:tcPr>
          <w:p w:rsidR="002C52B2" w:rsidRPr="00DF7C77" w:rsidRDefault="00214745">
            <w:pPr>
              <w:rPr>
                <w:rFonts w:cstheme="minorHAnsi"/>
                <w:lang w:val="en-GB"/>
              </w:rPr>
            </w:pPr>
            <w:r w:rsidRPr="00DF7C77">
              <w:rPr>
                <w:rFonts w:cstheme="minorHAnsi"/>
                <w:lang w:val="en-GB"/>
              </w:rPr>
              <w:t>Initial version</w:t>
            </w:r>
          </w:p>
        </w:tc>
        <w:tc>
          <w:tcPr>
            <w:tcW w:w="3056" w:type="dxa"/>
          </w:tcPr>
          <w:p w:rsidR="002C52B2" w:rsidRPr="00DF7C77" w:rsidRDefault="00E601EA" w:rsidP="00E601EA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April 22</w:t>
            </w:r>
            <w:r w:rsidRPr="00E601EA">
              <w:rPr>
                <w:rFonts w:cstheme="minorHAnsi"/>
                <w:vertAlign w:val="superscript"/>
                <w:lang w:val="en-GB"/>
              </w:rPr>
              <w:t>nd</w:t>
            </w:r>
            <w:r>
              <w:rPr>
                <w:rFonts w:cstheme="minorHAnsi"/>
                <w:lang w:val="en-GB"/>
              </w:rPr>
              <w:t xml:space="preserve">, </w:t>
            </w:r>
            <w:r w:rsidR="00214745" w:rsidRPr="00DF7C77">
              <w:rPr>
                <w:rFonts w:cstheme="minorHAnsi"/>
                <w:lang w:val="en-GB"/>
              </w:rPr>
              <w:t>2015</w:t>
            </w:r>
          </w:p>
        </w:tc>
      </w:tr>
      <w:tr w:rsidR="002C52B2" w:rsidRPr="00DF7C77" w:rsidTr="002C52B2">
        <w:tc>
          <w:tcPr>
            <w:tcW w:w="1809" w:type="dxa"/>
          </w:tcPr>
          <w:p w:rsidR="002C52B2" w:rsidRPr="00DF7C77" w:rsidRDefault="00B1715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1.1</w:t>
            </w:r>
          </w:p>
        </w:tc>
        <w:tc>
          <w:tcPr>
            <w:tcW w:w="4301" w:type="dxa"/>
          </w:tcPr>
          <w:p w:rsidR="002C52B2" w:rsidRPr="00DF7C77" w:rsidRDefault="00B1715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Final version</w:t>
            </w:r>
          </w:p>
        </w:tc>
        <w:tc>
          <w:tcPr>
            <w:tcW w:w="3056" w:type="dxa"/>
          </w:tcPr>
          <w:p w:rsidR="002C52B2" w:rsidRPr="00DF7C77" w:rsidRDefault="00B1715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April 23</w:t>
            </w:r>
            <w:r w:rsidRPr="00B17154">
              <w:rPr>
                <w:rFonts w:cstheme="minorHAnsi"/>
                <w:vertAlign w:val="superscript"/>
                <w:lang w:val="en-GB"/>
              </w:rPr>
              <w:t>rd</w:t>
            </w:r>
            <w:r>
              <w:rPr>
                <w:rFonts w:cstheme="minorHAnsi"/>
                <w:lang w:val="en-GB"/>
              </w:rPr>
              <w:t>, 2015</w:t>
            </w:r>
          </w:p>
        </w:tc>
      </w:tr>
    </w:tbl>
    <w:p w:rsidR="002C52B2" w:rsidRPr="00DF7C77" w:rsidRDefault="002C52B2">
      <w:pPr>
        <w:rPr>
          <w:rFonts w:cstheme="minorHAnsi"/>
          <w:lang w:val="en-GB"/>
        </w:rPr>
      </w:pPr>
    </w:p>
    <w:p w:rsidR="002C52B2" w:rsidRPr="00DF7C77" w:rsidRDefault="002C52B2">
      <w:p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br w:type="page"/>
      </w:r>
    </w:p>
    <w:p w:rsidR="00F27CFB" w:rsidRPr="00DF7C77" w:rsidRDefault="00F27CFB">
      <w:pPr>
        <w:rPr>
          <w:rFonts w:cstheme="minorHAnsi"/>
          <w:lang w:val="en-GB"/>
        </w:rPr>
      </w:pPr>
    </w:p>
    <w:p w:rsidR="00E555B8" w:rsidRPr="00DF7C77" w:rsidRDefault="00214745" w:rsidP="008B2804">
      <w:pPr>
        <w:pStyle w:val="Kop1"/>
        <w:numPr>
          <w:ilvl w:val="0"/>
          <w:numId w:val="4"/>
        </w:numPr>
        <w:ind w:left="0"/>
        <w:rPr>
          <w:rFonts w:asciiTheme="minorHAnsi" w:hAnsiTheme="minorHAnsi" w:cstheme="minorHAnsi"/>
          <w:lang w:val="en-GB"/>
        </w:rPr>
      </w:pPr>
      <w:bookmarkStart w:id="1" w:name="_Toc417548019"/>
      <w:r w:rsidRPr="00DF7C77">
        <w:rPr>
          <w:rFonts w:asciiTheme="minorHAnsi" w:hAnsiTheme="minorHAnsi" w:cstheme="minorHAnsi"/>
          <w:lang w:val="en-GB"/>
        </w:rPr>
        <w:t>Setting</w:t>
      </w:r>
      <w:bookmarkEnd w:id="1"/>
    </w:p>
    <w:p w:rsidR="001970E7" w:rsidRPr="00DF7C77" w:rsidRDefault="00214745" w:rsidP="001970E7">
      <w:pPr>
        <w:rPr>
          <w:rFonts w:cstheme="minorHAnsi"/>
          <w:color w:val="000000"/>
          <w:lang w:val="en-GB"/>
        </w:rPr>
      </w:pPr>
      <w:r w:rsidRPr="00DF7C77">
        <w:rPr>
          <w:rFonts w:cstheme="minorHAnsi"/>
          <w:color w:val="000000"/>
          <w:lang w:val="en-GB"/>
        </w:rPr>
        <w:t xml:space="preserve">Gasunie, the Dutch gas transport company, is preparing a tender for </w:t>
      </w:r>
      <w:r w:rsidR="001970E7" w:rsidRPr="00DF7C77">
        <w:rPr>
          <w:rFonts w:cstheme="minorHAnsi"/>
          <w:color w:val="000000"/>
          <w:lang w:val="en-GB"/>
        </w:rPr>
        <w:t xml:space="preserve">(Natural) </w:t>
      </w:r>
      <w:r w:rsidRPr="00DF7C77">
        <w:rPr>
          <w:rFonts w:cstheme="minorHAnsi"/>
          <w:color w:val="000000"/>
          <w:lang w:val="en-GB"/>
        </w:rPr>
        <w:t xml:space="preserve">Gas Meters. </w:t>
      </w:r>
      <w:r w:rsidR="001970E7" w:rsidRPr="00DF7C77">
        <w:rPr>
          <w:rFonts w:cstheme="minorHAnsi"/>
          <w:color w:val="000000"/>
          <w:lang w:val="en-GB"/>
        </w:rPr>
        <w:t>In preparation for this tender we</w:t>
      </w:r>
      <w:r w:rsidR="0054134F">
        <w:rPr>
          <w:rFonts w:cstheme="minorHAnsi"/>
          <w:color w:val="000000"/>
          <w:lang w:val="en-GB"/>
        </w:rPr>
        <w:t xml:space="preserve">  would like to be better informed on </w:t>
      </w:r>
      <w:r w:rsidR="001970E7" w:rsidRPr="00DF7C77">
        <w:rPr>
          <w:rFonts w:cstheme="minorHAnsi"/>
          <w:color w:val="000000"/>
          <w:lang w:val="en-GB"/>
        </w:rPr>
        <w:t xml:space="preserve">the (possibilities of) the market for </w:t>
      </w:r>
      <w:r w:rsidR="0054134F">
        <w:rPr>
          <w:rFonts w:cstheme="minorHAnsi"/>
          <w:color w:val="000000"/>
          <w:lang w:val="en-GB"/>
        </w:rPr>
        <w:t xml:space="preserve">(the delivery of) </w:t>
      </w:r>
      <w:r w:rsidR="001970E7" w:rsidRPr="00DF7C77">
        <w:rPr>
          <w:rFonts w:cstheme="minorHAnsi"/>
          <w:color w:val="000000"/>
          <w:lang w:val="en-GB"/>
        </w:rPr>
        <w:t xml:space="preserve">these products. </w:t>
      </w:r>
    </w:p>
    <w:p w:rsidR="001970E7" w:rsidRPr="00DF7C77" w:rsidRDefault="001970E7" w:rsidP="001970E7">
      <w:pPr>
        <w:pStyle w:val="Lijstalinea"/>
        <w:rPr>
          <w:rFonts w:asciiTheme="minorHAnsi" w:hAnsiTheme="minorHAnsi" w:cstheme="minorHAnsi"/>
          <w:color w:val="000000"/>
          <w:lang w:val="en-GB"/>
        </w:rPr>
      </w:pPr>
    </w:p>
    <w:p w:rsidR="00214745" w:rsidRPr="00DF7C77" w:rsidRDefault="00214745" w:rsidP="001970E7">
      <w:pPr>
        <w:rPr>
          <w:rFonts w:cstheme="minorHAnsi"/>
          <w:color w:val="000000"/>
          <w:lang w:val="en-GB"/>
        </w:rPr>
      </w:pPr>
      <w:r w:rsidRPr="00DF7C77">
        <w:rPr>
          <w:rFonts w:cstheme="minorHAnsi"/>
          <w:color w:val="000000"/>
          <w:lang w:val="en-GB"/>
        </w:rPr>
        <w:t xml:space="preserve">If your company is in this </w:t>
      </w:r>
      <w:r w:rsidR="001970E7" w:rsidRPr="00DF7C77">
        <w:rPr>
          <w:rFonts w:cstheme="minorHAnsi"/>
          <w:color w:val="000000"/>
          <w:lang w:val="en-GB"/>
        </w:rPr>
        <w:t xml:space="preserve">line of </w:t>
      </w:r>
      <w:r w:rsidRPr="00DF7C77">
        <w:rPr>
          <w:rFonts w:cstheme="minorHAnsi"/>
          <w:color w:val="000000"/>
          <w:lang w:val="en-GB"/>
        </w:rPr>
        <w:t>business, we kindly ask you to fill in this questionnaire, if possible by May 6</w:t>
      </w:r>
      <w:r w:rsidRPr="00DF7C77">
        <w:rPr>
          <w:rFonts w:cstheme="minorHAnsi"/>
          <w:color w:val="000000"/>
          <w:vertAlign w:val="superscript"/>
          <w:lang w:val="en-GB"/>
        </w:rPr>
        <w:t>th</w:t>
      </w:r>
      <w:r w:rsidRPr="00DF7C77">
        <w:rPr>
          <w:rFonts w:cstheme="minorHAnsi"/>
          <w:color w:val="000000"/>
          <w:lang w:val="en-GB"/>
        </w:rPr>
        <w:t xml:space="preserve">. This will bring you in a position to influence the tender and thus support us in making a tender that is better fitted to the market. </w:t>
      </w:r>
    </w:p>
    <w:p w:rsidR="00214745" w:rsidRPr="00DF7C77" w:rsidRDefault="00214745" w:rsidP="001970E7">
      <w:pPr>
        <w:pStyle w:val="Lijstalinea"/>
        <w:rPr>
          <w:rFonts w:asciiTheme="minorHAnsi" w:hAnsiTheme="minorHAnsi" w:cstheme="minorHAnsi"/>
          <w:color w:val="000000"/>
          <w:lang w:val="en-GB"/>
        </w:rPr>
      </w:pPr>
    </w:p>
    <w:p w:rsidR="001970E7" w:rsidRPr="00DF7C77" w:rsidRDefault="001970E7" w:rsidP="001478E4">
      <w:pPr>
        <w:rPr>
          <w:rFonts w:cstheme="minorHAnsi"/>
          <w:color w:val="000000"/>
          <w:lang w:val="en-GB"/>
        </w:rPr>
      </w:pPr>
      <w:r w:rsidRPr="00DF7C77">
        <w:rPr>
          <w:rFonts w:cstheme="minorHAnsi"/>
          <w:color w:val="000000"/>
          <w:lang w:val="en-GB"/>
        </w:rPr>
        <w:t>Gasunie highly appreciates your contribution.</w:t>
      </w:r>
    </w:p>
    <w:p w:rsidR="001478E4" w:rsidRPr="00DF7C77" w:rsidRDefault="007B1714" w:rsidP="008B2804">
      <w:pPr>
        <w:pStyle w:val="Kop1"/>
        <w:numPr>
          <w:ilvl w:val="0"/>
          <w:numId w:val="4"/>
        </w:numPr>
        <w:ind w:left="0"/>
        <w:rPr>
          <w:rFonts w:asciiTheme="minorHAnsi" w:hAnsiTheme="minorHAnsi" w:cstheme="minorHAnsi"/>
          <w:lang w:val="en-GB"/>
        </w:rPr>
      </w:pPr>
      <w:bookmarkStart w:id="2" w:name="_Toc417548020"/>
      <w:r>
        <w:rPr>
          <w:rFonts w:asciiTheme="minorHAnsi" w:hAnsiTheme="minorHAnsi" w:cstheme="minorHAnsi"/>
          <w:lang w:val="en-GB"/>
        </w:rPr>
        <w:t>The</w:t>
      </w:r>
      <w:r w:rsidR="001478E4" w:rsidRPr="00DF7C77">
        <w:rPr>
          <w:rFonts w:asciiTheme="minorHAnsi" w:hAnsiTheme="minorHAnsi" w:cstheme="minorHAnsi"/>
          <w:lang w:val="en-GB"/>
        </w:rPr>
        <w:t xml:space="preserve"> </w:t>
      </w:r>
      <w:r w:rsidR="00E601EA" w:rsidRPr="00DF7C77">
        <w:rPr>
          <w:rFonts w:asciiTheme="minorHAnsi" w:hAnsiTheme="minorHAnsi" w:cstheme="minorHAnsi"/>
          <w:lang w:val="en-GB"/>
        </w:rPr>
        <w:t>mark</w:t>
      </w:r>
      <w:r w:rsidR="00E601EA">
        <w:rPr>
          <w:rFonts w:asciiTheme="minorHAnsi" w:hAnsiTheme="minorHAnsi" w:cstheme="minorHAnsi"/>
          <w:lang w:val="en-GB"/>
        </w:rPr>
        <w:t>e</w:t>
      </w:r>
      <w:r w:rsidR="00E601EA" w:rsidRPr="00DF7C77">
        <w:rPr>
          <w:rFonts w:asciiTheme="minorHAnsi" w:hAnsiTheme="minorHAnsi" w:cstheme="minorHAnsi"/>
          <w:lang w:val="en-GB"/>
        </w:rPr>
        <w:t>t consultation</w:t>
      </w:r>
      <w:bookmarkEnd w:id="2"/>
    </w:p>
    <w:p w:rsidR="001970E7" w:rsidRPr="00DF7C77" w:rsidRDefault="001970E7" w:rsidP="001970E7">
      <w:pPr>
        <w:rPr>
          <w:rFonts w:cstheme="minorHAnsi"/>
          <w:color w:val="000000"/>
          <w:lang w:val="en-GB"/>
        </w:rPr>
      </w:pPr>
      <w:r w:rsidRPr="00DF7C77">
        <w:rPr>
          <w:rFonts w:cstheme="minorHAnsi"/>
          <w:color w:val="000000"/>
          <w:lang w:val="en-GB"/>
        </w:rPr>
        <w:t>The questionnaire is an excel sheet, with 4</w:t>
      </w:r>
      <w:r w:rsidR="00B95332">
        <w:rPr>
          <w:rFonts w:cstheme="minorHAnsi"/>
          <w:color w:val="000000"/>
          <w:lang w:val="en-GB"/>
        </w:rPr>
        <w:t>9</w:t>
      </w:r>
      <w:r w:rsidRPr="00DF7C77">
        <w:rPr>
          <w:rFonts w:cstheme="minorHAnsi"/>
          <w:color w:val="000000"/>
          <w:lang w:val="en-GB"/>
        </w:rPr>
        <w:t xml:space="preserve"> questions. We would ask you to fill in as much as </w:t>
      </w:r>
      <w:r w:rsidR="006D1E23" w:rsidRPr="00DF7C77">
        <w:rPr>
          <w:rFonts w:cstheme="minorHAnsi"/>
          <w:color w:val="000000"/>
          <w:lang w:val="en-GB"/>
        </w:rPr>
        <w:t>possible;</w:t>
      </w:r>
      <w:r w:rsidRPr="00DF7C77">
        <w:rPr>
          <w:rFonts w:cstheme="minorHAnsi"/>
          <w:color w:val="000000"/>
          <w:lang w:val="en-GB"/>
        </w:rPr>
        <w:t xml:space="preserve"> however the possibility not to answer some questions remains. </w:t>
      </w:r>
    </w:p>
    <w:p w:rsidR="001970E7" w:rsidRPr="00DF7C77" w:rsidRDefault="001970E7" w:rsidP="001970E7">
      <w:p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>The sheet has been designed to minimize the effort needed to fill it in:</w:t>
      </w:r>
    </w:p>
    <w:p w:rsidR="00AC5822" w:rsidRPr="00DF7C77" w:rsidRDefault="001970E7" w:rsidP="00AC5822">
      <w:pPr>
        <w:pStyle w:val="Lijstalinea"/>
        <w:numPr>
          <w:ilvl w:val="0"/>
          <w:numId w:val="8"/>
        </w:num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>Some fields with a drop box can be answered simply by ‘yes´ o</w:t>
      </w:r>
      <w:r w:rsidR="0054134F">
        <w:rPr>
          <w:rFonts w:cstheme="minorHAnsi"/>
          <w:lang w:val="en-GB"/>
        </w:rPr>
        <w:t>r</w:t>
      </w:r>
      <w:r w:rsidRPr="00DF7C77">
        <w:rPr>
          <w:rFonts w:cstheme="minorHAnsi"/>
          <w:lang w:val="en-GB"/>
        </w:rPr>
        <w:t xml:space="preserve"> ‘no’: </w:t>
      </w:r>
      <w:r w:rsidR="00AC5822" w:rsidRPr="00DF7C77">
        <w:rPr>
          <w:noProof/>
          <w:lang w:eastAsia="nl-NL"/>
        </w:rPr>
        <w:drawing>
          <wp:inline distT="0" distB="0" distL="0" distR="0" wp14:anchorId="64F05086" wp14:editId="724E1691">
            <wp:extent cx="381000" cy="50456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22" w:rsidRPr="00DF7C77" w:rsidRDefault="001970E7" w:rsidP="001970E7">
      <w:pPr>
        <w:pStyle w:val="Lijstalinea"/>
        <w:numPr>
          <w:ilvl w:val="0"/>
          <w:numId w:val="8"/>
        </w:num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 xml:space="preserve"> </w:t>
      </w:r>
      <w:r w:rsidR="00AC5822" w:rsidRPr="00DF7C77">
        <w:rPr>
          <w:rFonts w:cstheme="minorHAnsi"/>
          <w:lang w:val="en-GB"/>
        </w:rPr>
        <w:t>The text fields come in two categories/colours:</w:t>
      </w:r>
    </w:p>
    <w:p w:rsidR="00AC5822" w:rsidRPr="00DF7C77" w:rsidRDefault="00AC5822" w:rsidP="00AC5822">
      <w:pPr>
        <w:ind w:left="851"/>
        <w:rPr>
          <w:rFonts w:cstheme="minorHAnsi"/>
          <w:lang w:val="en-GB"/>
        </w:rPr>
      </w:pPr>
      <w:r w:rsidRPr="00DF7C77">
        <w:rPr>
          <w:noProof/>
          <w:lang w:eastAsia="nl-NL"/>
        </w:rPr>
        <w:drawing>
          <wp:inline distT="0" distB="0" distL="0" distR="0" wp14:anchorId="38C4BC7A" wp14:editId="6E7F5B46">
            <wp:extent cx="3810000" cy="645410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22" w:rsidRPr="00DF7C77" w:rsidRDefault="00AC5822" w:rsidP="00AC5822">
      <w:pPr>
        <w:ind w:left="708"/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 xml:space="preserve">Blue for answering the question </w:t>
      </w:r>
      <w:r w:rsidR="006D1E23" w:rsidRPr="00DF7C77">
        <w:rPr>
          <w:rFonts w:cstheme="minorHAnsi"/>
          <w:lang w:val="en-GB"/>
        </w:rPr>
        <w:t>asked;</w:t>
      </w:r>
      <w:r w:rsidRPr="00DF7C77">
        <w:rPr>
          <w:rFonts w:cstheme="minorHAnsi"/>
          <w:lang w:val="en-GB"/>
        </w:rPr>
        <w:t xml:space="preserve"> purple in case you would like to explain a previous answer/situation.</w:t>
      </w:r>
    </w:p>
    <w:p w:rsidR="00AC5822" w:rsidRPr="00DF7C77" w:rsidRDefault="00AC5822" w:rsidP="00AC5822">
      <w:pPr>
        <w:pStyle w:val="Lijstalinea"/>
        <w:numPr>
          <w:ilvl w:val="0"/>
          <w:numId w:val="11"/>
        </w:numPr>
        <w:ind w:left="709"/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>The length of your answer is not limited to the size of the</w:t>
      </w:r>
      <w:r w:rsidR="00B17154">
        <w:rPr>
          <w:rFonts w:cstheme="minorHAnsi"/>
          <w:lang w:val="en-GB"/>
        </w:rPr>
        <w:t xml:space="preserve"> box, it can simply be extended. Given the intention of the market consultation Gasunie is not looking for extensive answers of answers that would cost you a great deal of work.</w:t>
      </w:r>
    </w:p>
    <w:p w:rsidR="00AC5822" w:rsidRPr="00DF7C77" w:rsidRDefault="00AC5822" w:rsidP="00AC5822">
      <w:pPr>
        <w:pStyle w:val="Lijstalinea"/>
        <w:numPr>
          <w:ilvl w:val="0"/>
          <w:numId w:val="11"/>
        </w:numPr>
        <w:ind w:left="709"/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 xml:space="preserve">You are kindly asked to fill in, rename and save the sheet and send it to the </w:t>
      </w:r>
      <w:r w:rsidR="00E601EA">
        <w:rPr>
          <w:rFonts w:cstheme="minorHAnsi"/>
          <w:lang w:val="en-GB"/>
        </w:rPr>
        <w:t>e-</w:t>
      </w:r>
      <w:r w:rsidRPr="00DF7C77">
        <w:rPr>
          <w:rFonts w:cstheme="minorHAnsi"/>
          <w:lang w:val="en-GB"/>
        </w:rPr>
        <w:t>mail</w:t>
      </w:r>
      <w:r w:rsidR="00E601EA">
        <w:rPr>
          <w:rFonts w:cstheme="minorHAnsi"/>
          <w:lang w:val="en-GB"/>
        </w:rPr>
        <w:t xml:space="preserve"> </w:t>
      </w:r>
      <w:r w:rsidR="00E601EA" w:rsidRPr="00DF7C77">
        <w:rPr>
          <w:rFonts w:cstheme="minorHAnsi"/>
          <w:lang w:val="en-GB"/>
        </w:rPr>
        <w:t>address</w:t>
      </w:r>
      <w:r w:rsidRPr="00DF7C77">
        <w:rPr>
          <w:rFonts w:cstheme="minorHAnsi"/>
          <w:lang w:val="en-GB"/>
        </w:rPr>
        <w:t xml:space="preserve"> mentioned below unde</w:t>
      </w:r>
      <w:r w:rsidR="00E601EA">
        <w:rPr>
          <w:rFonts w:cstheme="minorHAnsi"/>
          <w:lang w:val="en-GB"/>
        </w:rPr>
        <w:t>r</w:t>
      </w:r>
      <w:r w:rsidRPr="00DF7C77">
        <w:rPr>
          <w:rFonts w:cstheme="minorHAnsi"/>
          <w:lang w:val="en-GB"/>
        </w:rPr>
        <w:t xml:space="preserve"> ‘Sequence’.</w:t>
      </w:r>
    </w:p>
    <w:p w:rsidR="00F27CFB" w:rsidRPr="00DF7C77" w:rsidRDefault="001970E7" w:rsidP="008B2804">
      <w:pPr>
        <w:pStyle w:val="Kop1"/>
        <w:numPr>
          <w:ilvl w:val="0"/>
          <w:numId w:val="4"/>
        </w:numPr>
        <w:ind w:left="0"/>
        <w:rPr>
          <w:rFonts w:asciiTheme="minorHAnsi" w:hAnsiTheme="minorHAnsi" w:cstheme="minorHAnsi"/>
          <w:lang w:val="en-GB"/>
        </w:rPr>
      </w:pPr>
      <w:bookmarkStart w:id="3" w:name="_Toc417548021"/>
      <w:r w:rsidRPr="00DF7C77">
        <w:rPr>
          <w:rFonts w:asciiTheme="minorHAnsi" w:hAnsiTheme="minorHAnsi" w:cstheme="minorHAnsi"/>
          <w:lang w:val="en-GB"/>
        </w:rPr>
        <w:t>Sequence</w:t>
      </w:r>
      <w:bookmarkEnd w:id="3"/>
    </w:p>
    <w:p w:rsidR="00F27CFB" w:rsidRPr="00DF7C77" w:rsidRDefault="00F27CFB" w:rsidP="00F27CFB">
      <w:pPr>
        <w:rPr>
          <w:rFonts w:cstheme="minorHAnsi"/>
          <w:lang w:val="en-GB"/>
        </w:rPr>
      </w:pPr>
    </w:p>
    <w:p w:rsidR="001A1858" w:rsidRPr="00DF7C77" w:rsidRDefault="001A1858" w:rsidP="001A1858">
      <w:pPr>
        <w:pStyle w:val="Kop2"/>
        <w:rPr>
          <w:rFonts w:asciiTheme="minorHAnsi" w:hAnsiTheme="minorHAnsi" w:cstheme="minorHAnsi"/>
          <w:lang w:val="en-GB"/>
        </w:rPr>
      </w:pPr>
      <w:bookmarkStart w:id="4" w:name="_Toc417548022"/>
      <w:r w:rsidRPr="00DF7C77">
        <w:rPr>
          <w:rFonts w:asciiTheme="minorHAnsi" w:hAnsiTheme="minorHAnsi" w:cstheme="minorHAnsi"/>
          <w:lang w:val="en-GB"/>
        </w:rPr>
        <w:t>R</w:t>
      </w:r>
      <w:r w:rsidR="001970E7" w:rsidRPr="00DF7C77">
        <w:rPr>
          <w:rFonts w:asciiTheme="minorHAnsi" w:hAnsiTheme="minorHAnsi" w:cstheme="minorHAnsi"/>
          <w:lang w:val="en-GB"/>
        </w:rPr>
        <w:t>esponse</w:t>
      </w:r>
      <w:bookmarkEnd w:id="4"/>
    </w:p>
    <w:p w:rsidR="00C9757B" w:rsidRPr="00DF7C77" w:rsidRDefault="00AC5822" w:rsidP="00F27CFB">
      <w:p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>You are kindly requested to end the excel</w:t>
      </w:r>
      <w:r w:rsidR="00E601EA">
        <w:rPr>
          <w:rFonts w:cstheme="minorHAnsi"/>
          <w:lang w:val="en-GB"/>
        </w:rPr>
        <w:t xml:space="preserve"> </w:t>
      </w:r>
      <w:r w:rsidRPr="00DF7C77">
        <w:rPr>
          <w:rFonts w:cstheme="minorHAnsi"/>
          <w:lang w:val="en-GB"/>
        </w:rPr>
        <w:t xml:space="preserve">sheet itself in excel-format (not pfd or other) </w:t>
      </w:r>
      <w:r w:rsidR="00B17154">
        <w:rPr>
          <w:rFonts w:cstheme="minorHAnsi"/>
          <w:lang w:val="en-GB"/>
        </w:rPr>
        <w:t>by</w:t>
      </w:r>
      <w:r w:rsidRPr="00DF7C77">
        <w:rPr>
          <w:rFonts w:cstheme="minorHAnsi"/>
          <w:lang w:val="en-GB"/>
        </w:rPr>
        <w:t xml:space="preserve"> mail </w:t>
      </w:r>
      <w:r w:rsidR="00EC7D35" w:rsidRPr="00DF7C77">
        <w:rPr>
          <w:rFonts w:cstheme="minorHAnsi"/>
          <w:lang w:val="en-GB"/>
        </w:rPr>
        <w:t>to Mr</w:t>
      </w:r>
      <w:r w:rsidRPr="00DF7C77">
        <w:rPr>
          <w:rFonts w:cstheme="minorHAnsi"/>
          <w:lang w:val="en-GB"/>
        </w:rPr>
        <w:t xml:space="preserve">. </w:t>
      </w:r>
      <w:r w:rsidR="00B1409D" w:rsidRPr="00DF7C77">
        <w:rPr>
          <w:rFonts w:cstheme="minorHAnsi"/>
          <w:lang w:val="en-GB"/>
        </w:rPr>
        <w:t xml:space="preserve">Sybolt Jaarsma:  </w:t>
      </w:r>
      <w:hyperlink r:id="rId12" w:history="1">
        <w:r w:rsidR="00B1409D" w:rsidRPr="00DF7C77">
          <w:rPr>
            <w:rStyle w:val="Hyperlink"/>
            <w:rFonts w:cstheme="minorHAnsi"/>
            <w:lang w:val="en-GB"/>
          </w:rPr>
          <w:t>S.K.Jaarsma@gaunie.nl</w:t>
        </w:r>
      </w:hyperlink>
      <w:r w:rsidR="00B1409D" w:rsidRPr="00DF7C77">
        <w:rPr>
          <w:rFonts w:cstheme="minorHAnsi"/>
          <w:lang w:val="en-GB"/>
        </w:rPr>
        <w:t xml:space="preserve"> </w:t>
      </w:r>
    </w:p>
    <w:p w:rsidR="00B1409D" w:rsidRPr="00DF7C77" w:rsidRDefault="00B1409D" w:rsidP="00F27CFB">
      <w:pPr>
        <w:rPr>
          <w:rFonts w:cstheme="minorHAnsi"/>
          <w:lang w:val="en-GB"/>
        </w:rPr>
      </w:pPr>
      <w:bookmarkStart w:id="5" w:name="_Toc417548023"/>
      <w:r w:rsidRPr="00DF7C77">
        <w:rPr>
          <w:rStyle w:val="Kop2Char"/>
          <w:rFonts w:asciiTheme="minorHAnsi" w:hAnsiTheme="minorHAnsi" w:cstheme="minorHAnsi"/>
          <w:lang w:val="en-GB"/>
        </w:rPr>
        <w:lastRenderedPageBreak/>
        <w:t>Questions to</w:t>
      </w:r>
      <w:r w:rsidR="00F27CFB" w:rsidRPr="00DF7C77">
        <w:rPr>
          <w:rStyle w:val="Kop2Char"/>
          <w:rFonts w:asciiTheme="minorHAnsi" w:hAnsiTheme="minorHAnsi" w:cstheme="minorHAnsi"/>
          <w:lang w:val="en-GB"/>
        </w:rPr>
        <w:t xml:space="preserve"> Gasunie</w:t>
      </w:r>
      <w:bookmarkEnd w:id="5"/>
      <w:r w:rsidR="00621EB9" w:rsidRPr="00DF7C77">
        <w:rPr>
          <w:rFonts w:cstheme="minorHAnsi"/>
          <w:b/>
          <w:lang w:val="en-GB"/>
        </w:rPr>
        <w:br/>
      </w:r>
      <w:r w:rsidRPr="00DF7C77">
        <w:rPr>
          <w:rFonts w:cstheme="minorHAnsi"/>
          <w:lang w:val="en-GB"/>
        </w:rPr>
        <w:t xml:space="preserve">Should you have any questions, please do not hesitate to contact us directly or </w:t>
      </w:r>
      <w:r w:rsidR="00B17154">
        <w:rPr>
          <w:rFonts w:cstheme="minorHAnsi"/>
          <w:lang w:val="en-GB"/>
        </w:rPr>
        <w:t>by</w:t>
      </w:r>
      <w:r w:rsidRPr="00DF7C77">
        <w:rPr>
          <w:rFonts w:cstheme="minorHAnsi"/>
          <w:lang w:val="en-GB"/>
        </w:rPr>
        <w:t xml:space="preserve"> mail: </w:t>
      </w:r>
      <w:hyperlink r:id="rId13" w:history="1">
        <w:r w:rsidRPr="00DF7C77">
          <w:rPr>
            <w:rStyle w:val="Hyperlink"/>
            <w:rFonts w:cstheme="minorHAnsi"/>
            <w:lang w:val="en-GB"/>
          </w:rPr>
          <w:t>S.K.Jaarsma@gasunie.nl</w:t>
        </w:r>
      </w:hyperlink>
      <w:r w:rsidRPr="00DF7C77">
        <w:rPr>
          <w:rFonts w:cstheme="minorHAnsi"/>
          <w:lang w:val="en-GB"/>
        </w:rPr>
        <w:t xml:space="preserve"> </w:t>
      </w:r>
    </w:p>
    <w:p w:rsidR="00B1409D" w:rsidRPr="00DF7C77" w:rsidRDefault="00B1409D" w:rsidP="00F27CFB">
      <w:pPr>
        <w:rPr>
          <w:rFonts w:cstheme="minorHAnsi"/>
          <w:lang w:val="en-GB"/>
        </w:rPr>
      </w:pPr>
      <w:r w:rsidRPr="00DF7C77">
        <w:rPr>
          <w:rFonts w:cstheme="minorHAnsi"/>
          <w:lang w:val="en-GB"/>
        </w:rPr>
        <w:t>We kindly request you not to use your current contact</w:t>
      </w:r>
      <w:r w:rsidR="00DF7C77">
        <w:rPr>
          <w:rFonts w:cstheme="minorHAnsi"/>
          <w:lang w:val="en-GB"/>
        </w:rPr>
        <w:t>(s)</w:t>
      </w:r>
      <w:r w:rsidRPr="00DF7C77">
        <w:rPr>
          <w:rFonts w:cstheme="minorHAnsi"/>
          <w:lang w:val="en-GB"/>
        </w:rPr>
        <w:t xml:space="preserve"> within Gasunie.</w:t>
      </w:r>
    </w:p>
    <w:p w:rsidR="001478E4" w:rsidRPr="00DF7C77" w:rsidRDefault="00624835" w:rsidP="001478E4">
      <w:pPr>
        <w:rPr>
          <w:rFonts w:cstheme="minorHAnsi"/>
          <w:color w:val="000000"/>
          <w:lang w:val="en-GB"/>
        </w:rPr>
      </w:pPr>
      <w:bookmarkStart w:id="6" w:name="_Toc417548024"/>
      <w:r w:rsidRPr="00DF7C77">
        <w:rPr>
          <w:rStyle w:val="Kop2Char"/>
          <w:rFonts w:asciiTheme="minorHAnsi" w:hAnsiTheme="minorHAnsi" w:cstheme="minorHAnsi"/>
          <w:lang w:val="en-GB"/>
        </w:rPr>
        <w:t>Re</w:t>
      </w:r>
      <w:r w:rsidR="00B1409D" w:rsidRPr="00DF7C77">
        <w:rPr>
          <w:rStyle w:val="Kop2Char"/>
          <w:rFonts w:asciiTheme="minorHAnsi" w:hAnsiTheme="minorHAnsi" w:cstheme="minorHAnsi"/>
          <w:lang w:val="en-GB"/>
        </w:rPr>
        <w:t>ponse by</w:t>
      </w:r>
      <w:r w:rsidRPr="00DF7C77">
        <w:rPr>
          <w:rStyle w:val="Kop2Char"/>
          <w:rFonts w:asciiTheme="minorHAnsi" w:hAnsiTheme="minorHAnsi" w:cstheme="minorHAnsi"/>
          <w:lang w:val="en-GB"/>
        </w:rPr>
        <w:t xml:space="preserve"> Gasunie</w:t>
      </w:r>
      <w:bookmarkEnd w:id="6"/>
      <w:r w:rsidR="00621EB9" w:rsidRPr="00DF7C77">
        <w:rPr>
          <w:rFonts w:cstheme="minorHAnsi"/>
          <w:b/>
          <w:lang w:val="en-GB"/>
        </w:rPr>
        <w:br/>
      </w:r>
      <w:r w:rsidR="00B1409D" w:rsidRPr="00DF7C77">
        <w:rPr>
          <w:rFonts w:cstheme="minorHAnsi"/>
          <w:color w:val="000000"/>
          <w:lang w:val="en-GB"/>
        </w:rPr>
        <w:t xml:space="preserve">It is expected that a tender will be started, among others based upon your reactions. The timing has not yet been set. </w:t>
      </w:r>
      <w:bookmarkStart w:id="7" w:name="OLE_LINK1"/>
      <w:bookmarkStart w:id="8" w:name="OLE_LINK2"/>
    </w:p>
    <w:p w:rsidR="00F27CFB" w:rsidRPr="00DF7C77" w:rsidRDefault="00DF7C77" w:rsidP="00F27CFB">
      <w:pPr>
        <w:pStyle w:val="Kop1"/>
        <w:numPr>
          <w:ilvl w:val="0"/>
          <w:numId w:val="4"/>
        </w:numPr>
        <w:ind w:left="0"/>
        <w:rPr>
          <w:rFonts w:asciiTheme="minorHAnsi" w:hAnsiTheme="minorHAnsi" w:cstheme="minorHAnsi"/>
          <w:lang w:val="en-GB"/>
        </w:rPr>
      </w:pPr>
      <w:bookmarkStart w:id="9" w:name="_Toc417548025"/>
      <w:bookmarkEnd w:id="7"/>
      <w:bookmarkEnd w:id="8"/>
      <w:r w:rsidRPr="00DF7C77">
        <w:rPr>
          <w:rFonts w:asciiTheme="minorHAnsi" w:hAnsiTheme="minorHAnsi" w:cstheme="minorHAnsi"/>
          <w:lang w:val="en-GB"/>
        </w:rPr>
        <w:t>Confidentiality</w:t>
      </w:r>
      <w:bookmarkEnd w:id="9"/>
    </w:p>
    <w:p w:rsidR="00055B6F" w:rsidRPr="00DF7C77" w:rsidRDefault="00DF7C77" w:rsidP="00055B6F">
      <w:pPr>
        <w:rPr>
          <w:rFonts w:cstheme="minorHAnsi"/>
          <w:color w:val="000000"/>
          <w:lang w:val="en-GB"/>
        </w:rPr>
      </w:pPr>
      <w:r w:rsidRPr="00DF7C77">
        <w:rPr>
          <w:rFonts w:cstheme="minorHAnsi"/>
          <w:color w:val="000000"/>
          <w:lang w:val="en-GB"/>
        </w:rPr>
        <w:t>Your answers are confidential and shall not be shared with others outside Gasunie. General responses and information that cannot be traced to your organisation can be used. It is a possibility that (a part of) you suggestions will be used in the tender.</w:t>
      </w:r>
      <w:r w:rsidR="00055B6F" w:rsidRPr="00DF7C77">
        <w:rPr>
          <w:rFonts w:cstheme="minorHAnsi"/>
          <w:color w:val="000000"/>
          <w:lang w:val="en-GB"/>
        </w:rPr>
        <w:t xml:space="preserve"> </w:t>
      </w:r>
    </w:p>
    <w:p w:rsidR="00940596" w:rsidRPr="00DF7C77" w:rsidRDefault="00940596" w:rsidP="00940596">
      <w:pPr>
        <w:pStyle w:val="Lijstalinea"/>
        <w:numPr>
          <w:ilvl w:val="0"/>
          <w:numId w:val="4"/>
        </w:numPr>
        <w:ind w:left="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en-GB"/>
        </w:rPr>
      </w:pPr>
      <w:r w:rsidRPr="00DF7C77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en-GB"/>
        </w:rPr>
        <w:t>Planning</w:t>
      </w:r>
    </w:p>
    <w:p w:rsidR="00940596" w:rsidRPr="00DF7C77" w:rsidRDefault="00940596" w:rsidP="008B2804">
      <w:pPr>
        <w:rPr>
          <w:rFonts w:cstheme="minorHAnsi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93"/>
      </w:tblGrid>
      <w:tr w:rsidR="00940596" w:rsidRPr="00DF7C77" w:rsidTr="00B4570E">
        <w:tc>
          <w:tcPr>
            <w:tcW w:w="5882" w:type="dxa"/>
            <w:shd w:val="clear" w:color="auto" w:fill="C0C0C0"/>
          </w:tcPr>
          <w:p w:rsidR="00940596" w:rsidRPr="00DF7C77" w:rsidRDefault="00940596" w:rsidP="00B4570E">
            <w:pPr>
              <w:spacing w:line="280" w:lineRule="atLeast"/>
              <w:rPr>
                <w:rFonts w:cstheme="minorHAnsi"/>
                <w:b/>
                <w:bCs/>
                <w:lang w:val="en-GB"/>
              </w:rPr>
            </w:pPr>
            <w:r w:rsidRPr="00DF7C77">
              <w:rPr>
                <w:rFonts w:cstheme="minorHAnsi"/>
                <w:b/>
                <w:bCs/>
                <w:lang w:val="en-GB"/>
              </w:rPr>
              <w:t>Planning</w:t>
            </w:r>
          </w:p>
        </w:tc>
        <w:tc>
          <w:tcPr>
            <w:tcW w:w="2693" w:type="dxa"/>
            <w:shd w:val="clear" w:color="auto" w:fill="C0C0C0"/>
          </w:tcPr>
          <w:p w:rsidR="00940596" w:rsidRPr="00DF7C77" w:rsidRDefault="00940596" w:rsidP="00DF7C77">
            <w:pPr>
              <w:spacing w:line="280" w:lineRule="atLeast"/>
              <w:rPr>
                <w:rFonts w:cstheme="minorHAnsi"/>
                <w:b/>
                <w:bCs/>
                <w:lang w:val="en-GB"/>
              </w:rPr>
            </w:pPr>
            <w:r w:rsidRPr="00DF7C77">
              <w:rPr>
                <w:rFonts w:cstheme="minorHAnsi"/>
                <w:b/>
                <w:bCs/>
                <w:lang w:val="en-GB"/>
              </w:rPr>
              <w:t>Dat</w:t>
            </w:r>
            <w:r w:rsidR="00DF7C77">
              <w:rPr>
                <w:rFonts w:cstheme="minorHAnsi"/>
                <w:b/>
                <w:bCs/>
                <w:lang w:val="en-GB"/>
              </w:rPr>
              <w:t>e</w:t>
            </w:r>
            <w:r w:rsidR="00E601EA">
              <w:rPr>
                <w:rFonts w:cstheme="minorHAnsi"/>
                <w:b/>
                <w:bCs/>
                <w:lang w:val="en-GB"/>
              </w:rPr>
              <w:t>, on or before</w:t>
            </w:r>
          </w:p>
        </w:tc>
      </w:tr>
      <w:tr w:rsidR="00940596" w:rsidRPr="00DF7C77" w:rsidTr="00B4570E">
        <w:tc>
          <w:tcPr>
            <w:tcW w:w="5882" w:type="dxa"/>
          </w:tcPr>
          <w:p w:rsidR="00F27CFB" w:rsidRPr="00DF7C77" w:rsidRDefault="00F27CFB" w:rsidP="00DF7C77">
            <w:pPr>
              <w:spacing w:line="280" w:lineRule="atLeast"/>
              <w:rPr>
                <w:rFonts w:cstheme="minorHAnsi"/>
                <w:lang w:val="en-GB"/>
              </w:rPr>
            </w:pPr>
            <w:r w:rsidRPr="00DF7C77">
              <w:rPr>
                <w:rFonts w:cstheme="minorHAnsi"/>
                <w:lang w:val="en-GB"/>
              </w:rPr>
              <w:t>Publicat</w:t>
            </w:r>
            <w:r w:rsidR="00DF7C77">
              <w:rPr>
                <w:rFonts w:cstheme="minorHAnsi"/>
                <w:lang w:val="en-GB"/>
              </w:rPr>
              <w:t>ion of this tender</w:t>
            </w:r>
          </w:p>
        </w:tc>
        <w:tc>
          <w:tcPr>
            <w:tcW w:w="2693" w:type="dxa"/>
          </w:tcPr>
          <w:p w:rsidR="00940596" w:rsidRPr="00DF7C77" w:rsidRDefault="00DF7C77" w:rsidP="00DF7C7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April 23</w:t>
            </w:r>
            <w:r w:rsidRPr="00DF7C77">
              <w:rPr>
                <w:rFonts w:cstheme="minorHAnsi"/>
                <w:vertAlign w:val="superscript"/>
                <w:lang w:val="en-GB"/>
              </w:rPr>
              <w:t>rd</w:t>
            </w:r>
            <w:r>
              <w:rPr>
                <w:rFonts w:cstheme="minorHAnsi"/>
                <w:lang w:val="en-GB"/>
              </w:rPr>
              <w:t>, 2015</w:t>
            </w:r>
          </w:p>
        </w:tc>
      </w:tr>
      <w:tr w:rsidR="00940596" w:rsidRPr="00DF7C77" w:rsidTr="00B4570E">
        <w:tc>
          <w:tcPr>
            <w:tcW w:w="5882" w:type="dxa"/>
          </w:tcPr>
          <w:p w:rsidR="00940596" w:rsidRPr="00DF7C77" w:rsidRDefault="00DF7C77" w:rsidP="00B4570E">
            <w:pPr>
              <w:spacing w:line="280" w:lineRule="atLeast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Ask questions to Gasunie concerning the market consultation</w:t>
            </w:r>
            <w:r w:rsidR="00940596" w:rsidRPr="00DF7C77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:rsidR="00940596" w:rsidRPr="00DF7C77" w:rsidRDefault="00DF7C77" w:rsidP="00DF7C7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April 30</w:t>
            </w:r>
            <w:r w:rsidRPr="00DF7C77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>, 2015</w:t>
            </w:r>
          </w:p>
        </w:tc>
      </w:tr>
      <w:tr w:rsidR="00940596" w:rsidRPr="00DF7C77" w:rsidTr="00B4570E">
        <w:tc>
          <w:tcPr>
            <w:tcW w:w="5882" w:type="dxa"/>
          </w:tcPr>
          <w:p w:rsidR="00940596" w:rsidRPr="00DF7C77" w:rsidRDefault="00DF7C77" w:rsidP="00621EB9">
            <w:pPr>
              <w:spacing w:line="280" w:lineRule="atLeast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Send response to Gasunie </w:t>
            </w:r>
          </w:p>
        </w:tc>
        <w:tc>
          <w:tcPr>
            <w:tcW w:w="2693" w:type="dxa"/>
          </w:tcPr>
          <w:p w:rsidR="00940596" w:rsidRPr="00DF7C77" w:rsidRDefault="00E601EA" w:rsidP="00563CC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May 8</w:t>
            </w:r>
            <w:r w:rsidRPr="00E601EA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>, 2015</w:t>
            </w:r>
          </w:p>
        </w:tc>
      </w:tr>
      <w:tr w:rsidR="00624835" w:rsidRPr="00B17154" w:rsidTr="00B4570E">
        <w:tc>
          <w:tcPr>
            <w:tcW w:w="5882" w:type="dxa"/>
          </w:tcPr>
          <w:p w:rsidR="00624835" w:rsidRPr="00DF7C77" w:rsidRDefault="00DF7C77" w:rsidP="00B4570E">
            <w:pPr>
              <w:spacing w:line="280" w:lineRule="atLeast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Information by Gasunie on tender sequence</w:t>
            </w:r>
            <w:r w:rsidR="0013528C" w:rsidRPr="00DF7C77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:rsidR="00624835" w:rsidRPr="00DF7C77" w:rsidRDefault="00DF7C77" w:rsidP="00563CC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As soon as possible, no later than July 1</w:t>
            </w:r>
            <w:r w:rsidRPr="00DF7C77">
              <w:rPr>
                <w:rFonts w:cstheme="minorHAnsi"/>
                <w:vertAlign w:val="superscript"/>
                <w:lang w:val="en-GB"/>
              </w:rPr>
              <w:t>st</w:t>
            </w:r>
            <w:r>
              <w:rPr>
                <w:rFonts w:cstheme="minorHAnsi"/>
                <w:lang w:val="en-GB"/>
              </w:rPr>
              <w:t>, 2015</w:t>
            </w:r>
          </w:p>
        </w:tc>
      </w:tr>
    </w:tbl>
    <w:p w:rsidR="00F27CFB" w:rsidRPr="00DF7C77" w:rsidRDefault="00F27CFB" w:rsidP="008B2804">
      <w:pPr>
        <w:rPr>
          <w:rFonts w:cstheme="minorHAnsi"/>
          <w:lang w:val="en-GB"/>
        </w:rPr>
      </w:pPr>
    </w:p>
    <w:sectPr w:rsidR="00F27CFB" w:rsidRPr="00DF7C7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94" w:rsidRDefault="00E74394" w:rsidP="00E74394">
      <w:pPr>
        <w:spacing w:after="0" w:line="240" w:lineRule="auto"/>
      </w:pPr>
      <w:r>
        <w:separator/>
      </w:r>
    </w:p>
  </w:endnote>
  <w:endnote w:type="continuationSeparator" w:id="0">
    <w:p w:rsidR="00E74394" w:rsidRDefault="00E74394" w:rsidP="00E7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E4" w:rsidRDefault="007F6AE4" w:rsidP="007F6AE4">
    <w:pPr>
      <w:pStyle w:val="Voettekst"/>
      <w:pBdr>
        <w:bottom w:val="single" w:sz="6" w:space="1" w:color="auto"/>
      </w:pBdr>
      <w:jc w:val="right"/>
      <w:rPr>
        <w:color w:val="7F7F7F" w:themeColor="text1" w:themeTint="80"/>
      </w:rPr>
    </w:pPr>
  </w:p>
  <w:p w:rsidR="007F6AE4" w:rsidRPr="00214745" w:rsidRDefault="006D1E23" w:rsidP="00562054">
    <w:pPr>
      <w:pStyle w:val="Voettekst"/>
      <w:rPr>
        <w:color w:val="7F7F7F" w:themeColor="text1" w:themeTint="80"/>
        <w:lang w:val="en-US"/>
      </w:rPr>
    </w:pPr>
    <w:r w:rsidRPr="00214745">
      <w:rPr>
        <w:color w:val="7F7F7F" w:themeColor="text1" w:themeTint="80"/>
        <w:lang w:val="en-US"/>
      </w:rPr>
      <w:t xml:space="preserve">Gasunie market consultation Turbine and Rotary Gas Meters </w:t>
    </w:r>
    <w:r>
      <w:rPr>
        <w:color w:val="7F7F7F" w:themeColor="text1" w:themeTint="80"/>
        <w:lang w:val="en-US"/>
      </w:rPr>
      <w:t>2015</w:t>
    </w:r>
    <w:r w:rsidRPr="00214745">
      <w:rPr>
        <w:color w:val="7F7F7F" w:themeColor="text1" w:themeTint="80"/>
        <w:lang w:val="en-US"/>
      </w:rPr>
      <w:t xml:space="preserve">                                   Pag</w:t>
    </w:r>
    <w:r>
      <w:rPr>
        <w:color w:val="7F7F7F" w:themeColor="text1" w:themeTint="80"/>
        <w:lang w:val="en-US"/>
      </w:rPr>
      <w:t>e</w:t>
    </w:r>
    <w:r w:rsidRPr="00214745">
      <w:rPr>
        <w:color w:val="7F7F7F" w:themeColor="text1" w:themeTint="80"/>
        <w:lang w:val="en-US"/>
      </w:rPr>
      <w:t xml:space="preserve"> </w:t>
    </w:r>
    <w:r w:rsidRPr="007F6AE4">
      <w:rPr>
        <w:color w:val="7F7F7F" w:themeColor="text1" w:themeTint="80"/>
      </w:rPr>
      <w:fldChar w:fldCharType="begin"/>
    </w:r>
    <w:r w:rsidRPr="00214745">
      <w:rPr>
        <w:color w:val="7F7F7F" w:themeColor="text1" w:themeTint="80"/>
        <w:lang w:val="en-US"/>
      </w:rPr>
      <w:instrText xml:space="preserve"> PAGE   \* MERGEFORMAT </w:instrText>
    </w:r>
    <w:r w:rsidRPr="007F6AE4">
      <w:rPr>
        <w:color w:val="7F7F7F" w:themeColor="text1" w:themeTint="80"/>
      </w:rPr>
      <w:fldChar w:fldCharType="separate"/>
    </w:r>
    <w:r w:rsidR="00B227ED">
      <w:rPr>
        <w:noProof/>
        <w:color w:val="7F7F7F" w:themeColor="text1" w:themeTint="80"/>
        <w:lang w:val="en-US"/>
      </w:rPr>
      <w:t>2</w:t>
    </w:r>
    <w:r w:rsidRPr="007F6AE4">
      <w:rPr>
        <w:color w:val="7F7F7F" w:themeColor="text1" w:themeTint="80"/>
      </w:rPr>
      <w:fldChar w:fldCharType="end"/>
    </w:r>
    <w:r>
      <w:rPr>
        <w:color w:val="7F7F7F" w:themeColor="text1" w:themeTint="80"/>
        <w:lang w:val="en-US"/>
      </w:rPr>
      <w:t xml:space="preserve"> of</w:t>
    </w:r>
    <w:r w:rsidRPr="00214745">
      <w:rPr>
        <w:color w:val="7F7F7F" w:themeColor="text1" w:themeTint="80"/>
        <w:lang w:val="en-US"/>
      </w:rPr>
      <w:t xml:space="preserve"> </w:t>
    </w:r>
    <w:r w:rsidRPr="007F6AE4">
      <w:rPr>
        <w:color w:val="7F7F7F" w:themeColor="text1" w:themeTint="80"/>
      </w:rPr>
      <w:fldChar w:fldCharType="begin"/>
    </w:r>
    <w:r w:rsidRPr="00214745">
      <w:rPr>
        <w:color w:val="7F7F7F" w:themeColor="text1" w:themeTint="80"/>
        <w:lang w:val="en-US"/>
      </w:rPr>
      <w:instrText xml:space="preserve"> NUMPAGES   \* MERGEFORMAT </w:instrText>
    </w:r>
    <w:r w:rsidRPr="007F6AE4">
      <w:rPr>
        <w:color w:val="7F7F7F" w:themeColor="text1" w:themeTint="80"/>
      </w:rPr>
      <w:fldChar w:fldCharType="separate"/>
    </w:r>
    <w:r w:rsidR="00B227ED">
      <w:rPr>
        <w:noProof/>
        <w:color w:val="7F7F7F" w:themeColor="text1" w:themeTint="80"/>
        <w:lang w:val="en-US"/>
      </w:rPr>
      <w:t>4</w:t>
    </w:r>
    <w:r w:rsidRPr="007F6AE4">
      <w:rPr>
        <w:color w:val="7F7F7F" w:themeColor="text1" w:themeTint="80"/>
      </w:rPr>
      <w:fldChar w:fldCharType="end"/>
    </w:r>
  </w:p>
  <w:p w:rsidR="00E74394" w:rsidRPr="00214745" w:rsidRDefault="00E74394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94" w:rsidRDefault="00E74394" w:rsidP="00E74394">
      <w:pPr>
        <w:spacing w:after="0" w:line="240" w:lineRule="auto"/>
      </w:pPr>
      <w:r>
        <w:separator/>
      </w:r>
    </w:p>
  </w:footnote>
  <w:footnote w:type="continuationSeparator" w:id="0">
    <w:p w:rsidR="00E74394" w:rsidRDefault="00E74394" w:rsidP="00E7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6B"/>
    <w:multiLevelType w:val="hybridMultilevel"/>
    <w:tmpl w:val="9B1299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32EA1"/>
    <w:multiLevelType w:val="hybridMultilevel"/>
    <w:tmpl w:val="73C0EB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6E7F"/>
    <w:multiLevelType w:val="hybridMultilevel"/>
    <w:tmpl w:val="8DD6EB4A"/>
    <w:lvl w:ilvl="0" w:tplc="D3FA962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30EE"/>
    <w:multiLevelType w:val="hybridMultilevel"/>
    <w:tmpl w:val="98CA0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67378"/>
    <w:multiLevelType w:val="hybridMultilevel"/>
    <w:tmpl w:val="16786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76E97"/>
    <w:multiLevelType w:val="hybridMultilevel"/>
    <w:tmpl w:val="028E4A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F67C0"/>
    <w:multiLevelType w:val="hybridMultilevel"/>
    <w:tmpl w:val="F31AF490"/>
    <w:lvl w:ilvl="0" w:tplc="D3FA962E">
      <w:start w:val="2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4C5912"/>
    <w:multiLevelType w:val="hybridMultilevel"/>
    <w:tmpl w:val="7AAEC926"/>
    <w:lvl w:ilvl="0" w:tplc="D3FA962E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A85136"/>
    <w:multiLevelType w:val="hybridMultilevel"/>
    <w:tmpl w:val="189679A4"/>
    <w:lvl w:ilvl="0" w:tplc="DC16FB8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24626"/>
    <w:multiLevelType w:val="hybridMultilevel"/>
    <w:tmpl w:val="8EF24352"/>
    <w:lvl w:ilvl="0" w:tplc="D3FA962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87"/>
    <w:rsid w:val="00046C36"/>
    <w:rsid w:val="00055B6F"/>
    <w:rsid w:val="00117228"/>
    <w:rsid w:val="0013528C"/>
    <w:rsid w:val="001478E4"/>
    <w:rsid w:val="001970E7"/>
    <w:rsid w:val="001A1858"/>
    <w:rsid w:val="001C3991"/>
    <w:rsid w:val="001C54B4"/>
    <w:rsid w:val="001D02E7"/>
    <w:rsid w:val="001E03AB"/>
    <w:rsid w:val="00214745"/>
    <w:rsid w:val="00242411"/>
    <w:rsid w:val="002C52B2"/>
    <w:rsid w:val="002F4324"/>
    <w:rsid w:val="00321ED0"/>
    <w:rsid w:val="003D3A40"/>
    <w:rsid w:val="003E5A6D"/>
    <w:rsid w:val="00461023"/>
    <w:rsid w:val="00486ADD"/>
    <w:rsid w:val="004A1DC3"/>
    <w:rsid w:val="004C5058"/>
    <w:rsid w:val="00522603"/>
    <w:rsid w:val="00524173"/>
    <w:rsid w:val="00525495"/>
    <w:rsid w:val="0054134F"/>
    <w:rsid w:val="00562054"/>
    <w:rsid w:val="00563CCD"/>
    <w:rsid w:val="00564D86"/>
    <w:rsid w:val="005660F1"/>
    <w:rsid w:val="0057045C"/>
    <w:rsid w:val="005711D7"/>
    <w:rsid w:val="005B5751"/>
    <w:rsid w:val="005C6AF8"/>
    <w:rsid w:val="00621EB9"/>
    <w:rsid w:val="00624835"/>
    <w:rsid w:val="006B47BC"/>
    <w:rsid w:val="006D1E23"/>
    <w:rsid w:val="0072002D"/>
    <w:rsid w:val="00726438"/>
    <w:rsid w:val="00776396"/>
    <w:rsid w:val="00783CDC"/>
    <w:rsid w:val="007B1714"/>
    <w:rsid w:val="007D2A0C"/>
    <w:rsid w:val="007F6AE4"/>
    <w:rsid w:val="00826B0E"/>
    <w:rsid w:val="0087579D"/>
    <w:rsid w:val="008B2804"/>
    <w:rsid w:val="008B2B75"/>
    <w:rsid w:val="008C3102"/>
    <w:rsid w:val="008E17B5"/>
    <w:rsid w:val="00904A80"/>
    <w:rsid w:val="0092642C"/>
    <w:rsid w:val="00932FF3"/>
    <w:rsid w:val="00940596"/>
    <w:rsid w:val="00957AA4"/>
    <w:rsid w:val="00A030BE"/>
    <w:rsid w:val="00A351FD"/>
    <w:rsid w:val="00AC5822"/>
    <w:rsid w:val="00B1409D"/>
    <w:rsid w:val="00B17154"/>
    <w:rsid w:val="00B227ED"/>
    <w:rsid w:val="00B95332"/>
    <w:rsid w:val="00C00C94"/>
    <w:rsid w:val="00C6230E"/>
    <w:rsid w:val="00C86585"/>
    <w:rsid w:val="00C9757B"/>
    <w:rsid w:val="00CE17B6"/>
    <w:rsid w:val="00CE2D16"/>
    <w:rsid w:val="00CF5306"/>
    <w:rsid w:val="00CF6887"/>
    <w:rsid w:val="00DB586E"/>
    <w:rsid w:val="00DC64F4"/>
    <w:rsid w:val="00DD2BD4"/>
    <w:rsid w:val="00DF14E7"/>
    <w:rsid w:val="00DF7C77"/>
    <w:rsid w:val="00E278A7"/>
    <w:rsid w:val="00E3220D"/>
    <w:rsid w:val="00E555B8"/>
    <w:rsid w:val="00E601EA"/>
    <w:rsid w:val="00E74394"/>
    <w:rsid w:val="00EB34EE"/>
    <w:rsid w:val="00EC7D35"/>
    <w:rsid w:val="00EC7E7B"/>
    <w:rsid w:val="00EC7F08"/>
    <w:rsid w:val="00F125EB"/>
    <w:rsid w:val="00F27CFB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7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4394"/>
  </w:style>
  <w:style w:type="paragraph" w:styleId="Voettekst">
    <w:name w:val="footer"/>
    <w:basedOn w:val="Standaard"/>
    <w:link w:val="VoettekstChar"/>
    <w:uiPriority w:val="99"/>
    <w:unhideWhenUsed/>
    <w:rsid w:val="00E7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4394"/>
  </w:style>
  <w:style w:type="character" w:customStyle="1" w:styleId="Kop1Char">
    <w:name w:val="Kop 1 Char"/>
    <w:basedOn w:val="Standaardalinea-lettertype"/>
    <w:link w:val="Kop1"/>
    <w:uiPriority w:val="9"/>
    <w:rsid w:val="008B2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8B2804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8B2804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660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660F1"/>
    <w:pPr>
      <w:spacing w:after="10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0F1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7F6AE4"/>
  </w:style>
  <w:style w:type="character" w:styleId="GevolgdeHyperlink">
    <w:name w:val="FollowedHyperlink"/>
    <w:basedOn w:val="Standaardalinea-lettertype"/>
    <w:uiPriority w:val="99"/>
    <w:semiHidden/>
    <w:unhideWhenUsed/>
    <w:rsid w:val="001C3991"/>
    <w:rPr>
      <w:color w:val="800080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47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13528C"/>
    <w:pPr>
      <w:spacing w:after="100"/>
      <w:ind w:left="220"/>
    </w:pPr>
  </w:style>
  <w:style w:type="table" w:styleId="Tabelraster">
    <w:name w:val="Table Grid"/>
    <w:basedOn w:val="Standaardtabel"/>
    <w:uiPriority w:val="59"/>
    <w:rsid w:val="002C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7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4394"/>
  </w:style>
  <w:style w:type="paragraph" w:styleId="Voettekst">
    <w:name w:val="footer"/>
    <w:basedOn w:val="Standaard"/>
    <w:link w:val="VoettekstChar"/>
    <w:uiPriority w:val="99"/>
    <w:unhideWhenUsed/>
    <w:rsid w:val="00E7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4394"/>
  </w:style>
  <w:style w:type="character" w:customStyle="1" w:styleId="Kop1Char">
    <w:name w:val="Kop 1 Char"/>
    <w:basedOn w:val="Standaardalinea-lettertype"/>
    <w:link w:val="Kop1"/>
    <w:uiPriority w:val="9"/>
    <w:rsid w:val="008B2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8B2804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8B2804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660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660F1"/>
    <w:pPr>
      <w:spacing w:after="10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0F1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7F6AE4"/>
  </w:style>
  <w:style w:type="character" w:styleId="GevolgdeHyperlink">
    <w:name w:val="FollowedHyperlink"/>
    <w:basedOn w:val="Standaardalinea-lettertype"/>
    <w:uiPriority w:val="99"/>
    <w:semiHidden/>
    <w:unhideWhenUsed/>
    <w:rsid w:val="001C3991"/>
    <w:rPr>
      <w:color w:val="800080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47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13528C"/>
    <w:pPr>
      <w:spacing w:after="100"/>
      <w:ind w:left="220"/>
    </w:pPr>
  </w:style>
  <w:style w:type="table" w:styleId="Tabelraster">
    <w:name w:val="Table Grid"/>
    <w:basedOn w:val="Standaardtabel"/>
    <w:uiPriority w:val="59"/>
    <w:rsid w:val="002C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K.Jaarsma@gasunie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.K.Jaarsma@gaunie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C8FB-EABC-4E33-9C21-943D4FF4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A.J.E.Vink@gasunie.nl</Manager>
  <Company>Gasunie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S.K.Jaarsma@gasunie.nl</dc:creator>
  <cp:lastModifiedBy>Uljee E.</cp:lastModifiedBy>
  <cp:revision>2</cp:revision>
  <cp:lastPrinted>2014-11-11T14:15:00Z</cp:lastPrinted>
  <dcterms:created xsi:type="dcterms:W3CDTF">2015-04-23T12:15:00Z</dcterms:created>
  <dcterms:modified xsi:type="dcterms:W3CDTF">2015-04-23T12:15:00Z</dcterms:modified>
</cp:coreProperties>
</file>