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83" w:rsidRDefault="00075D83" w:rsidP="00075D83">
      <w:pPr>
        <w:rPr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-623570</wp:posOffset>
            </wp:positionV>
            <wp:extent cx="1352550" cy="969010"/>
            <wp:effectExtent l="0" t="0" r="0" b="2540"/>
            <wp:wrapNone/>
            <wp:docPr id="1" name="Afbeelding 1" descr="NHL_o_03#HS_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NHL_o_03#HS_zw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D83" w:rsidRDefault="00075D83" w:rsidP="00075D83">
      <w:pPr>
        <w:tabs>
          <w:tab w:val="left" w:pos="-720"/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0"/>
          <w:szCs w:val="20"/>
        </w:rPr>
      </w:pPr>
    </w:p>
    <w:p w:rsidR="00075D83" w:rsidRDefault="00075D83" w:rsidP="00075D83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Nota van inlichtingen </w:t>
      </w:r>
      <w:r>
        <w:rPr>
          <w:b/>
          <w:sz w:val="20"/>
          <w:szCs w:val="20"/>
        </w:rPr>
        <w:t>aanbesteding schoonmaak</w:t>
      </w:r>
    </w:p>
    <w:p w:rsidR="00075D83" w:rsidRDefault="00075D83" w:rsidP="00075D83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Aan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:rsidR="00075D83" w:rsidRDefault="00075D83" w:rsidP="00075D83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Van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:rsidR="00075D83" w:rsidRDefault="00075D83" w:rsidP="00075D83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Kenmerk</w:t>
      </w:r>
      <w:r>
        <w:rPr>
          <w:sz w:val="20"/>
          <w:szCs w:val="20"/>
        </w:rPr>
        <w:tab/>
        <w:t xml:space="preserve">: </w:t>
      </w:r>
    </w:p>
    <w:p w:rsidR="00075D83" w:rsidRDefault="00075D83" w:rsidP="00075D83">
      <w:pPr>
        <w:pStyle w:val="Geenafstand"/>
        <w:rPr>
          <w:b/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</w:p>
    <w:p w:rsidR="00075D83" w:rsidRDefault="00075D83" w:rsidP="00075D8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0"/>
          <w:szCs w:val="20"/>
        </w:rPr>
      </w:pPr>
    </w:p>
    <w:p w:rsidR="00075D83" w:rsidRDefault="00075D83" w:rsidP="00075D8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 van inlichtingen</w:t>
      </w:r>
    </w:p>
    <w:p w:rsidR="00075D83" w:rsidRDefault="00075D83" w:rsidP="00075D8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behorende bij en een geheel vormend met het bestek en de daaraan verbonden bijlagen betreffende de aanbesteding “</w:t>
      </w:r>
      <w:r>
        <w:rPr>
          <w:sz w:val="20"/>
          <w:szCs w:val="20"/>
        </w:rPr>
        <w:t>Installatietechnisch onderhoud 2015</w:t>
      </w:r>
      <w:r>
        <w:rPr>
          <w:sz w:val="20"/>
          <w:szCs w:val="20"/>
        </w:rPr>
        <w:t>” van de Stichting NHL. Zoals gesteld in het bestek wordt deze nota van inlichtingen verstuurd aan alle gegadigden.</w:t>
      </w:r>
    </w:p>
    <w:p w:rsidR="00075D83" w:rsidRDefault="00075D83" w:rsidP="00075D8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Ter toelichting: </w:t>
      </w:r>
    </w:p>
    <w:p w:rsidR="00075D83" w:rsidRDefault="00075D83" w:rsidP="00075D83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 xml:space="preserve">V </w:t>
      </w:r>
      <w:r>
        <w:rPr>
          <w:sz w:val="20"/>
          <w:szCs w:val="20"/>
        </w:rPr>
        <w:t>= een vraag zoals deze schriftelijk is gesteld;</w:t>
      </w:r>
    </w:p>
    <w:p w:rsidR="00075D83" w:rsidRDefault="00075D83" w:rsidP="00075D83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>
        <w:rPr>
          <w:sz w:val="20"/>
          <w:szCs w:val="20"/>
        </w:rPr>
        <w:t>= antwoord op de vraag;</w:t>
      </w:r>
    </w:p>
    <w:p w:rsidR="00075D83" w:rsidRDefault="00075D83" w:rsidP="00075D8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Op de navolgende pagina’s zijn de gestelde vragen en gegeven antwoorden geanonimiseerd weergegeven.</w:t>
      </w:r>
    </w:p>
    <w:p w:rsidR="00075D83" w:rsidRDefault="00075D83" w:rsidP="00075D83">
      <w:bookmarkStart w:id="0" w:name="_GoBack"/>
      <w:bookmarkEnd w:id="0"/>
      <w:r>
        <w:rPr>
          <w:sz w:val="20"/>
          <w:szCs w:val="20"/>
        </w:rPr>
        <w:br w:type="column"/>
      </w:r>
    </w:p>
    <w:tbl>
      <w:tblPr>
        <w:tblpPr w:leftFromText="141" w:rightFromText="141" w:vertAnchor="page" w:horzAnchor="margin" w:tblpY="1996"/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03"/>
        <w:gridCol w:w="868"/>
        <w:gridCol w:w="1087"/>
        <w:gridCol w:w="10218"/>
      </w:tblGrid>
      <w:tr w:rsidR="00075D83" w:rsidRPr="00075D83" w:rsidTr="000402D6">
        <w:trPr>
          <w:cantSplit/>
          <w:trHeight w:val="70"/>
          <w:tblHeader/>
        </w:trPr>
        <w:tc>
          <w:tcPr>
            <w:tcW w:w="363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66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cantSplit/>
          <w:trHeight w:val="70"/>
          <w:tblHeader/>
        </w:trPr>
        <w:tc>
          <w:tcPr>
            <w:tcW w:w="363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Nr.</w:t>
            </w:r>
          </w:p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75D83">
              <w:rPr>
                <w:rFonts w:ascii="Arial" w:eastAsia="Calibri" w:hAnsi="Arial" w:cs="Arial"/>
                <w:sz w:val="20"/>
                <w:szCs w:val="20"/>
              </w:rPr>
              <w:t>Hfst</w:t>
            </w:r>
            <w:proofErr w:type="spellEnd"/>
            <w:r w:rsidRPr="00075D8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86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Blz.</w:t>
            </w:r>
          </w:p>
        </w:tc>
        <w:tc>
          <w:tcPr>
            <w:tcW w:w="358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Cat.</w:t>
            </w:r>
          </w:p>
        </w:tc>
        <w:tc>
          <w:tcPr>
            <w:tcW w:w="3366" w:type="pct"/>
            <w:shd w:val="clear" w:color="auto" w:fill="FFFFFF" w:themeFill="background1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Vraag/opmerking/antwoord</w:t>
            </w: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 w:val="restart"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ind w:left="142"/>
              <w:contextualSpacing/>
              <w:jc w:val="center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 w:val="restart"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 w:val="restart"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 w:val="restart"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 w:val="restart"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627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</w:tcPr>
          <w:p w:rsidR="00075D83" w:rsidRPr="00075D83" w:rsidRDefault="00075D83" w:rsidP="00075D83">
            <w:pPr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75D83" w:rsidRPr="00075D83" w:rsidTr="000402D6">
        <w:trPr>
          <w:trHeight w:val="270"/>
        </w:trPr>
        <w:tc>
          <w:tcPr>
            <w:tcW w:w="363" w:type="pct"/>
            <w:vMerge/>
          </w:tcPr>
          <w:p w:rsidR="00075D83" w:rsidRPr="00075D83" w:rsidRDefault="00075D83" w:rsidP="00075D8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6" w:type="pct"/>
            <w:vMerge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8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75D83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366" w:type="pct"/>
          </w:tcPr>
          <w:p w:rsidR="00075D83" w:rsidRPr="00075D83" w:rsidRDefault="00075D83" w:rsidP="00075D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75D83" w:rsidRDefault="00075D83" w:rsidP="00075D83"/>
    <w:p w:rsidR="00FD390F" w:rsidRDefault="00075D83" w:rsidP="00075D83"/>
    <w:sectPr w:rsidR="00FD390F" w:rsidSect="00075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68D4"/>
    <w:multiLevelType w:val="hybridMultilevel"/>
    <w:tmpl w:val="DE90C362"/>
    <w:lvl w:ilvl="0" w:tplc="562EBE1C">
      <w:start w:val="1"/>
      <w:numFmt w:val="decimal"/>
      <w:lvlText w:val="%1."/>
      <w:lvlJc w:val="left"/>
      <w:pPr>
        <w:ind w:left="283" w:firstLine="1"/>
      </w:pPr>
    </w:lvl>
    <w:lvl w:ilvl="1" w:tplc="04130019">
      <w:start w:val="1"/>
      <w:numFmt w:val="lowerLetter"/>
      <w:lvlText w:val="%2."/>
      <w:lvlJc w:val="left"/>
      <w:pPr>
        <w:ind w:left="1156" w:hanging="360"/>
      </w:pPr>
    </w:lvl>
    <w:lvl w:ilvl="2" w:tplc="0413001B">
      <w:start w:val="1"/>
      <w:numFmt w:val="lowerRoman"/>
      <w:lvlText w:val="%3."/>
      <w:lvlJc w:val="right"/>
      <w:pPr>
        <w:ind w:left="1876" w:hanging="180"/>
      </w:pPr>
    </w:lvl>
    <w:lvl w:ilvl="3" w:tplc="0413000F">
      <w:start w:val="1"/>
      <w:numFmt w:val="decimal"/>
      <w:lvlText w:val="%4."/>
      <w:lvlJc w:val="left"/>
      <w:pPr>
        <w:ind w:left="2596" w:hanging="360"/>
      </w:pPr>
    </w:lvl>
    <w:lvl w:ilvl="4" w:tplc="04130019">
      <w:start w:val="1"/>
      <w:numFmt w:val="lowerLetter"/>
      <w:lvlText w:val="%5."/>
      <w:lvlJc w:val="left"/>
      <w:pPr>
        <w:ind w:left="3316" w:hanging="360"/>
      </w:pPr>
    </w:lvl>
    <w:lvl w:ilvl="5" w:tplc="0413001B">
      <w:start w:val="1"/>
      <w:numFmt w:val="lowerRoman"/>
      <w:lvlText w:val="%6."/>
      <w:lvlJc w:val="right"/>
      <w:pPr>
        <w:ind w:left="4036" w:hanging="180"/>
      </w:pPr>
    </w:lvl>
    <w:lvl w:ilvl="6" w:tplc="0413000F">
      <w:start w:val="1"/>
      <w:numFmt w:val="decimal"/>
      <w:lvlText w:val="%7."/>
      <w:lvlJc w:val="left"/>
      <w:pPr>
        <w:ind w:left="4756" w:hanging="360"/>
      </w:pPr>
    </w:lvl>
    <w:lvl w:ilvl="7" w:tplc="04130019">
      <w:start w:val="1"/>
      <w:numFmt w:val="lowerLetter"/>
      <w:lvlText w:val="%8."/>
      <w:lvlJc w:val="left"/>
      <w:pPr>
        <w:ind w:left="5476" w:hanging="360"/>
      </w:pPr>
    </w:lvl>
    <w:lvl w:ilvl="8" w:tplc="0413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83"/>
    <w:rsid w:val="00075D83"/>
    <w:rsid w:val="004709AB"/>
    <w:rsid w:val="00D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D83"/>
    <w:pPr>
      <w:spacing w:after="0" w:line="240" w:lineRule="auto"/>
    </w:pPr>
    <w:rPr>
      <w:rFonts w:ascii="Arial" w:eastAsia="Calibri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D83"/>
    <w:pPr>
      <w:spacing w:after="0" w:line="240" w:lineRule="auto"/>
    </w:pPr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Nauta, D.R.</dc:creator>
  <cp:lastModifiedBy>Nauta, D.R.</cp:lastModifiedBy>
  <cp:revision>1</cp:revision>
  <dcterms:created xsi:type="dcterms:W3CDTF">2015-02-20T10:11:00Z</dcterms:created>
  <dcterms:modified xsi:type="dcterms:W3CDTF">2015-02-20T10:17:00Z</dcterms:modified>
</cp:coreProperties>
</file>