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6DCE" w14:textId="77777777" w:rsidR="00E5016C" w:rsidRPr="007E1749" w:rsidRDefault="529D45A1" w:rsidP="529D45A1">
      <w:pPr>
        <w:rPr>
          <w:rFonts w:ascii="Outfit" w:hAnsi="Outfit"/>
          <w:lang w:val="nl-NL"/>
        </w:rPr>
      </w:pPr>
      <w:r w:rsidRPr="007E1749">
        <w:rPr>
          <w:rFonts w:ascii="Outfit" w:hAnsi="Outfit"/>
          <w:lang w:val="nl-NL"/>
        </w:rPr>
        <w:t>Inhoudelijke opdrachtbeschrijving</w:t>
      </w:r>
    </w:p>
    <w:p w14:paraId="7ADC4BA5" w14:textId="77777777" w:rsidR="00E5016C" w:rsidRPr="007E1749" w:rsidRDefault="529D45A1" w:rsidP="529D45A1">
      <w:pPr>
        <w:rPr>
          <w:rFonts w:ascii="Outfit" w:hAnsi="Outfit"/>
          <w:lang w:val="nl-NL"/>
        </w:rPr>
      </w:pPr>
      <w:r w:rsidRPr="007E1749">
        <w:rPr>
          <w:rFonts w:ascii="Outfit" w:hAnsi="Outfit"/>
          <w:lang w:val="nl-NL"/>
        </w:rPr>
        <w:t>Centrale ITSM-omgeving voor Shared Care Noord</w:t>
      </w:r>
    </w:p>
    <w:p w14:paraId="2BD9BEFC" w14:textId="758E483E" w:rsidR="00E5016C" w:rsidRPr="007E1749" w:rsidRDefault="00FE52B6" w:rsidP="529D45A1">
      <w:pPr>
        <w:pStyle w:val="Heading1"/>
        <w:rPr>
          <w:rFonts w:ascii="Outfit" w:hAnsi="Outfit"/>
          <w:lang w:val="nl-NL"/>
        </w:rPr>
      </w:pPr>
      <w:r w:rsidRPr="007E1749">
        <w:rPr>
          <w:rFonts w:ascii="Outfit" w:hAnsi="Outfit"/>
          <w:lang w:val="nl-NL"/>
        </w:rPr>
        <w:t>1</w:t>
      </w:r>
      <w:r w:rsidR="529D45A1" w:rsidRPr="007E1749">
        <w:rPr>
          <w:rFonts w:ascii="Outfit" w:hAnsi="Outfit"/>
          <w:lang w:val="nl-NL"/>
        </w:rPr>
        <w:t>. Beoogde werkwijze</w:t>
      </w:r>
    </w:p>
    <w:p w14:paraId="6F953D77" w14:textId="77777777" w:rsidR="00E5016C" w:rsidRPr="007E1749" w:rsidRDefault="529D45A1" w:rsidP="529D45A1">
      <w:pPr>
        <w:rPr>
          <w:rFonts w:ascii="Outfit" w:hAnsi="Outfit"/>
          <w:lang w:val="nl-NL"/>
        </w:rPr>
      </w:pPr>
      <w:r w:rsidRPr="007E1749">
        <w:rPr>
          <w:rFonts w:ascii="Outfit" w:hAnsi="Outfit"/>
          <w:lang w:val="nl-NL"/>
        </w:rPr>
        <w:t>De gewenste meldingsketen is in de technische intake van 16 september 2026 in hoofdlijnen als volgt beschreven. De exacte proces- en statusafspraken worden in de verdere uitwerking bevestigd.</w:t>
      </w:r>
    </w:p>
    <w:p w14:paraId="2B0C713B"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1.  </w:t>
      </w:r>
      <w:r w:rsidRPr="007E1749">
        <w:rPr>
          <w:rFonts w:ascii="Outfit" w:hAnsi="Outfit"/>
          <w:lang w:val="nl-NL"/>
        </w:rPr>
        <w:t>Een medewerker meldt een incident, vraag of serviceverzoek via het ITSM-kanaal van het eigen ziekenhuis.</w:t>
      </w:r>
    </w:p>
    <w:p w14:paraId="2E116BA9"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2.  </w:t>
      </w:r>
      <w:r w:rsidRPr="007E1749">
        <w:rPr>
          <w:rFonts w:ascii="Outfit" w:hAnsi="Outfit"/>
          <w:lang w:val="nl-NL"/>
        </w:rPr>
        <w:t>Het lokale team beoordeelt de melding, verricht triage en verzamelt waar nodig aanvullende informatie.</w:t>
      </w:r>
    </w:p>
    <w:p w14:paraId="689DE932"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3.  </w:t>
      </w:r>
      <w:r w:rsidRPr="007E1749">
        <w:rPr>
          <w:rFonts w:ascii="Outfit" w:hAnsi="Outfit"/>
          <w:lang w:val="nl-NL"/>
        </w:rPr>
        <w:t>Wanneer een melding betrekking heeft op het gezamenlijk EPD-beheer, draagt het lokale team deze over aan de centrale SCN-omgeving.</w:t>
      </w:r>
    </w:p>
    <w:p w14:paraId="41E01F3D"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4.  </w:t>
      </w:r>
      <w:r w:rsidRPr="007E1749">
        <w:rPr>
          <w:rFonts w:ascii="Outfit" w:hAnsi="Outfit"/>
          <w:lang w:val="nl-NL"/>
        </w:rPr>
        <w:t>De centrale omgeving maakt voor deze overdracht een herkenbaar, gekoppeld ticket beschikbaar, met de afgesproken gegevens, beschikbare historie en relevante bijlagen.</w:t>
      </w:r>
    </w:p>
    <w:p w14:paraId="4E0D8AAA"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5.  </w:t>
      </w:r>
      <w:r w:rsidRPr="007E1749">
        <w:rPr>
          <w:rFonts w:ascii="Outfit" w:hAnsi="Outfit"/>
          <w:lang w:val="nl-NL"/>
        </w:rPr>
        <w:t>Een SCN-behandelaar of behandelgroep neemt het ticket in behandeling en kan onderzoek, voortgang, interne samenwerking en oplossing vastleggen.</w:t>
      </w:r>
    </w:p>
    <w:p w14:paraId="0D86EF09"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6.  </w:t>
      </w:r>
      <w:r w:rsidRPr="007E1749">
        <w:rPr>
          <w:rFonts w:ascii="Outfit" w:hAnsi="Outfit"/>
          <w:lang w:val="nl-NL"/>
        </w:rPr>
        <w:t>Een verzoek om aanvullende informatie, een reactie van de melder en relevante voortgangsgegevens worden via de koppelingen tussen beide systemen doorgegeven.</w:t>
      </w:r>
    </w:p>
    <w:p w14:paraId="339E1184"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7.  </w:t>
      </w:r>
      <w:r w:rsidRPr="007E1749">
        <w:rPr>
          <w:rFonts w:ascii="Outfit" w:hAnsi="Outfit"/>
          <w:lang w:val="nl-NL"/>
        </w:rPr>
        <w:t>SCN meldt het ticket gereed of geeft het terug aan een lokaal IT-team als lokale actie nodig is of het ticket niet binnen SCN thuishoort.</w:t>
      </w:r>
    </w:p>
    <w:p w14:paraId="07CB0698" w14:textId="77777777" w:rsidR="00E5016C" w:rsidRPr="007E1749" w:rsidRDefault="529D45A1" w:rsidP="529D45A1">
      <w:pPr>
        <w:spacing w:after="50"/>
        <w:ind w:left="403" w:hanging="331"/>
        <w:rPr>
          <w:rFonts w:ascii="Outfit" w:hAnsi="Outfit"/>
          <w:lang w:val="nl-NL"/>
        </w:rPr>
      </w:pPr>
      <w:r w:rsidRPr="007E1749">
        <w:rPr>
          <w:rFonts w:ascii="Outfit" w:hAnsi="Outfit"/>
          <w:b/>
          <w:bCs/>
          <w:color w:val="1B6878"/>
          <w:lang w:val="nl-NL"/>
        </w:rPr>
        <w:t xml:space="preserve">8.  </w:t>
      </w:r>
      <w:r w:rsidRPr="007E1749">
        <w:rPr>
          <w:rFonts w:ascii="Outfit" w:hAnsi="Outfit"/>
          <w:lang w:val="nl-NL"/>
        </w:rPr>
        <w:t>De verdere sluiting en een eventuele heropening verlopen volgens nader vast te stellen afspraken voor de betrokken systemen.</w:t>
      </w:r>
    </w:p>
    <w:p w14:paraId="096E734D" w14:textId="77777777" w:rsidR="00E5016C" w:rsidRPr="007E1749" w:rsidRDefault="529D45A1" w:rsidP="529D45A1">
      <w:pPr>
        <w:rPr>
          <w:rFonts w:ascii="Outfit" w:hAnsi="Outfit"/>
          <w:lang w:val="nl-NL"/>
        </w:rPr>
      </w:pPr>
      <w:r w:rsidRPr="007E1749">
        <w:rPr>
          <w:rFonts w:ascii="Outfit" w:hAnsi="Outfit"/>
          <w:lang w:val="nl-NL"/>
        </w:rPr>
        <w:t>Het operationele eigenaarschap van een overgedragen melding ligt tijdens de centrale behandeling bij SCN. Het lokale systeem blijft voor de oorspronkelijke melder zichtbaar. Als SCN een ticket teruggeeft, moet het lokale team de vereiste vervolgactie kunnen herkennen.</w:t>
      </w:r>
    </w:p>
    <w:p w14:paraId="28DA5C8A" w14:textId="3594FBD7" w:rsidR="00E5016C" w:rsidRPr="007E1749" w:rsidRDefault="00400FD2" w:rsidP="529D45A1">
      <w:pPr>
        <w:pStyle w:val="Heading1"/>
        <w:rPr>
          <w:rFonts w:ascii="Outfit" w:hAnsi="Outfit"/>
          <w:lang w:val="nl-NL"/>
        </w:rPr>
      </w:pPr>
      <w:r w:rsidRPr="007E1749">
        <w:rPr>
          <w:rFonts w:ascii="Outfit" w:hAnsi="Outfit"/>
          <w:lang w:val="nl-NL"/>
        </w:rPr>
        <w:t>2</w:t>
      </w:r>
      <w:r w:rsidR="529D45A1" w:rsidRPr="007E1749">
        <w:rPr>
          <w:rFonts w:ascii="Outfit" w:hAnsi="Outfit"/>
          <w:lang w:val="nl-NL"/>
        </w:rPr>
        <w:t>. Inhoud en afbakening van de opdracht</w:t>
      </w:r>
    </w:p>
    <w:p w14:paraId="0494DC34" w14:textId="481F75EA" w:rsidR="00E5016C" w:rsidRPr="007E1749" w:rsidRDefault="5D1C8512" w:rsidP="77CE8B15">
      <w:pPr>
        <w:rPr>
          <w:rFonts w:ascii="Outfit" w:hAnsi="Outfit"/>
          <w:lang w:val="nl-NL"/>
        </w:rPr>
      </w:pPr>
      <w:r w:rsidRPr="007E1749">
        <w:rPr>
          <w:rFonts w:ascii="Outfit" w:hAnsi="Outfit"/>
          <w:lang w:val="nl-NL"/>
        </w:rPr>
        <w:t>De gevraagde prestatie omvat de levering en inrichting van de centrale ITSM-oplossing én het integraalwerkend opleveren van de drie koppelingen met de bestaande lokale ITSM-omgevingen. De centrale omgeving moet geschikt zijn voor de beoogde werkzaamheden van een gezamenlijke beheerorganisatie van indicatief circa 110 beheerders.</w:t>
      </w:r>
    </w:p>
    <w:p w14:paraId="4806BBE6" w14:textId="77777777" w:rsidR="00E5016C" w:rsidRPr="007E1749" w:rsidRDefault="529D45A1" w:rsidP="529D45A1">
      <w:pPr>
        <w:rPr>
          <w:rFonts w:ascii="Outfit" w:hAnsi="Outfit"/>
          <w:lang w:val="nl-NL"/>
        </w:rPr>
      </w:pPr>
      <w:r w:rsidRPr="007E1749">
        <w:rPr>
          <w:rFonts w:ascii="Outfit" w:hAnsi="Outfit"/>
          <w:lang w:val="nl-NL"/>
        </w:rPr>
        <w:t>De leverancier van de centrale ITSM-oplossing is verantwoordelijk voor de integrale realisatie van de koppelingen. De leverancier mag voor benodigde werkzaamheden samenwerken met andere partijen, waaronder partijen met kennis van de bestaande omgevingen. De verantwoordelijkheid voor het werkende resultaat blijft bij de leverancier. In de aanbieding moeten de noodzakelijke werkzaamheden, afhankelijkheden, inzet van eventuele derden en bijbehorende kosten inzichtelijk worden gemaakt.</w:t>
      </w:r>
    </w:p>
    <w:p w14:paraId="63EAE92C" w14:textId="77777777" w:rsidR="00E5016C" w:rsidRPr="007E1749" w:rsidRDefault="529D45A1" w:rsidP="529D45A1">
      <w:pPr>
        <w:rPr>
          <w:rFonts w:ascii="Outfit" w:hAnsi="Outfit"/>
          <w:lang w:val="nl-NL"/>
        </w:rPr>
      </w:pPr>
      <w:r w:rsidRPr="007E1749">
        <w:rPr>
          <w:rFonts w:ascii="Outfit" w:hAnsi="Outfit"/>
          <w:lang w:val="nl-NL"/>
        </w:rPr>
        <w:t>De opdracht betreft niet de vervanging van de lokale ITSM-systemen van UMCG, Treant en OZG, noch de realisatie van de gezamenlijke Epic-EPD-omgeving. De gedetailleerde functionele en integratie-eisen zijn opgenomen in het afzonderlijke Programma van Eisen (Excel).</w:t>
      </w:r>
    </w:p>
    <w:p w14:paraId="005B4A36" w14:textId="77777777" w:rsidR="00400FD2" w:rsidRPr="007E1749" w:rsidRDefault="00400FD2">
      <w:pPr>
        <w:spacing w:after="200"/>
        <w:rPr>
          <w:rFonts w:ascii="Outfit" w:eastAsiaTheme="majorEastAsia" w:hAnsi="Outfit" w:cstheme="majorBidi"/>
          <w:b/>
          <w:bCs/>
          <w:color w:val="183E57"/>
          <w:sz w:val="25"/>
          <w:szCs w:val="28"/>
          <w:lang w:val="nl-NL"/>
        </w:rPr>
      </w:pPr>
      <w:r w:rsidRPr="007E1749">
        <w:rPr>
          <w:rFonts w:ascii="Outfit" w:hAnsi="Outfit"/>
          <w:lang w:val="nl-NL"/>
        </w:rPr>
        <w:br w:type="page"/>
      </w:r>
    </w:p>
    <w:p w14:paraId="598EF527" w14:textId="2F8E478A" w:rsidR="00E5016C" w:rsidRPr="007E1749" w:rsidRDefault="00400FD2" w:rsidP="529D45A1">
      <w:pPr>
        <w:pStyle w:val="Heading1"/>
        <w:rPr>
          <w:rFonts w:ascii="Outfit" w:hAnsi="Outfit"/>
          <w:lang w:val="nl-NL"/>
        </w:rPr>
      </w:pPr>
      <w:r w:rsidRPr="007E1749">
        <w:rPr>
          <w:rFonts w:ascii="Outfit" w:hAnsi="Outfit"/>
          <w:lang w:val="nl-NL"/>
        </w:rPr>
        <w:lastRenderedPageBreak/>
        <w:t>3</w:t>
      </w:r>
      <w:r w:rsidR="529D45A1" w:rsidRPr="007E1749">
        <w:rPr>
          <w:rFonts w:ascii="Outfit" w:hAnsi="Outfit"/>
          <w:lang w:val="nl-NL"/>
        </w:rPr>
        <w:t>. Uitgangspunten voor gegevensuitwisseling</w:t>
      </w:r>
    </w:p>
    <w:p w14:paraId="3C1A97FB" w14:textId="77777777" w:rsidR="00E5016C" w:rsidRPr="007E1749" w:rsidRDefault="529D45A1" w:rsidP="529D45A1">
      <w:pPr>
        <w:rPr>
          <w:rFonts w:ascii="Outfit" w:hAnsi="Outfit"/>
          <w:lang w:val="nl-NL"/>
        </w:rPr>
      </w:pPr>
      <w:r w:rsidRPr="007E1749">
        <w:rPr>
          <w:rFonts w:ascii="Outfit" w:hAnsi="Outfit"/>
          <w:lang w:val="nl-NL"/>
        </w:rPr>
        <w:t>De koppelingen ondersteunen tweerichtingsverkeer. In de technische intake zijn onder meer de volgende gegevens- en processtromen onderscheiden:</w:t>
      </w:r>
    </w:p>
    <w:tbl>
      <w:tblPr>
        <w:tblW w:w="0" w:type="auto"/>
        <w:jc w:val="center"/>
        <w:tblLayout w:type="fixed"/>
        <w:tblLook w:val="04A0" w:firstRow="1" w:lastRow="0" w:firstColumn="1" w:lastColumn="0" w:noHBand="0" w:noVBand="1"/>
      </w:tblPr>
      <w:tblGrid>
        <w:gridCol w:w="2059"/>
        <w:gridCol w:w="7733"/>
      </w:tblGrid>
      <w:tr w:rsidR="00E5016C" w:rsidRPr="007E1749" w14:paraId="67C7D4FC" w14:textId="77777777" w:rsidTr="529D45A1">
        <w:trPr>
          <w:tblHeader/>
          <w:jc w:val="center"/>
        </w:trPr>
        <w:tc>
          <w:tcPr>
            <w:tcW w:w="2059" w:type="dxa"/>
            <w:shd w:val="clear" w:color="auto" w:fill="183E57"/>
            <w:tcMar>
              <w:top w:w="95" w:type="dxa"/>
              <w:left w:w="112" w:type="dxa"/>
              <w:bottom w:w="95" w:type="dxa"/>
              <w:right w:w="110" w:type="dxa"/>
            </w:tcMar>
          </w:tcPr>
          <w:p w14:paraId="78691B6F" w14:textId="77777777" w:rsidR="00E5016C" w:rsidRPr="007E1749" w:rsidRDefault="529D45A1" w:rsidP="529D45A1">
            <w:pPr>
              <w:spacing w:after="0" w:line="264" w:lineRule="auto"/>
              <w:rPr>
                <w:rFonts w:ascii="Outfit" w:hAnsi="Outfit"/>
                <w:b/>
                <w:bCs/>
                <w:color w:val="FFFFFF" w:themeColor="background1"/>
                <w:sz w:val="17"/>
                <w:szCs w:val="17"/>
                <w:lang w:val="nl-NL"/>
              </w:rPr>
            </w:pPr>
            <w:r w:rsidRPr="007E1749">
              <w:rPr>
                <w:rFonts w:ascii="Outfit" w:hAnsi="Outfit"/>
                <w:b/>
                <w:bCs/>
                <w:color w:val="FFFFFF"/>
                <w:sz w:val="17"/>
                <w:szCs w:val="17"/>
                <w:lang w:val="nl-NL"/>
              </w:rPr>
              <w:t>Onderdeel</w:t>
            </w:r>
          </w:p>
        </w:tc>
        <w:tc>
          <w:tcPr>
            <w:tcW w:w="7733" w:type="dxa"/>
            <w:shd w:val="clear" w:color="auto" w:fill="183E57"/>
            <w:tcMar>
              <w:top w:w="95" w:type="dxa"/>
              <w:left w:w="112" w:type="dxa"/>
              <w:bottom w:w="95" w:type="dxa"/>
              <w:right w:w="110" w:type="dxa"/>
            </w:tcMar>
          </w:tcPr>
          <w:p w14:paraId="37B05236" w14:textId="77777777" w:rsidR="00E5016C" w:rsidRPr="007E1749" w:rsidRDefault="529D45A1" w:rsidP="529D45A1">
            <w:pPr>
              <w:spacing w:after="0" w:line="264" w:lineRule="auto"/>
              <w:rPr>
                <w:rFonts w:ascii="Outfit" w:hAnsi="Outfit"/>
                <w:b/>
                <w:bCs/>
                <w:color w:val="FFFFFF" w:themeColor="background1"/>
                <w:sz w:val="17"/>
                <w:szCs w:val="17"/>
                <w:lang w:val="nl-NL"/>
              </w:rPr>
            </w:pPr>
            <w:r w:rsidRPr="007E1749">
              <w:rPr>
                <w:rFonts w:ascii="Outfit" w:hAnsi="Outfit"/>
                <w:b/>
                <w:bCs/>
                <w:color w:val="FFFFFF"/>
                <w:sz w:val="17"/>
                <w:szCs w:val="17"/>
                <w:lang w:val="nl-NL"/>
              </w:rPr>
              <w:t>Gewenst resultaat</w:t>
            </w:r>
          </w:p>
        </w:tc>
      </w:tr>
      <w:tr w:rsidR="00E5016C" w:rsidRPr="007E1749" w14:paraId="365FD24A" w14:textId="77777777" w:rsidTr="529D45A1">
        <w:trPr>
          <w:cantSplit/>
          <w:jc w:val="center"/>
        </w:trPr>
        <w:tc>
          <w:tcPr>
            <w:tcW w:w="2059" w:type="dxa"/>
            <w:tcMar>
              <w:top w:w="85" w:type="dxa"/>
              <w:left w:w="112" w:type="dxa"/>
              <w:bottom w:w="88" w:type="dxa"/>
              <w:right w:w="110" w:type="dxa"/>
            </w:tcMar>
            <w:vAlign w:val="center"/>
          </w:tcPr>
          <w:p w14:paraId="535B6928"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Ticketoverdracht</w:t>
            </w:r>
          </w:p>
        </w:tc>
        <w:tc>
          <w:tcPr>
            <w:tcW w:w="7733" w:type="dxa"/>
            <w:tcMar>
              <w:top w:w="85" w:type="dxa"/>
              <w:left w:w="112" w:type="dxa"/>
              <w:bottom w:w="88" w:type="dxa"/>
              <w:right w:w="110" w:type="dxa"/>
            </w:tcMar>
            <w:vAlign w:val="center"/>
          </w:tcPr>
          <w:p w14:paraId="5FF2F510"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Aanmaken van een centraal ticket op basis van een lokaal beoordeelde EPD-melding, met verwijzing naar de bronorganisatie en het oorspronkelijke ticket.</w:t>
            </w:r>
          </w:p>
        </w:tc>
      </w:tr>
      <w:tr w:rsidR="00E5016C" w:rsidRPr="007E1749" w14:paraId="519B4528" w14:textId="77777777" w:rsidTr="529D45A1">
        <w:trPr>
          <w:cantSplit/>
          <w:jc w:val="center"/>
        </w:trPr>
        <w:tc>
          <w:tcPr>
            <w:tcW w:w="2059" w:type="dxa"/>
            <w:tcMar>
              <w:top w:w="85" w:type="dxa"/>
              <w:left w:w="112" w:type="dxa"/>
              <w:bottom w:w="88" w:type="dxa"/>
              <w:right w:w="110" w:type="dxa"/>
            </w:tcMar>
            <w:vAlign w:val="center"/>
          </w:tcPr>
          <w:p w14:paraId="699A3081"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Inhoud en bijlagen</w:t>
            </w:r>
          </w:p>
        </w:tc>
        <w:tc>
          <w:tcPr>
            <w:tcW w:w="7733" w:type="dxa"/>
            <w:tcMar>
              <w:top w:w="85" w:type="dxa"/>
              <w:left w:w="112" w:type="dxa"/>
              <w:bottom w:w="88" w:type="dxa"/>
              <w:right w:w="110" w:type="dxa"/>
            </w:tcMar>
            <w:vAlign w:val="center"/>
          </w:tcPr>
          <w:p w14:paraId="66800AD7"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Overdracht van omschrijving, toelichting, beschikbare ticketgeschiedenis, melderinformatie en relevante documenten of screenshots.</w:t>
            </w:r>
          </w:p>
        </w:tc>
      </w:tr>
      <w:tr w:rsidR="00E5016C" w:rsidRPr="007E1749" w14:paraId="3BB42AA3" w14:textId="77777777" w:rsidTr="529D45A1">
        <w:trPr>
          <w:cantSplit/>
          <w:jc w:val="center"/>
        </w:trPr>
        <w:tc>
          <w:tcPr>
            <w:tcW w:w="2059" w:type="dxa"/>
            <w:tcMar>
              <w:top w:w="85" w:type="dxa"/>
              <w:left w:w="112" w:type="dxa"/>
              <w:bottom w:w="88" w:type="dxa"/>
              <w:right w:w="110" w:type="dxa"/>
            </w:tcMar>
            <w:vAlign w:val="center"/>
          </w:tcPr>
          <w:p w14:paraId="1B086401"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Communicatie</w:t>
            </w:r>
          </w:p>
        </w:tc>
        <w:tc>
          <w:tcPr>
            <w:tcW w:w="7733" w:type="dxa"/>
            <w:tcMar>
              <w:top w:w="85" w:type="dxa"/>
              <w:left w:w="112" w:type="dxa"/>
              <w:bottom w:w="88" w:type="dxa"/>
              <w:right w:w="110" w:type="dxa"/>
            </w:tcMar>
            <w:vAlign w:val="center"/>
          </w:tcPr>
          <w:p w14:paraId="49B4FD42"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Vragen aan de melder, reacties en opmerkingen uitwisselen zodat de melder het lokale systeem kan blijven gebruiken.</w:t>
            </w:r>
          </w:p>
        </w:tc>
      </w:tr>
      <w:tr w:rsidR="00E5016C" w:rsidRPr="007E1749" w14:paraId="7E05CA27" w14:textId="77777777" w:rsidTr="529D45A1">
        <w:trPr>
          <w:cantSplit/>
          <w:jc w:val="center"/>
        </w:trPr>
        <w:tc>
          <w:tcPr>
            <w:tcW w:w="2059" w:type="dxa"/>
            <w:tcMar>
              <w:top w:w="85" w:type="dxa"/>
              <w:left w:w="112" w:type="dxa"/>
              <w:bottom w:w="88" w:type="dxa"/>
              <w:right w:w="110" w:type="dxa"/>
            </w:tcMar>
            <w:vAlign w:val="center"/>
          </w:tcPr>
          <w:p w14:paraId="1ECB5B43"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Voortgang</w:t>
            </w:r>
          </w:p>
        </w:tc>
        <w:tc>
          <w:tcPr>
            <w:tcW w:w="7733" w:type="dxa"/>
            <w:tcMar>
              <w:top w:w="85" w:type="dxa"/>
              <w:left w:w="112" w:type="dxa"/>
              <w:bottom w:w="88" w:type="dxa"/>
              <w:right w:w="110" w:type="dxa"/>
            </w:tcMar>
            <w:vAlign w:val="center"/>
          </w:tcPr>
          <w:p w14:paraId="7422A344"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Relevante statussen en voortgang in beide richtingen bijwerken, met aandacht voor verschillen in statusmodellen.</w:t>
            </w:r>
          </w:p>
        </w:tc>
      </w:tr>
      <w:tr w:rsidR="00E5016C" w:rsidRPr="007E1749" w14:paraId="06AE653F" w14:textId="77777777" w:rsidTr="529D45A1">
        <w:trPr>
          <w:cantSplit/>
          <w:jc w:val="center"/>
        </w:trPr>
        <w:tc>
          <w:tcPr>
            <w:tcW w:w="2059" w:type="dxa"/>
            <w:tcMar>
              <w:top w:w="85" w:type="dxa"/>
              <w:left w:w="112" w:type="dxa"/>
              <w:bottom w:w="88" w:type="dxa"/>
              <w:right w:w="110" w:type="dxa"/>
            </w:tcMar>
            <w:vAlign w:val="center"/>
          </w:tcPr>
          <w:p w14:paraId="79842215"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Retour en sluiting</w:t>
            </w:r>
          </w:p>
        </w:tc>
        <w:tc>
          <w:tcPr>
            <w:tcW w:w="7733" w:type="dxa"/>
            <w:tcMar>
              <w:top w:w="85" w:type="dxa"/>
              <w:left w:w="112" w:type="dxa"/>
              <w:bottom w:w="88" w:type="dxa"/>
              <w:right w:w="110" w:type="dxa"/>
            </w:tcMar>
            <w:vAlign w:val="center"/>
          </w:tcPr>
          <w:p w14:paraId="340D8A8D"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Tickets kunnen teruggeven aan een lokaal IT-team; gereedmelden, sluiten en heropenen volgens gezamenlijk vast te stellen afspraken.</w:t>
            </w:r>
          </w:p>
        </w:tc>
      </w:tr>
      <w:tr w:rsidR="00E5016C" w:rsidRPr="007E1749" w14:paraId="7FF98320" w14:textId="77777777" w:rsidTr="529D45A1">
        <w:trPr>
          <w:cantSplit/>
          <w:jc w:val="center"/>
        </w:trPr>
        <w:tc>
          <w:tcPr>
            <w:tcW w:w="2059" w:type="dxa"/>
            <w:tcMar>
              <w:top w:w="85" w:type="dxa"/>
              <w:left w:w="112" w:type="dxa"/>
              <w:bottom w:w="88" w:type="dxa"/>
              <w:right w:w="110" w:type="dxa"/>
            </w:tcMar>
            <w:vAlign w:val="center"/>
          </w:tcPr>
          <w:p w14:paraId="5164D8D0" w14:textId="77777777" w:rsidR="00E5016C" w:rsidRPr="007E1749" w:rsidRDefault="529D45A1" w:rsidP="529D45A1">
            <w:pPr>
              <w:spacing w:after="0" w:line="264" w:lineRule="auto"/>
              <w:rPr>
                <w:rFonts w:ascii="Outfit" w:hAnsi="Outfit"/>
                <w:b/>
                <w:bCs/>
                <w:color w:val="1B6878"/>
                <w:sz w:val="18"/>
                <w:szCs w:val="18"/>
                <w:lang w:val="nl-NL"/>
              </w:rPr>
            </w:pPr>
            <w:r w:rsidRPr="007E1749">
              <w:rPr>
                <w:rFonts w:ascii="Outfit" w:hAnsi="Outfit"/>
                <w:b/>
                <w:bCs/>
                <w:color w:val="1B6878"/>
                <w:sz w:val="18"/>
                <w:szCs w:val="18"/>
                <w:lang w:val="nl-NL"/>
              </w:rPr>
              <w:t>Technische beheersing</w:t>
            </w:r>
          </w:p>
        </w:tc>
        <w:tc>
          <w:tcPr>
            <w:tcW w:w="7733" w:type="dxa"/>
            <w:tcMar>
              <w:top w:w="85" w:type="dxa"/>
              <w:left w:w="112" w:type="dxa"/>
              <w:bottom w:w="88" w:type="dxa"/>
              <w:right w:w="110" w:type="dxa"/>
            </w:tcMar>
            <w:vAlign w:val="center"/>
          </w:tcPr>
          <w:p w14:paraId="4F79E9B2" w14:textId="77777777" w:rsidR="00E5016C" w:rsidRPr="007E1749" w:rsidRDefault="529D45A1" w:rsidP="529D45A1">
            <w:pPr>
              <w:spacing w:after="0" w:line="264" w:lineRule="auto"/>
              <w:rPr>
                <w:rFonts w:ascii="Outfit" w:hAnsi="Outfit"/>
                <w:sz w:val="18"/>
                <w:szCs w:val="18"/>
                <w:lang w:val="nl-NL"/>
              </w:rPr>
            </w:pPr>
            <w:r w:rsidRPr="007E1749">
              <w:rPr>
                <w:rFonts w:ascii="Outfit" w:hAnsi="Outfit"/>
                <w:sz w:val="18"/>
                <w:szCs w:val="18"/>
                <w:lang w:val="nl-NL"/>
              </w:rPr>
              <w:t>Herleidbare koppeling tussen tickets, inzicht in foutgevallen, herstelmogelijkheden en beheerbare vertaling van organisatieafhankelijke velden.</w:t>
            </w:r>
          </w:p>
        </w:tc>
      </w:tr>
    </w:tbl>
    <w:p w14:paraId="0A37501D" w14:textId="77777777" w:rsidR="00E5016C" w:rsidRPr="007E1749" w:rsidRDefault="00E5016C" w:rsidP="529D45A1">
      <w:pPr>
        <w:spacing w:after="0"/>
        <w:rPr>
          <w:rFonts w:ascii="Outfit" w:hAnsi="Outfit"/>
          <w:lang w:val="nl-NL"/>
        </w:rPr>
      </w:pPr>
    </w:p>
    <w:p w14:paraId="483E656F" w14:textId="77777777" w:rsidR="00E5016C" w:rsidRPr="007E1749" w:rsidRDefault="529D45A1" w:rsidP="529D45A1">
      <w:pPr>
        <w:rPr>
          <w:rFonts w:ascii="Outfit" w:hAnsi="Outfit"/>
          <w:lang w:val="nl-NL"/>
        </w:rPr>
      </w:pPr>
      <w:r w:rsidRPr="007E1749">
        <w:rPr>
          <w:rFonts w:ascii="Outfit" w:hAnsi="Outfit"/>
          <w:lang w:val="nl-NL"/>
        </w:rPr>
        <w:t>Als voorbereidend uitgangspunt is genoemd dat via de koppelingen geen patiëntinformatie wordt uitgewisseld. Tegelijkertijd kunnen vrije tekstvelden, screenshots of bijlagen onbedoeld gevoelige informatie bevatten. De concrete omgang hiermee moet vóór ingebruikname worden vastgesteld door de betrokken partijen.</w:t>
      </w:r>
    </w:p>
    <w:p w14:paraId="26882F4B" w14:textId="6863222B" w:rsidR="00E5016C" w:rsidRPr="007E1749" w:rsidRDefault="00400FD2" w:rsidP="529D45A1">
      <w:pPr>
        <w:pStyle w:val="Heading1"/>
        <w:rPr>
          <w:rFonts w:ascii="Outfit" w:hAnsi="Outfit"/>
          <w:lang w:val="nl-NL"/>
        </w:rPr>
      </w:pPr>
      <w:r w:rsidRPr="007E1749">
        <w:rPr>
          <w:rFonts w:ascii="Outfit" w:hAnsi="Outfit"/>
          <w:lang w:val="nl-NL"/>
        </w:rPr>
        <w:t>4</w:t>
      </w:r>
      <w:r w:rsidR="529D45A1" w:rsidRPr="007E1749">
        <w:rPr>
          <w:rFonts w:ascii="Outfit" w:hAnsi="Outfit"/>
          <w:lang w:val="nl-NL"/>
        </w:rPr>
        <w:t>. Planning en oplevering</w:t>
      </w:r>
    </w:p>
    <w:p w14:paraId="0EC24F6D" w14:textId="77777777" w:rsidR="00E5016C" w:rsidRPr="007E1749" w:rsidRDefault="529D45A1" w:rsidP="529D45A1">
      <w:pPr>
        <w:rPr>
          <w:rFonts w:ascii="Outfit" w:hAnsi="Outfit"/>
          <w:lang w:val="nl-NL"/>
        </w:rPr>
      </w:pPr>
      <w:r w:rsidRPr="007E1749">
        <w:rPr>
          <w:rFonts w:ascii="Outfit" w:hAnsi="Outfit"/>
          <w:lang w:val="nl-NL"/>
        </w:rPr>
        <w:t>De centrale ITSM-omgeving en de koppelingen met UMCG, Treant en OZG moeten uiterlijk eind maart 2027 gerealiseerd, getest en geaccepteerd zijn voor productiegebruik. Op dat moment start UMCG met de gezamenlijke Epic-omgeving.</w:t>
      </w:r>
    </w:p>
    <w:p w14:paraId="2B232002" w14:textId="77777777" w:rsidR="00E5016C" w:rsidRPr="007E1749" w:rsidRDefault="529D45A1" w:rsidP="529D45A1">
      <w:pPr>
        <w:rPr>
          <w:rFonts w:ascii="Outfit" w:hAnsi="Outfit"/>
          <w:lang w:val="nl-NL"/>
        </w:rPr>
      </w:pPr>
      <w:r w:rsidRPr="007E1749">
        <w:rPr>
          <w:rFonts w:ascii="Outfit" w:hAnsi="Outfit"/>
          <w:lang w:val="nl-NL"/>
        </w:rPr>
        <w:t>Treant en OZG sluiten volgens de huidige planning op 11 juni 2027 aan op het gezamenlijke Epic. De periode tussen de start van UMCG en deze aansluiting kan benut worden voor verdere praktijk- en ketentesten van zowel de nieuwe EPD-omgeving als de ITSM-afhandeling en -koppelingen. Het uitgangspunt is dat de benodigde koppelingen in die periode niet eerst nog ontwikkeld hoeven te worden.</w:t>
      </w:r>
    </w:p>
    <w:p w14:paraId="4C43BE84" w14:textId="77777777" w:rsidR="00E5016C" w:rsidRPr="007E1749" w:rsidRDefault="529D45A1" w:rsidP="529D45A1">
      <w:pPr>
        <w:rPr>
          <w:rFonts w:ascii="Outfit" w:hAnsi="Outfit"/>
          <w:lang w:val="nl-NL"/>
        </w:rPr>
      </w:pPr>
      <w:r w:rsidRPr="007E1749">
        <w:rPr>
          <w:rFonts w:ascii="Outfit" w:hAnsi="Outfit"/>
          <w:lang w:val="nl-NL"/>
        </w:rPr>
        <w:t>De aanbieding moet inzicht bieden in de haalbaarheid van deze oplevering, de afhankelijkheden tussen de leverancier en de betrokken ziekenhuizen, de wijze van testen en de daarvoor benodigde inzet. De concrete acceptatiescenario’s, procesafspraken en formele acceptatieprocedure worden in de verdere voorbereiding vastgesteld.</w:t>
      </w:r>
    </w:p>
    <w:p w14:paraId="2EDFB07B" w14:textId="578AB3FB" w:rsidR="00E5016C" w:rsidRPr="007E1749" w:rsidRDefault="00400FD2" w:rsidP="529D45A1">
      <w:pPr>
        <w:pStyle w:val="Heading1"/>
        <w:pageBreakBefore/>
        <w:rPr>
          <w:rFonts w:ascii="Outfit" w:hAnsi="Outfit"/>
          <w:lang w:val="nl-NL"/>
        </w:rPr>
      </w:pPr>
      <w:r w:rsidRPr="007E1749">
        <w:rPr>
          <w:rFonts w:ascii="Outfit" w:hAnsi="Outfit"/>
          <w:lang w:val="nl-NL"/>
        </w:rPr>
        <w:lastRenderedPageBreak/>
        <w:t>5</w:t>
      </w:r>
      <w:r w:rsidR="529D45A1" w:rsidRPr="007E1749">
        <w:rPr>
          <w:rFonts w:ascii="Outfit" w:hAnsi="Outfit"/>
          <w:lang w:val="nl-NL"/>
        </w:rPr>
        <w:t>. Gebruikers en overgang</w:t>
      </w:r>
    </w:p>
    <w:p w14:paraId="0D099E5C" w14:textId="77777777" w:rsidR="00E5016C" w:rsidRPr="007E1749" w:rsidRDefault="529D45A1" w:rsidP="529D45A1">
      <w:pPr>
        <w:rPr>
          <w:rFonts w:ascii="Outfit" w:hAnsi="Outfit"/>
          <w:lang w:val="nl-NL"/>
        </w:rPr>
      </w:pPr>
      <w:r w:rsidRPr="007E1749">
        <w:rPr>
          <w:rFonts w:ascii="Outfit" w:hAnsi="Outfit"/>
          <w:lang w:val="nl-NL"/>
        </w:rPr>
        <w:t>Voor de toekomstige beheerorganisatie wordt uitgegaan van indicatief circa 110 medewerkers die met de centrale ITSM-omgeving gaan werken. Naar huidige verwachting zijn circa 80 van deze medewerkers afkomstig van UMCG. Zij zijn betrokken bij het UMCG-beheer en de lopende invoering van TOPdesk, inclusief bijbehorende opleiding.</w:t>
      </w:r>
    </w:p>
    <w:p w14:paraId="667F5374" w14:textId="4FA81B38" w:rsidR="00E5016C" w:rsidRPr="004852B2" w:rsidRDefault="529D45A1" w:rsidP="529D45A1">
      <w:pPr>
        <w:rPr>
          <w:rFonts w:ascii="Outfit" w:hAnsi="Outfit"/>
          <w:lang w:val="nl-NL"/>
        </w:rPr>
      </w:pPr>
      <w:r w:rsidRPr="007E1749">
        <w:rPr>
          <w:rFonts w:ascii="Outfit" w:hAnsi="Outfit"/>
          <w:lang w:val="nl-NL"/>
        </w:rPr>
        <w:t>Bij het bepalen van de benodigde invoeringsactiviteiten en kosten is deze bestaande kennispositie relevant. De leverancier wordt gevraagd de benodigde opleiding, begeleiding en aanvullende inspanning voor de aangeboden oplossing inzichtelijk te maken. Hiermee kan de feitelijke overgangsinspanning worden vergeleken zonder één leverancier of product voor te schrijven.</w:t>
      </w:r>
    </w:p>
    <w:sectPr w:rsidR="00E5016C" w:rsidRPr="004852B2" w:rsidSect="00034616">
      <w:headerReference w:type="even" r:id="rId11"/>
      <w:headerReference w:type="default" r:id="rId12"/>
      <w:footerReference w:type="even" r:id="rId13"/>
      <w:footerReference w:type="default" r:id="rId14"/>
      <w:headerReference w:type="first" r:id="rId15"/>
      <w:footerReference w:type="first" r:id="rId16"/>
      <w:pgSz w:w="12240" w:h="15840"/>
      <w:pgMar w:top="1109" w:right="1181" w:bottom="965" w:left="1181" w:header="504"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01CC" w14:textId="77777777" w:rsidR="00400D26" w:rsidRDefault="00400D26">
      <w:pPr>
        <w:spacing w:after="0" w:line="240" w:lineRule="auto"/>
        <w:rPr>
          <w:rFonts w:hint="eastAsia"/>
        </w:rPr>
      </w:pPr>
      <w:r>
        <w:separator/>
      </w:r>
    </w:p>
  </w:endnote>
  <w:endnote w:type="continuationSeparator" w:id="0">
    <w:p w14:paraId="6E91ED42" w14:textId="77777777" w:rsidR="00400D26" w:rsidRDefault="00400D2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Outfit">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AACA" w14:textId="77777777" w:rsidR="004852B2" w:rsidRDefault="004852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9E80" w14:textId="023F1182" w:rsidR="00083210" w:rsidRDefault="00083210">
    <w:pPr>
      <w:pStyle w:val="Voettekst"/>
      <w:jc w:val="right"/>
      <w:rPr>
        <w:rFonts w:hint="eastAsia"/>
      </w:rPr>
    </w:pPr>
    <w:r>
      <w:rPr>
        <w:color w:val="546B77"/>
        <w:sz w:val="15"/>
      </w:rPr>
      <w:t>inhoudelijke opdrachtbeschrijving  |  v</w:t>
    </w:r>
    <w:r w:rsidR="00F45B1E">
      <w:rPr>
        <w:color w:val="546B77"/>
        <w:sz w:val="15"/>
      </w:rPr>
      <w:t>1.0</w:t>
    </w:r>
    <w:r>
      <w:rPr>
        <w:color w:val="546B77"/>
        <w:sz w:val="15"/>
      </w:rPr>
      <w:t xml:space="preserve">  ·  </w:t>
    </w:r>
    <w:r>
      <w:fldChar w:fldCharType="begin"/>
    </w:r>
    <w:r>
      <w:instrText>PAGE</w:instrText>
    </w:r>
    <w:r>
      <w:rPr>
        <w:rFonts w:hint="eastAsia"/>
      </w:rP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3D2F" w14:textId="77777777" w:rsidR="004852B2" w:rsidRDefault="004852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EA8C" w14:textId="77777777" w:rsidR="00400D26" w:rsidRDefault="00400D26">
      <w:pPr>
        <w:spacing w:after="0" w:line="240" w:lineRule="auto"/>
        <w:rPr>
          <w:rFonts w:hint="eastAsia"/>
        </w:rPr>
      </w:pPr>
      <w:r>
        <w:separator/>
      </w:r>
    </w:p>
  </w:footnote>
  <w:footnote w:type="continuationSeparator" w:id="0">
    <w:p w14:paraId="05D9236C" w14:textId="77777777" w:rsidR="00400D26" w:rsidRDefault="00400D2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739A" w14:textId="77777777" w:rsidR="004852B2" w:rsidRDefault="004852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18B7" w14:textId="77777777" w:rsidR="00083210" w:rsidRDefault="00083210" w:rsidP="1DC68B60">
    <w:pPr>
      <w:pStyle w:val="Koptekst"/>
      <w:jc w:val="right"/>
      <w:rPr>
        <w:rFonts w:hint="eastAsia"/>
        <w:b/>
        <w:bCs/>
        <w:color w:val="546B77"/>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0CF6" w14:textId="77777777" w:rsidR="004852B2" w:rsidRDefault="004852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5828304">
    <w:abstractNumId w:val="7"/>
  </w:num>
  <w:num w:numId="2" w16cid:durableId="1326317750">
    <w:abstractNumId w:val="4"/>
  </w:num>
  <w:num w:numId="3" w16cid:durableId="1394697674">
    <w:abstractNumId w:val="5"/>
  </w:num>
  <w:num w:numId="4" w16cid:durableId="1733263230">
    <w:abstractNumId w:val="0"/>
  </w:num>
  <w:num w:numId="5" w16cid:durableId="1734892625">
    <w:abstractNumId w:val="3"/>
  </w:num>
  <w:num w:numId="6" w16cid:durableId="1850943917">
    <w:abstractNumId w:val="1"/>
  </w:num>
  <w:num w:numId="7" w16cid:durableId="1917589612">
    <w:abstractNumId w:val="6"/>
  </w:num>
  <w:num w:numId="8" w16cid:durableId="2144494347">
    <w:abstractNumId w:val="2"/>
  </w:num>
  <w:num w:numId="9" w16cid:durableId="373117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210"/>
    <w:rsid w:val="000F0CDB"/>
    <w:rsid w:val="0015074B"/>
    <w:rsid w:val="00263E1A"/>
    <w:rsid w:val="0029639D"/>
    <w:rsid w:val="002C6781"/>
    <w:rsid w:val="00326F90"/>
    <w:rsid w:val="00353EC6"/>
    <w:rsid w:val="003C3CAF"/>
    <w:rsid w:val="00400D26"/>
    <w:rsid w:val="00400FD2"/>
    <w:rsid w:val="004852B2"/>
    <w:rsid w:val="00486E05"/>
    <w:rsid w:val="006E3970"/>
    <w:rsid w:val="0078549C"/>
    <w:rsid w:val="00794BA8"/>
    <w:rsid w:val="0079510B"/>
    <w:rsid w:val="007E1749"/>
    <w:rsid w:val="007E7B4E"/>
    <w:rsid w:val="00886D6E"/>
    <w:rsid w:val="009C3806"/>
    <w:rsid w:val="009C6762"/>
    <w:rsid w:val="00A106AB"/>
    <w:rsid w:val="00AA1D8D"/>
    <w:rsid w:val="00AE61D3"/>
    <w:rsid w:val="00B47730"/>
    <w:rsid w:val="00C42163"/>
    <w:rsid w:val="00C70802"/>
    <w:rsid w:val="00CB0664"/>
    <w:rsid w:val="00DA6055"/>
    <w:rsid w:val="00E5016C"/>
    <w:rsid w:val="00E82E12"/>
    <w:rsid w:val="00F07F65"/>
    <w:rsid w:val="00F45B1E"/>
    <w:rsid w:val="00FB4FE1"/>
    <w:rsid w:val="00FC693F"/>
    <w:rsid w:val="00FE52B6"/>
    <w:rsid w:val="09B099DE"/>
    <w:rsid w:val="1DC68B60"/>
    <w:rsid w:val="529D45A1"/>
    <w:rsid w:val="5D1C8512"/>
    <w:rsid w:val="6189D6DA"/>
    <w:rsid w:val="67BC4908"/>
    <w:rsid w:val="70D5E080"/>
    <w:rsid w:val="77CE8B15"/>
    <w:rsid w:val="7DA0EE98"/>
    <w:rsid w:val="7EE82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CC13239-0CBC-4E98-A396-A798D643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90"/>
    </w:pPr>
    <w:rPr>
      <w:rFonts w:ascii="Aptos" w:hAnsi="Aptos"/>
      <w:color w:val="253642"/>
      <w:sz w:val="20"/>
    </w:rPr>
  </w:style>
  <w:style w:type="paragraph" w:styleId="Heading1">
    <w:name w:val="Heading 1"/>
    <w:basedOn w:val="Standaard"/>
    <w:next w:val="Standaard"/>
    <w:uiPriority w:val="9"/>
    <w:qFormat/>
    <w:rsid w:val="00FC693F"/>
    <w:pPr>
      <w:keepNext/>
      <w:keepLines/>
      <w:spacing w:before="280" w:after="100"/>
      <w:outlineLvl w:val="0"/>
    </w:pPr>
    <w:rPr>
      <w:rFonts w:asciiTheme="majorHAnsi" w:eastAsiaTheme="majorEastAsia" w:hAnsiTheme="majorHAnsi" w:cstheme="majorBidi"/>
      <w:b/>
      <w:bCs/>
      <w:color w:val="183E57"/>
      <w:sz w:val="25"/>
      <w:szCs w:val="28"/>
    </w:rPr>
  </w:style>
  <w:style w:type="paragraph" w:styleId="Heading2">
    <w:name w:val="Heading 2"/>
    <w:basedOn w:val="Standaard"/>
    <w:next w:val="Standaard"/>
    <w:uiPriority w:val="9"/>
    <w:unhideWhenUsed/>
    <w:qFormat/>
    <w:rsid w:val="00FC693F"/>
    <w:pPr>
      <w:keepNext/>
      <w:keepLines/>
      <w:spacing w:before="180" w:after="80"/>
      <w:outlineLvl w:val="1"/>
    </w:pPr>
    <w:rPr>
      <w:rFonts w:asciiTheme="majorHAnsi" w:eastAsiaTheme="majorEastAsia" w:hAnsiTheme="majorHAnsi" w:cstheme="majorBidi"/>
      <w:b/>
      <w:bCs/>
      <w:color w:val="1B6878"/>
      <w:sz w:val="21"/>
      <w:szCs w:val="26"/>
    </w:rPr>
  </w:style>
  <w:style w:type="paragraph" w:styleId="Heading3">
    <w:name w:val="Heading 3"/>
    <w:basedOn w:val="Standaard"/>
    <w:next w:val="Standaard"/>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Standaard"/>
    <w:next w:val="Standaar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Standaard"/>
    <w:next w:val="Standaar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Standaard"/>
    <w:next w:val="Standaar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Standaard"/>
    <w:next w:val="Standaar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Koptekst">
    <w:name w:val="header"/>
    <w:basedOn w:val="Standaard"/>
    <w:link w:val="KoptekstChar1"/>
    <w:uiPriority w:val="99"/>
    <w:unhideWhenUsed/>
    <w:rsid w:val="004852B2"/>
    <w:pPr>
      <w:tabs>
        <w:tab w:val="center" w:pos="4536"/>
        <w:tab w:val="right" w:pos="9072"/>
      </w:tabs>
      <w:spacing w:after="0" w:line="240" w:lineRule="auto"/>
    </w:pPr>
  </w:style>
  <w:style w:type="character" w:customStyle="1" w:styleId="KoptekstChar1">
    <w:name w:val="Koptekst Char1"/>
    <w:basedOn w:val="DefaultParagraphFont"/>
    <w:link w:val="Koptekst"/>
    <w:uiPriority w:val="99"/>
    <w:rsid w:val="004852B2"/>
    <w:rPr>
      <w:rFonts w:ascii="Aptos" w:hAnsi="Aptos"/>
      <w:color w:val="253642"/>
      <w:sz w:val="20"/>
    </w:rPr>
  </w:style>
  <w:style w:type="paragraph" w:styleId="Voettekst">
    <w:name w:val="footer"/>
    <w:basedOn w:val="Standaard"/>
    <w:link w:val="VoettekstChar1"/>
    <w:uiPriority w:val="99"/>
    <w:unhideWhenUsed/>
    <w:rsid w:val="004852B2"/>
    <w:pPr>
      <w:tabs>
        <w:tab w:val="center" w:pos="4536"/>
        <w:tab w:val="right" w:pos="9072"/>
      </w:tabs>
      <w:spacing w:after="0" w:line="240" w:lineRule="auto"/>
    </w:pPr>
  </w:style>
  <w:style w:type="character" w:customStyle="1" w:styleId="VoettekstChar1">
    <w:name w:val="Voettekst Char1"/>
    <w:basedOn w:val="DefaultParagraphFont"/>
    <w:link w:val="Voettekst"/>
    <w:uiPriority w:val="99"/>
    <w:rsid w:val="004852B2"/>
    <w:rPr>
      <w:rFonts w:ascii="Aptos" w:hAnsi="Aptos"/>
      <w:color w:val="253642"/>
      <w:sz w:val="20"/>
    </w:rPr>
  </w:style>
  <w:style w:type="paragraph" w:styleId="NoSpacing">
    <w:name w:val="No Spacing"/>
    <w:uiPriority w:val="1"/>
    <w:qFormat/>
    <w:rsid w:val="00FC693F"/>
    <w:pPr>
      <w:spacing w:after="0" w:line="240" w:lineRule="auto"/>
    </w:pPr>
  </w:style>
  <w:style w:type="paragraph" w:styleId="ListParagraph">
    <w:name w:val="List Paragraph"/>
    <w:basedOn w:val="Standaard"/>
    <w:uiPriority w:val="34"/>
    <w:qFormat/>
    <w:rsid w:val="00FC693F"/>
    <w:pPr>
      <w:ind w:left="720"/>
      <w:contextualSpacing/>
    </w:pPr>
  </w:style>
  <w:style w:type="paragraph" w:styleId="List">
    <w:name w:val="List"/>
    <w:basedOn w:val="Standaard"/>
    <w:uiPriority w:val="99"/>
    <w:unhideWhenUsed/>
    <w:rsid w:val="00AA1D8D"/>
    <w:pPr>
      <w:ind w:left="360" w:hanging="360"/>
      <w:contextualSpacing/>
    </w:pPr>
  </w:style>
  <w:style w:type="paragraph" w:styleId="List2">
    <w:name w:val="List 2"/>
    <w:basedOn w:val="Standaard"/>
    <w:uiPriority w:val="99"/>
    <w:unhideWhenUsed/>
    <w:rsid w:val="00326F90"/>
    <w:pPr>
      <w:ind w:left="720" w:hanging="360"/>
      <w:contextualSpacing/>
    </w:pPr>
  </w:style>
  <w:style w:type="paragraph" w:styleId="List3">
    <w:name w:val="List 3"/>
    <w:basedOn w:val="Standaard"/>
    <w:uiPriority w:val="99"/>
    <w:unhideWhenUsed/>
    <w:rsid w:val="00326F90"/>
    <w:pPr>
      <w:ind w:left="1080" w:hanging="360"/>
      <w:contextualSpacing/>
    </w:pPr>
  </w:style>
  <w:style w:type="paragraph" w:styleId="ListBullet">
    <w:name w:val="List Bullet"/>
    <w:basedOn w:val="Standaard"/>
    <w:uiPriority w:val="99"/>
    <w:unhideWhenUsed/>
    <w:rsid w:val="00326F90"/>
    <w:pPr>
      <w:numPr>
        <w:numId w:val="9"/>
      </w:numPr>
      <w:contextualSpacing/>
    </w:pPr>
  </w:style>
  <w:style w:type="paragraph" w:styleId="ListBullet2">
    <w:name w:val="List Bullet 2"/>
    <w:basedOn w:val="Standaard"/>
    <w:uiPriority w:val="99"/>
    <w:unhideWhenUsed/>
    <w:rsid w:val="00326F90"/>
    <w:pPr>
      <w:numPr>
        <w:numId w:val="7"/>
      </w:numPr>
      <w:contextualSpacing/>
    </w:pPr>
  </w:style>
  <w:style w:type="paragraph" w:styleId="ListBullet3">
    <w:name w:val="List Bullet 3"/>
    <w:basedOn w:val="Standaard"/>
    <w:uiPriority w:val="99"/>
    <w:unhideWhenUsed/>
    <w:rsid w:val="00326F90"/>
    <w:pPr>
      <w:numPr>
        <w:numId w:val="3"/>
      </w:numPr>
      <w:contextualSpacing/>
    </w:pPr>
  </w:style>
  <w:style w:type="paragraph" w:styleId="ListNumber">
    <w:name w:val="List Number"/>
    <w:basedOn w:val="Standaard"/>
    <w:uiPriority w:val="99"/>
    <w:unhideWhenUsed/>
    <w:rsid w:val="00326F90"/>
    <w:pPr>
      <w:numPr>
        <w:numId w:val="1"/>
      </w:numPr>
      <w:contextualSpacing/>
    </w:pPr>
  </w:style>
  <w:style w:type="paragraph" w:styleId="ListNumber2">
    <w:name w:val="List Number 2"/>
    <w:basedOn w:val="Standaard"/>
    <w:uiPriority w:val="99"/>
    <w:unhideWhenUsed/>
    <w:rsid w:val="0029639D"/>
    <w:pPr>
      <w:numPr>
        <w:numId w:val="5"/>
      </w:numPr>
      <w:contextualSpacing/>
    </w:pPr>
  </w:style>
  <w:style w:type="paragraph" w:styleId="ListNumber3">
    <w:name w:val="List Number 3"/>
    <w:basedOn w:val="Standaard"/>
    <w:uiPriority w:val="99"/>
    <w:unhideWhenUsed/>
    <w:rsid w:val="0029639D"/>
    <w:pPr>
      <w:numPr>
        <w:numId w:val="8"/>
      </w:numPr>
      <w:contextualSpacing/>
    </w:pPr>
  </w:style>
  <w:style w:type="paragraph" w:styleId="ListContinue">
    <w:name w:val="List Continue"/>
    <w:basedOn w:val="Standaard"/>
    <w:uiPriority w:val="99"/>
    <w:unhideWhenUsed/>
    <w:rsid w:val="0029639D"/>
    <w:pPr>
      <w:spacing w:after="120"/>
      <w:ind w:left="360"/>
      <w:contextualSpacing/>
    </w:pPr>
  </w:style>
  <w:style w:type="paragraph" w:styleId="ListContinue2">
    <w:name w:val="List Continue 2"/>
    <w:basedOn w:val="Standaard"/>
    <w:uiPriority w:val="99"/>
    <w:unhideWhenUsed/>
    <w:rsid w:val="0029639D"/>
    <w:pPr>
      <w:spacing w:after="120"/>
      <w:ind w:left="720"/>
      <w:contextualSpacing/>
    </w:pPr>
  </w:style>
  <w:style w:type="paragraph" w:styleId="ListContinue3">
    <w:name w:val="List Continue 3"/>
    <w:basedOn w:val="Standaard"/>
    <w:uiPriority w:val="99"/>
    <w:unhideWhenUsed/>
    <w:rsid w:val="0029639D"/>
    <w:pPr>
      <w:spacing w:after="120"/>
      <w:ind w:left="1080"/>
      <w:contextualSpacing/>
    </w:pPr>
  </w:style>
  <w:style w:type="paragraph" w:styleId="Caption">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Standaard"/>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Comment Reference"/>
    <w:basedOn w:val="DefaultParagraphFont"/>
    <w:uiPriority w:val="99"/>
    <w:semiHidden/>
    <w:unhideWhenUsed/>
    <w:rPr>
      <w:sz w:val="16"/>
      <w:szCs w:val="16"/>
    </w:rPr>
  </w:style>
  <w:style w:type="character" w:customStyle="1" w:styleId="KoptekstChar">
    <w:name w:val="Koptekst Char"/>
    <w:basedOn w:val="DefaultParagraphFont"/>
    <w:uiPriority w:val="99"/>
    <w:rsid w:val="003C3CAF"/>
  </w:style>
  <w:style w:type="character" w:customStyle="1" w:styleId="VoettekstChar">
    <w:name w:val="Voettekst Char"/>
    <w:basedOn w:val="DefaultParagraphFont"/>
    <w:uiPriority w:val="99"/>
    <w:rsid w:val="003C3CAF"/>
  </w:style>
  <w:style w:type="character" w:customStyle="1" w:styleId="Kop1Char">
    <w:name w:val="Kop 1 Char"/>
    <w:basedOn w:val="DefaultParagraphFont"/>
    <w:uiPriority w:val="9"/>
    <w:rsid w:val="003C3CA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DefaultParagraphFont"/>
    <w:uiPriority w:val="9"/>
    <w:rsid w:val="003C3CAF"/>
    <w:rPr>
      <w:rFonts w:asciiTheme="majorHAnsi" w:eastAsiaTheme="majorEastAsia" w:hAnsiTheme="majorHAnsi" w:cstheme="majorBidi"/>
      <w:b/>
      <w:bCs/>
      <w:color w:val="4F81BD" w:themeColor="accent1"/>
      <w:sz w:val="26"/>
      <w:szCs w:val="26"/>
    </w:rPr>
  </w:style>
  <w:style w:type="character" w:customStyle="1" w:styleId="Kop3Char">
    <w:name w:val="Kop 3 Char"/>
    <w:basedOn w:val="DefaultParagraphFont"/>
    <w:uiPriority w:val="9"/>
    <w:rsid w:val="003C3CAF"/>
    <w:rPr>
      <w:rFonts w:asciiTheme="majorHAnsi" w:eastAsiaTheme="majorEastAsia" w:hAnsiTheme="majorHAnsi" w:cstheme="majorBidi"/>
      <w:b/>
      <w:bCs/>
      <w:color w:val="4F81BD" w:themeColor="accent1"/>
    </w:rPr>
  </w:style>
  <w:style w:type="character" w:customStyle="1" w:styleId="TitelChar">
    <w:name w:val="Titel Char"/>
    <w:basedOn w:val="DefaultParagraphFont"/>
    <w:uiPriority w:val="10"/>
    <w:rsid w:val="003C3CAF"/>
    <w:rPr>
      <w:rFonts w:asciiTheme="majorHAnsi" w:eastAsiaTheme="majorEastAsia" w:hAnsiTheme="majorHAnsi" w:cstheme="majorBidi"/>
      <w:color w:val="17365D" w:themeColor="text2" w:themeShade="BF"/>
      <w:spacing w:val="5"/>
      <w:kern w:val="28"/>
      <w:sz w:val="52"/>
      <w:szCs w:val="52"/>
    </w:rPr>
  </w:style>
  <w:style w:type="character" w:customStyle="1" w:styleId="OndertitelChar">
    <w:name w:val="Ondertitel Char"/>
    <w:basedOn w:val="DefaultParagraphFont"/>
    <w:uiPriority w:val="11"/>
    <w:rsid w:val="003C3CAF"/>
    <w:rPr>
      <w:rFonts w:asciiTheme="majorHAnsi" w:eastAsiaTheme="majorEastAsia" w:hAnsiTheme="majorHAnsi" w:cstheme="majorBidi"/>
      <w:i/>
      <w:iCs/>
      <w:color w:val="4F81BD" w:themeColor="accent1"/>
      <w:spacing w:val="15"/>
      <w:sz w:val="24"/>
      <w:szCs w:val="24"/>
    </w:rPr>
  </w:style>
  <w:style w:type="character" w:customStyle="1" w:styleId="PlattetekstChar">
    <w:name w:val="Platte tekst Char"/>
    <w:basedOn w:val="DefaultParagraphFont"/>
    <w:uiPriority w:val="99"/>
    <w:rsid w:val="003C3CAF"/>
  </w:style>
  <w:style w:type="character" w:customStyle="1" w:styleId="Plattetekst2Char">
    <w:name w:val="Platte tekst 2 Char"/>
    <w:basedOn w:val="DefaultParagraphFont"/>
    <w:uiPriority w:val="99"/>
    <w:rsid w:val="003C3CAF"/>
  </w:style>
  <w:style w:type="character" w:customStyle="1" w:styleId="Plattetekst3Char">
    <w:name w:val="Platte tekst 3 Char"/>
    <w:basedOn w:val="DefaultParagraphFont"/>
    <w:uiPriority w:val="99"/>
    <w:rsid w:val="003C3CAF"/>
    <w:rPr>
      <w:sz w:val="16"/>
      <w:szCs w:val="16"/>
    </w:rPr>
  </w:style>
  <w:style w:type="character" w:customStyle="1" w:styleId="MacrotekstChar">
    <w:name w:val="Macrotekst Char"/>
    <w:basedOn w:val="DefaultParagraphFont"/>
    <w:uiPriority w:val="99"/>
    <w:rsid w:val="003C3CAF"/>
    <w:rPr>
      <w:rFonts w:ascii="Courier" w:hAnsi="Courier"/>
      <w:sz w:val="20"/>
      <w:szCs w:val="20"/>
    </w:rPr>
  </w:style>
  <w:style w:type="character" w:customStyle="1" w:styleId="CitaatChar">
    <w:name w:val="Citaat Char"/>
    <w:basedOn w:val="DefaultParagraphFont"/>
    <w:uiPriority w:val="29"/>
    <w:rsid w:val="003C3CAF"/>
    <w:rPr>
      <w:i/>
      <w:iCs/>
      <w:color w:val="000000" w:themeColor="text1"/>
    </w:rPr>
  </w:style>
  <w:style w:type="character" w:customStyle="1" w:styleId="Kop4Char">
    <w:name w:val="Kop 4 Char"/>
    <w:basedOn w:val="DefaultParagraphFont"/>
    <w:uiPriority w:val="9"/>
    <w:semiHidden/>
    <w:rsid w:val="003C3CAF"/>
    <w:rPr>
      <w:rFonts w:asciiTheme="majorHAnsi" w:eastAsiaTheme="majorEastAsia" w:hAnsiTheme="majorHAnsi" w:cstheme="majorBidi"/>
      <w:b/>
      <w:bCs/>
      <w:i/>
      <w:iCs/>
      <w:color w:val="4F81BD" w:themeColor="accent1"/>
    </w:rPr>
  </w:style>
  <w:style w:type="character" w:customStyle="1" w:styleId="Kop5Char">
    <w:name w:val="Kop 5 Char"/>
    <w:basedOn w:val="DefaultParagraphFont"/>
    <w:uiPriority w:val="9"/>
    <w:semiHidden/>
    <w:rsid w:val="003C3CAF"/>
    <w:rPr>
      <w:rFonts w:asciiTheme="majorHAnsi" w:eastAsiaTheme="majorEastAsia" w:hAnsiTheme="majorHAnsi" w:cstheme="majorBidi"/>
      <w:color w:val="243F60" w:themeColor="accent1" w:themeShade="7F"/>
    </w:rPr>
  </w:style>
  <w:style w:type="character" w:customStyle="1" w:styleId="Kop6Char">
    <w:name w:val="Kop 6 Char"/>
    <w:basedOn w:val="DefaultParagraphFont"/>
    <w:uiPriority w:val="9"/>
    <w:semiHidden/>
    <w:rsid w:val="003C3CAF"/>
    <w:rPr>
      <w:rFonts w:asciiTheme="majorHAnsi" w:eastAsiaTheme="majorEastAsia" w:hAnsiTheme="majorHAnsi" w:cstheme="majorBidi"/>
      <w:i/>
      <w:iCs/>
      <w:color w:val="243F60" w:themeColor="accent1" w:themeShade="7F"/>
    </w:rPr>
  </w:style>
  <w:style w:type="character" w:customStyle="1" w:styleId="Kop7Char">
    <w:name w:val="Kop 7 Char"/>
    <w:basedOn w:val="DefaultParagraphFont"/>
    <w:uiPriority w:val="9"/>
    <w:semiHidden/>
    <w:rsid w:val="003C3CAF"/>
    <w:rPr>
      <w:rFonts w:asciiTheme="majorHAnsi" w:eastAsiaTheme="majorEastAsia" w:hAnsiTheme="majorHAnsi" w:cstheme="majorBidi"/>
      <w:i/>
      <w:iCs/>
      <w:color w:val="404040" w:themeColor="text1" w:themeTint="BF"/>
    </w:rPr>
  </w:style>
  <w:style w:type="character" w:customStyle="1" w:styleId="Kop8Char">
    <w:name w:val="Kop 8 Char"/>
    <w:basedOn w:val="DefaultParagraphFont"/>
    <w:link w:val="Kop8"/>
    <w:uiPriority w:val="9"/>
    <w:semiHidden/>
    <w:rsid w:val="003C3CAF"/>
    <w:rPr>
      <w:rFonts w:asciiTheme="majorHAnsi" w:eastAsiaTheme="majorEastAsia" w:hAnsiTheme="majorHAnsi" w:cstheme="majorBidi"/>
      <w:color w:val="4F81BD" w:themeColor="accent1"/>
      <w:sz w:val="20"/>
      <w:szCs w:val="20"/>
    </w:rPr>
  </w:style>
  <w:style w:type="character" w:customStyle="1" w:styleId="Kop9Char">
    <w:name w:val="Kop 9 Char"/>
    <w:basedOn w:val="DefaultParagraphFont"/>
    <w:link w:val="Kop9"/>
    <w:uiPriority w:val="9"/>
    <w:semiHidden/>
    <w:rsid w:val="003C3CAF"/>
    <w:rPr>
      <w:rFonts w:asciiTheme="majorHAnsi" w:eastAsiaTheme="majorEastAsia" w:hAnsiTheme="majorHAnsi" w:cstheme="majorBidi"/>
      <w:i/>
      <w:iCs/>
      <w:color w:val="404040" w:themeColor="text1" w:themeTint="BF"/>
      <w:sz w:val="20"/>
      <w:szCs w:val="20"/>
    </w:rPr>
  </w:style>
  <w:style w:type="character" w:customStyle="1" w:styleId="DuidelijkcitaatChar">
    <w:name w:val="Duidelijk citaat Char"/>
    <w:basedOn w:val="DefaultParagraphFont"/>
    <w:uiPriority w:val="30"/>
    <w:rsid w:val="003C3CAF"/>
    <w:rPr>
      <w:b/>
      <w:bCs/>
      <w:i/>
      <w:iCs/>
      <w:color w:val="4F81BD" w:themeColor="accent1"/>
    </w:rPr>
  </w:style>
  <w:style w:type="character" w:customStyle="1" w:styleId="TekstopmerkingChar">
    <w:name w:val="Tekst opmerking Char"/>
    <w:basedOn w:val="DefaultParagraphFont"/>
    <w:uiPriority w:val="99"/>
    <w:semiHidden/>
    <w:rsid w:val="003C3CAF"/>
    <w:rPr>
      <w:rFonts w:ascii="Aptos" w:hAnsi="Aptos"/>
      <w:color w:val="25364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4c8702-1e92-45f4-b05c-fae5c8f874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A3BBA7A6550644B2F97A66018754C9" ma:contentTypeVersion="8" ma:contentTypeDescription="Create a new document." ma:contentTypeScope="" ma:versionID="dfed9cb0542548a954c55eccba6818d0">
  <xsd:schema xmlns:xsd="http://www.w3.org/2001/XMLSchema" xmlns:xs="http://www.w3.org/2001/XMLSchema" xmlns:p="http://schemas.microsoft.com/office/2006/metadata/properties" xmlns:ns2="b64c8702-1e92-45f4-b05c-fae5c8f87419" targetNamespace="http://schemas.microsoft.com/office/2006/metadata/properties" ma:root="true" ma:fieldsID="7ca168f4101d7fcf9eaddb4152fb93ad" ns2:_="">
    <xsd:import namespace="b64c8702-1e92-45f4-b05c-fae5c8f874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c8702-1e92-45f4-b05c-fae5c8f87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5A60A-5BAE-4B14-B2A1-C09D3AD0991B}">
  <ds:schemaRefs>
    <ds:schemaRef ds:uri="http://schemas.microsoft.com/office/2006/metadata/properties"/>
    <ds:schemaRef ds:uri="http://schemas.microsoft.com/office/infopath/2007/PartnerControls"/>
    <ds:schemaRef ds:uri="b64c8702-1e92-45f4-b05c-fae5c8f87419"/>
  </ds:schemaRefs>
</ds:datastoreItem>
</file>

<file path=customXml/itemProps2.xml><?xml version="1.0" encoding="utf-8"?>
<ds:datastoreItem xmlns:ds="http://schemas.openxmlformats.org/officeDocument/2006/customXml" ds:itemID="{32DCAA5A-3C6C-4A32-9435-EACE58C657F2}">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41585D7-5268-4C04-9A78-020C2510A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c8702-1e92-45f4-b05c-fae5c8f87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908</Words>
  <Characters>4997</Characters>
  <Application>Microsoft Office Word</Application>
  <DocSecurity>0</DocSecurity>
  <Lines>41</Lines>
  <Paragraphs>11</Paragraphs>
  <ScaleCrop>false</ScaleCrop>
  <Manager/>
  <Company/>
  <LinksUpToDate>false</LinksUpToDate>
  <CharactersWithSpaces>5894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Care Noord – Inhoudelijke opdrachtbeschrijving ITSM (concept)</dc:title>
  <dc:subject>Inhoudelijke tekst voor de aanbestedingsvoorbereiding; contractpartij ter bevestiging</dc:subject>
  <dc:creator>Shared Care Noord (concept)</dc:creator>
  <cp:keywords/>
  <dc:description>generated by python-docx</dc:description>
  <cp:lastModifiedBy>Hulsebos, RP (ink)</cp:lastModifiedBy>
  <cp:revision>4</cp:revision>
  <dcterms:created xsi:type="dcterms:W3CDTF">2026-11-04T20:00:00Z</dcterms:created>
  <dcterms:modified xsi:type="dcterms:W3CDTF">2026-11-04T20:01:00Z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0x010100FEA3BBA7A6550644B2F97A66018754C9</vt:lpwstr>
  </property>
  <property fmtid="{D5CDD505-2E9C-101B-9397-08002B2CF9AE}" pid="3" name="MediaServiceImageTags">
    <vt:lpwstr/>
  </property>
</Properties>
</file>