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png" ContentType="image/png"/>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customXml/item1.xml" ContentType="application/xml"/>
  <Override PartName="/customXml/itemProps1.xml" ContentType="application/vnd.openxmlformats-officedocument.customXmlProperties+xml"/>
  <Override PartName="/customXml/item2.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0"/>
        </w:numPr>
        <w:ind w:hanging="476" w:left="476"/>
        <w:rPr/>
      </w:pPr>
      <w:r>
        <w:rPr/>
        <w:t>Bijlage 7 Akkoordverklaring</w:t>
      </w:r>
    </w:p>
    <w:p>
      <w:pPr>
        <w:pStyle w:val="Normal"/>
        <w:spacing w:lineRule="auto" w:line="240"/>
        <w:rPr>
          <w:rFonts w:ascii="Corbel" w:hAnsi="Corbel" w:cs="Tahoma"/>
          <w:color w:val="000000"/>
          <w:sz w:val="20"/>
        </w:rPr>
      </w:pPr>
      <w:r>
        <w:rPr>
          <w:rFonts w:cs="Tahoma" w:ascii="Corbel" w:hAnsi="Corbel"/>
          <w:color w:val="000000"/>
          <w:sz w:val="20"/>
        </w:rPr>
      </w:r>
    </w:p>
    <w:p>
      <w:pPr>
        <w:pStyle w:val="Normal"/>
        <w:spacing w:lineRule="auto" w:line="240"/>
        <w:rPr>
          <w:rFonts w:ascii="Corbel" w:hAnsi="Corbel" w:cs="Tahoma"/>
          <w:color w:val="000000"/>
          <w:sz w:val="20"/>
        </w:rPr>
      </w:pPr>
      <w:r>
        <w:rPr>
          <w:rFonts w:cs="Tahoma" w:ascii="Corbel" w:hAnsi="Corbel"/>
          <w:color w:val="000000"/>
          <w:sz w:val="20"/>
        </w:rPr>
        <w:t xml:space="preserve">Hierbij verklaart ondergetekende: </w:t>
        <w:br/>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sz w:val="20"/>
        </w:rPr>
        <w:t>in te stemmen met de bepalingen in de offerteaanvraag Post- en pakketverzending.</w:t>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sz w:val="20"/>
        </w:rPr>
        <w:t>dat zijn inschrijving volledig voldoet aan de in de offerteaanvraag, gestelde Eisen.</w:t>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sz w:val="20"/>
        </w:rPr>
        <w:t xml:space="preserve">dat zijn inschrijving volledig voldoet aan de in het programma van eisen gestelde eisen, zoals gewijzigd bij de Nota’s van Inlichtingen. </w:t>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sz w:val="20"/>
        </w:rPr>
        <w:t>dat alle aangeleverde gegevens en antwoorden in zijn inschrijving op de offerteaanvraag, juist en volledig zijn</w:t>
      </w:r>
    </w:p>
    <w:p>
      <w:pPr>
        <w:pStyle w:val="ListParagraph"/>
        <w:numPr>
          <w:ilvl w:val="0"/>
          <w:numId w:val="3"/>
        </w:numPr>
        <w:spacing w:before="0" w:after="0"/>
        <w:ind w:hanging="283" w:left="709"/>
        <w:contextualSpacing/>
        <w:rPr>
          <w:rFonts w:ascii="Corbel" w:hAnsi="Corbel" w:cs="Arial"/>
          <w:sz w:val="20"/>
        </w:rPr>
      </w:pPr>
      <w:r>
        <w:rPr>
          <w:rFonts w:cs="Arial" w:ascii="Corbel" w:hAnsi="Corbel"/>
          <w:sz w:val="20"/>
        </w:rPr>
        <w:t>zonder voorbehoud akkoord te gaan met de contractuele bepalingen als vermeld in de concept raamovereenkomst, het programma van eisen, met daarin verwerkt de wijzigingen als vermeld in de Nota van Inlichtingen. Voor het indienen van een inschrijving geldt als rangorde van de documenten: Nota(‘s) van inlichtingen (waarbij een latere nota van inlichtingen voorgaat op een eerdere), concept overeenkomst, programma van eisen en bijlagen, offerteaanvraag, inkoopvoorwaarden. Als bijlagen met elkaar in tegenspraak zijn, wordt de rechtsverhouding tussen partijen bepaald door het document dat in de navolgende rangorde het hoogste staat genoemd.</w:t>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sz w:val="20"/>
        </w:rPr>
        <w:t>dat er geen sprake is van verboden Russische betrokkenheid bij de uitvoering van de opdracht, als bedoeld in artikel 5 duodecies van Verordening (EU) 2022/576 van de Raad van 8 april 2022 tot wijziging van Verordening (EU) nr. 833/2014 betreffende beperkende maatregelen naar aanleiding van de acties van Rusland die de situatie in Oekraïne destabiliseren en zoals bedoeld als onderstaand:</w:t>
        <w:br/>
      </w:r>
    </w:p>
    <w:p>
      <w:pPr>
        <w:pStyle w:val="ListParagraph"/>
        <w:spacing w:lineRule="auto" w:line="240"/>
        <w:ind w:left="927"/>
        <w:rPr>
          <w:rFonts w:ascii="Corbel" w:hAnsi="Corbel" w:cs="Arial"/>
          <w:i/>
          <w:i/>
          <w:iCs/>
          <w:sz w:val="20"/>
          <w:szCs w:val="20"/>
        </w:rPr>
      </w:pPr>
      <w:r>
        <w:rPr>
          <w:rFonts w:cs="Arial" w:ascii="Corbel" w:hAnsi="Corbel"/>
          <w:i/>
          <w:iCs/>
          <w:sz w:val="20"/>
          <w:szCs w:val="20"/>
        </w:rPr>
        <w:t xml:space="preserve">Verklaring geen Russische betrokkenheid </w:t>
      </w:r>
    </w:p>
    <w:p>
      <w:pPr>
        <w:pStyle w:val="ListParagraph"/>
        <w:spacing w:lineRule="auto" w:line="240"/>
        <w:ind w:left="927"/>
        <w:rPr>
          <w:rFonts w:ascii="Corbel" w:hAnsi="Corbel" w:cs="Arial"/>
          <w:sz w:val="20"/>
          <w:szCs w:val="20"/>
        </w:rPr>
      </w:pPr>
      <w:r>
        <w:rPr>
          <w:rFonts w:cs="Arial" w:ascii="Corbel" w:hAnsi="Corbel"/>
          <w:sz w:val="20"/>
          <w:szCs w:val="20"/>
        </w:rPr>
        <w:t xml:space="preserve">Op basis van EU Verordening (EU) 2022/576 van de Raad van 8 april 2022 tot wijziging van Verordening (EU) 833/2014 van 31 juli 2014 dient bij de uitvoering van de Overeenkomst, die op basis van deze aanbesteding wordt gesloten voor een bedrag dat de drempels van artikel 5 duodecies van die </w:t>
      </w:r>
    </w:p>
    <w:p>
      <w:pPr>
        <w:pStyle w:val="ListParagraph"/>
        <w:spacing w:lineRule="auto" w:line="240"/>
        <w:ind w:left="927"/>
        <w:rPr>
          <w:rFonts w:ascii="Corbel" w:hAnsi="Corbel" w:cs="Arial"/>
          <w:sz w:val="20"/>
          <w:szCs w:val="20"/>
        </w:rPr>
      </w:pPr>
      <w:r>
        <w:rPr>
          <w:rFonts w:cs="Arial" w:ascii="Corbel" w:hAnsi="Corbel"/>
          <w:sz w:val="20"/>
          <w:szCs w:val="20"/>
        </w:rPr>
        <w:t xml:space="preserve">Verordening overschrijdt, geen Russische betrokkenheid te zijn zoals bedoeld in voornoemde Verordening. </w:t>
      </w:r>
    </w:p>
    <w:p>
      <w:pPr>
        <w:pStyle w:val="ListParagraph"/>
        <w:spacing w:lineRule="auto" w:line="240"/>
        <w:ind w:left="927"/>
        <w:rPr>
          <w:rFonts w:ascii="Corbel" w:hAnsi="Corbel" w:cs="Arial"/>
          <w:sz w:val="20"/>
          <w:szCs w:val="20"/>
        </w:rPr>
      </w:pPr>
      <w:r>
        <w:rPr>
          <w:rFonts w:cs="Arial" w:ascii="Corbel" w:hAnsi="Corbel"/>
          <w:sz w:val="20"/>
          <w:szCs w:val="20"/>
        </w:rPr>
      </w:r>
    </w:p>
    <w:p>
      <w:pPr>
        <w:pStyle w:val="ListParagraph"/>
        <w:spacing w:lineRule="auto" w:line="240"/>
        <w:ind w:left="927"/>
        <w:rPr>
          <w:rFonts w:ascii="Corbel" w:hAnsi="Corbel" w:cs="Arial"/>
          <w:sz w:val="20"/>
          <w:szCs w:val="20"/>
        </w:rPr>
      </w:pPr>
      <w:r>
        <w:rPr>
          <w:rFonts w:cs="Arial" w:ascii="Corbel" w:hAnsi="Corbel"/>
          <w:sz w:val="20"/>
          <w:szCs w:val="20"/>
        </w:rPr>
        <w:t xml:space="preserve">Kort gezegd gaat het verbod over gunningen aan en in stand houden van contracten met: </w:t>
      </w:r>
    </w:p>
    <w:p>
      <w:pPr>
        <w:pStyle w:val="ListParagraph"/>
        <w:spacing w:lineRule="auto" w:line="240"/>
        <w:ind w:left="927"/>
        <w:rPr>
          <w:rFonts w:ascii="Corbel" w:hAnsi="Corbel" w:cs="Arial"/>
          <w:sz w:val="20"/>
          <w:szCs w:val="20"/>
        </w:rPr>
      </w:pPr>
      <w:r>
        <w:rPr>
          <w:rFonts w:cs="Arial" w:ascii="Corbel" w:hAnsi="Corbel"/>
          <w:sz w:val="20"/>
          <w:szCs w:val="20"/>
        </w:rPr>
      </w:r>
    </w:p>
    <w:p>
      <w:pPr>
        <w:pStyle w:val="ListParagraph"/>
        <w:spacing w:lineRule="auto" w:line="240"/>
        <w:ind w:left="927"/>
        <w:rPr>
          <w:rFonts w:ascii="Corbel" w:hAnsi="Corbel" w:cs="Arial"/>
          <w:sz w:val="20"/>
          <w:szCs w:val="20"/>
        </w:rPr>
      </w:pPr>
      <w:r>
        <w:rPr>
          <w:rFonts w:cs="Arial" w:ascii="Corbel" w:hAnsi="Corbel"/>
          <w:sz w:val="20"/>
          <w:szCs w:val="20"/>
        </w:rPr>
        <w:t xml:space="preserve">I. (Rechts)personen die een Russische entiteit zijn. Daaronder wordt op basis van de af te leggen verklaring het volgende begrepen: </w:t>
      </w:r>
    </w:p>
    <w:p>
      <w:pPr>
        <w:pStyle w:val="ListParagraph"/>
        <w:spacing w:lineRule="auto" w:line="240"/>
        <w:ind w:left="927"/>
        <w:rPr>
          <w:rFonts w:ascii="Corbel" w:hAnsi="Corbel" w:cs="Arial"/>
          <w:sz w:val="20"/>
          <w:szCs w:val="20"/>
        </w:rPr>
      </w:pPr>
      <w:r>
        <w:rPr>
          <w:rFonts w:cs="Arial" w:ascii="Corbel" w:hAnsi="Corbel"/>
          <w:sz w:val="20"/>
          <w:szCs w:val="20"/>
        </w:rPr>
        <w:t xml:space="preserve">- personen met de Russische nationaliteit; - 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 </w:t>
      </w:r>
    </w:p>
    <w:p>
      <w:pPr>
        <w:pStyle w:val="ListParagraph"/>
        <w:spacing w:lineRule="auto" w:line="240"/>
        <w:ind w:left="927"/>
        <w:rPr>
          <w:rFonts w:ascii="Corbel" w:hAnsi="Corbel" w:cs="Arial"/>
          <w:sz w:val="20"/>
          <w:szCs w:val="20"/>
        </w:rPr>
      </w:pPr>
      <w:r>
        <w:rPr>
          <w:rFonts w:cs="Arial" w:ascii="Corbel" w:hAnsi="Corbel"/>
          <w:sz w:val="20"/>
          <w:szCs w:val="20"/>
        </w:rPr>
        <w:t xml:space="preserve">– </w:t>
      </w:r>
      <w:r>
        <w:rPr>
          <w:rFonts w:cs="Arial" w:ascii="Corbel" w:hAnsi="Corbel"/>
          <w:sz w:val="20"/>
          <w:szCs w:val="20"/>
        </w:rPr>
        <w:t xml:space="preserve">rechtspersonen (ook wanneer in Nederland of een ander land dan Rusland gevestigd) die voor meer dan 50% eigendom zijn van een persoon of rechtspersoon zoals genoemd hierboven; </w:t>
      </w:r>
    </w:p>
    <w:p>
      <w:pPr>
        <w:pStyle w:val="ListParagraph"/>
        <w:spacing w:lineRule="auto" w:line="240"/>
        <w:ind w:left="927"/>
        <w:rPr>
          <w:rFonts w:ascii="Corbel" w:hAnsi="Corbel" w:cs="Arial"/>
          <w:sz w:val="20"/>
          <w:szCs w:val="20"/>
        </w:rPr>
      </w:pPr>
      <w:r>
        <w:rPr>
          <w:rFonts w:cs="Arial" w:ascii="Corbel" w:hAnsi="Corbel"/>
          <w:sz w:val="20"/>
          <w:szCs w:val="20"/>
        </w:rPr>
        <w:t xml:space="preserve">- personen of rechtspersonen die handelen in belang van of op aanwijzing van een (rechts)persoon zoals genoemd hierboven. </w:t>
      </w:r>
    </w:p>
    <w:p>
      <w:pPr>
        <w:pStyle w:val="ListParagraph"/>
        <w:spacing w:lineRule="auto" w:line="240"/>
        <w:ind w:left="927"/>
        <w:rPr>
          <w:rFonts w:ascii="Corbel" w:hAnsi="Corbel" w:cs="Arial"/>
          <w:sz w:val="20"/>
          <w:szCs w:val="20"/>
        </w:rPr>
      </w:pPr>
      <w:r>
        <w:rPr>
          <w:rFonts w:cs="Arial" w:ascii="Corbel" w:hAnsi="Corbel"/>
          <w:sz w:val="20"/>
          <w:szCs w:val="20"/>
        </w:rPr>
      </w:r>
    </w:p>
    <w:p>
      <w:pPr>
        <w:pStyle w:val="ListParagraph"/>
        <w:spacing w:lineRule="auto" w:line="240"/>
        <w:ind w:left="927"/>
        <w:rPr>
          <w:rFonts w:ascii="Corbel" w:hAnsi="Corbel" w:cs="Arial"/>
          <w:sz w:val="20"/>
          <w:szCs w:val="20"/>
        </w:rPr>
      </w:pPr>
      <w:r>
        <w:rPr>
          <w:rFonts w:cs="Arial" w:ascii="Corbel" w:hAnsi="Corbel"/>
          <w:sz w:val="20"/>
          <w:szCs w:val="20"/>
        </w:rPr>
        <w:t xml:space="preserve">II. (Rechts)personen die een niet-Russische entiteit zijn, waarbij aan de volgende voorwaarde is voldaan: </w:t>
      </w:r>
    </w:p>
    <w:p>
      <w:pPr>
        <w:pStyle w:val="ListParagraph"/>
        <w:spacing w:lineRule="auto" w:line="240"/>
        <w:ind w:left="927"/>
        <w:rPr>
          <w:rFonts w:ascii="Corbel" w:hAnsi="Corbel" w:cs="Arial"/>
          <w:sz w:val="20"/>
          <w:szCs w:val="20"/>
        </w:rPr>
      </w:pPr>
      <w:r>
        <w:rPr>
          <w:rFonts w:cs="Arial" w:ascii="Corbel" w:hAnsi="Corbel"/>
          <w:sz w:val="20"/>
          <w:szCs w:val="20"/>
        </w:rPr>
        <w:t xml:space="preserve">- Niet-Russische entiteiten, waarbij meer dan 10% van de contractwaarde geleverd wordt door Onderaannemers, leveranciers of entiteiten die als Russische entiteit kunnen worden aangemerkt op basis van het bovenstaande (zie I). </w:t>
      </w:r>
    </w:p>
    <w:p>
      <w:pPr>
        <w:pStyle w:val="ListParagraph"/>
        <w:spacing w:lineRule="auto" w:line="240"/>
        <w:ind w:left="927"/>
        <w:rPr>
          <w:rFonts w:ascii="Corbel" w:hAnsi="Corbel" w:cs="Arial"/>
          <w:sz w:val="20"/>
          <w:szCs w:val="20"/>
        </w:rPr>
      </w:pPr>
      <w:r>
        <w:rPr>
          <w:rFonts w:cs="Arial" w:ascii="Corbel" w:hAnsi="Corbel"/>
          <w:sz w:val="20"/>
          <w:szCs w:val="20"/>
        </w:rPr>
      </w:r>
    </w:p>
    <w:p>
      <w:pPr>
        <w:pStyle w:val="ListParagraph"/>
        <w:spacing w:lineRule="auto" w:line="240"/>
        <w:ind w:left="927"/>
        <w:rPr>
          <w:rFonts w:ascii="Corbel" w:hAnsi="Corbel" w:cs="Arial"/>
          <w:sz w:val="20"/>
          <w:szCs w:val="20"/>
        </w:rPr>
      </w:pPr>
      <w:r>
        <w:rPr>
          <w:rFonts w:cs="Arial" w:ascii="Corbel" w:hAnsi="Corbel"/>
          <w:sz w:val="20"/>
          <w:szCs w:val="20"/>
        </w:rPr>
        <w:t xml:space="preserve">Dit verbod heeft zijn weerslag op zowel de aanbesteding als de uitvoering van de Overeenkomst zelf. Om voor gunning in aanmerking te komen dient in Bijlage 7 de Akkoordverklaring ook akkoord gegeven te worden op de ‘Verklaring geen Russische betrokkenheid’. Deze Bijlage moet bij Inschrijving worden ingediend en rechtsgeldig te zijn ondertekend. 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 </w:t>
        <w:br/>
      </w:r>
    </w:p>
    <w:p>
      <w:pPr>
        <w:pStyle w:val="ListParagraph"/>
        <w:spacing w:lineRule="auto" w:line="240"/>
        <w:ind w:left="927"/>
        <w:rPr>
          <w:rFonts w:ascii="Corbel" w:hAnsi="Corbel" w:cs="Arial"/>
          <w:sz w:val="20"/>
          <w:szCs w:val="20"/>
        </w:rPr>
      </w:pPr>
      <w:r>
        <w:rPr>
          <w:rFonts w:cs="Arial" w:ascii="Corbel" w:hAnsi="Corbel"/>
          <w:sz w:val="20"/>
          <w:szCs w:val="20"/>
        </w:rPr>
        <w:t>De gemeente controleert van de Inschrijver (inclusief derden waarop een beroep wordt gedaan), die gewonnen heeft, alsmede die Onderaannemers waarvan reeds nu bekend is dat zij meer dan 10% van de Opdracht zullen gaan uitvoeren. Indien de gemeente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br/>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color w:val="FF0000"/>
          <w:sz w:val="20"/>
        </w:rPr>
        <w:t>wel/niet</w:t>
      </w:r>
      <w:r>
        <w:rPr>
          <w:rStyle w:val="FootnoteReference"/>
          <w:rFonts w:cs="Arial" w:ascii="Corbel" w:hAnsi="Corbel"/>
          <w:sz w:val="20"/>
        </w:rPr>
        <w:footnoteReference w:id="2"/>
      </w:r>
      <w:r>
        <w:rPr>
          <w:rFonts w:cs="Arial" w:ascii="Corbel" w:hAnsi="Corbel"/>
          <w:sz w:val="20"/>
        </w:rPr>
        <w:t xml:space="preserve"> akkoord gaat met het aangaan van de wachtkamerovereenkomst. Indien ondergetekende akkoord, gaat ondergetekende eveneens akkoord met de bepalingen in de wachtkamerovereenkomst.</w:t>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sz w:val="20"/>
        </w:rPr>
        <w:t>akkoord te gaan met de inspanningsverplichtingen van 5% conform de Social return on investment /Bouwblokkenmethode.</w:t>
      </w:r>
    </w:p>
    <w:p>
      <w:pPr>
        <w:pStyle w:val="ListParagraph"/>
        <w:numPr>
          <w:ilvl w:val="0"/>
          <w:numId w:val="3"/>
        </w:numPr>
        <w:spacing w:lineRule="auto" w:line="240" w:before="0" w:after="0"/>
        <w:ind w:hanging="283" w:left="709"/>
        <w:contextualSpacing/>
        <w:rPr>
          <w:rFonts w:ascii="Corbel" w:hAnsi="Corbel" w:cs="Arial"/>
          <w:sz w:val="20"/>
        </w:rPr>
      </w:pPr>
      <w:r>
        <w:rPr>
          <w:rFonts w:cs="Arial" w:ascii="Corbel" w:hAnsi="Corbel"/>
          <w:sz w:val="20"/>
        </w:rPr>
        <w:t>bij het opstellen van haar inschrijving rekening gehouden te hebben met de verplichtingen uit hoofde van de bepalingen inzake de arbeidsbescherming en de arbeidsvoorwaarden die gelden op de plaats waar de verrichting wordt uitgevoerd.</w:t>
      </w:r>
    </w:p>
    <w:p>
      <w:pPr>
        <w:pStyle w:val="Normal"/>
        <w:spacing w:lineRule="auto" w:line="240"/>
        <w:rPr>
          <w:rFonts w:ascii="Corbel" w:hAnsi="Corbel"/>
          <w:sz w:val="20"/>
        </w:rPr>
      </w:pPr>
      <w:r>
        <w:rPr>
          <w:rFonts w:ascii="Corbel" w:hAnsi="Corbel"/>
          <w:sz w:val="20"/>
        </w:rPr>
      </w:r>
    </w:p>
    <w:p>
      <w:pPr>
        <w:pStyle w:val="Normal"/>
        <w:spacing w:lineRule="auto" w:line="240"/>
        <w:rPr>
          <w:rFonts w:ascii="Corbel" w:hAnsi="Corbel"/>
          <w:sz w:val="20"/>
        </w:rPr>
      </w:pPr>
      <w:r>
        <w:rPr>
          <w:rFonts w:ascii="Corbel" w:hAnsi="Corbel"/>
          <w:sz w:val="20"/>
        </w:rPr>
        <w:t>Aldus ondertekend en bijbehorende gegevens naar waarheid verstrekt:</w:t>
      </w:r>
    </w:p>
    <w:p>
      <w:pPr>
        <w:pStyle w:val="Normal"/>
        <w:spacing w:lineRule="auto" w:line="240"/>
        <w:rPr>
          <w:rFonts w:ascii="Corbel" w:hAnsi="Corbel"/>
          <w:sz w:val="20"/>
        </w:rPr>
      </w:pPr>
      <w:r>
        <w:rPr>
          <w:rFonts w:ascii="Corbel" w:hAnsi="Corbel"/>
          <w:sz w:val="20"/>
        </w:rPr>
      </w:r>
    </w:p>
    <w:tbl>
      <w:tblPr>
        <w:tblStyle w:val="Tabelraster"/>
        <w:tblpPr w:vertAnchor="text" w:horzAnchor="margin" w:leftFromText="141" w:rightFromText="141" w:tblpX="-39" w:tblpY="52"/>
        <w:tblW w:w="84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3287"/>
        <w:gridCol w:w="279"/>
        <w:gridCol w:w="4848"/>
      </w:tblGrid>
      <w:tr>
        <w:trPr/>
        <w:tc>
          <w:tcPr>
            <w:tcW w:w="3287"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Naam Inschrijver</w:t>
            </w:r>
          </w:p>
        </w:tc>
        <w:tc>
          <w:tcPr>
            <w:tcW w:w="279"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w:t>
            </w:r>
          </w:p>
        </w:tc>
        <w:tc>
          <w:tcPr>
            <w:tcW w:w="4848"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&lt;naam inschrijver&gt;</w:t>
            </w:r>
          </w:p>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r>
          </w:p>
        </w:tc>
      </w:tr>
      <w:tr>
        <w:trPr/>
        <w:tc>
          <w:tcPr>
            <w:tcW w:w="3287"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Ingevuld door tekenbevoegde functionaris Inschrijver</w:t>
            </w:r>
          </w:p>
        </w:tc>
        <w:tc>
          <w:tcPr>
            <w:tcW w:w="279"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w:t>
            </w:r>
          </w:p>
        </w:tc>
        <w:tc>
          <w:tcPr>
            <w:tcW w:w="4848"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&lt;ingevuld door tekeningbevoegde functionaris&gt;</w:t>
            </w:r>
          </w:p>
        </w:tc>
      </w:tr>
      <w:tr>
        <w:trPr/>
        <w:tc>
          <w:tcPr>
            <w:tcW w:w="3287"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Functie</w:t>
            </w:r>
          </w:p>
        </w:tc>
        <w:tc>
          <w:tcPr>
            <w:tcW w:w="279"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w:t>
            </w:r>
          </w:p>
        </w:tc>
        <w:tc>
          <w:tcPr>
            <w:tcW w:w="4848"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&lt;functie&gt;</w:t>
            </w:r>
          </w:p>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r>
          </w:p>
        </w:tc>
      </w:tr>
      <w:tr>
        <w:trPr/>
        <w:tc>
          <w:tcPr>
            <w:tcW w:w="3287"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Datum</w:t>
            </w:r>
          </w:p>
        </w:tc>
        <w:tc>
          <w:tcPr>
            <w:tcW w:w="279"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w:t>
            </w:r>
          </w:p>
        </w:tc>
        <w:tc>
          <w:tcPr>
            <w:tcW w:w="4848"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t>&lt;datum&gt;</w:t>
            </w:r>
          </w:p>
          <w:p>
            <w:pPr>
              <w:pStyle w:val="Normal"/>
              <w:widowControl/>
              <w:tabs>
                <w:tab w:val="clear" w:pos="708"/>
                <w:tab w:val="left" w:pos="5220" w:leader="none"/>
                <w:tab w:val="left" w:pos="5400" w:leader="none"/>
              </w:tabs>
              <w:spacing w:lineRule="auto" w:line="240" w:before="0" w:after="0"/>
              <w:jc w:val="left"/>
              <w:rPr>
                <w:rFonts w:ascii="Corbel" w:hAnsi="Corbel" w:cs="Arial"/>
              </w:rPr>
            </w:pPr>
            <w:r>
              <w:rPr>
                <w:rFonts w:cs="Arial" w:ascii="Corbel" w:hAnsi="Corbel"/>
                <w:kern w:val="0"/>
                <w:lang w:val="nl-NL" w:bidi="ar-SA"/>
              </w:rPr>
            </w:r>
          </w:p>
        </w:tc>
      </w:tr>
      <w:tr>
        <w:trPr/>
        <w:tc>
          <w:tcPr>
            <w:tcW w:w="3287"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sz w:val="20"/>
              </w:rPr>
            </w:pPr>
            <w:r>
              <w:rPr>
                <w:rFonts w:cs="Arial" w:ascii="Corbel" w:hAnsi="Corbel"/>
                <w:kern w:val="0"/>
                <w:sz w:val="20"/>
                <w:lang w:val="nl-NL" w:bidi="ar-SA"/>
              </w:rPr>
              <w:t>Handtekening tekenbevoegde</w:t>
            </w:r>
          </w:p>
        </w:tc>
        <w:tc>
          <w:tcPr>
            <w:tcW w:w="279"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sz w:val="20"/>
              </w:rPr>
            </w:pPr>
            <w:r>
              <w:rPr>
                <w:rFonts w:cs="Arial" w:ascii="Corbel" w:hAnsi="Corbel"/>
                <w:kern w:val="0"/>
                <w:sz w:val="20"/>
                <w:lang w:val="nl-NL" w:bidi="ar-SA"/>
              </w:rPr>
              <w:t>:</w:t>
            </w:r>
          </w:p>
        </w:tc>
        <w:tc>
          <w:tcPr>
            <w:tcW w:w="4848" w:type="dxa"/>
            <w:tcBorders>
              <w:top w:val="nil"/>
              <w:left w:val="nil"/>
              <w:bottom w:val="nil"/>
              <w:right w:val="nil"/>
            </w:tcBorders>
          </w:tcPr>
          <w:p>
            <w:pPr>
              <w:pStyle w:val="Normal"/>
              <w:widowControl/>
              <w:tabs>
                <w:tab w:val="clear" w:pos="708"/>
                <w:tab w:val="left" w:pos="5220" w:leader="none"/>
                <w:tab w:val="left" w:pos="5400" w:leader="none"/>
              </w:tabs>
              <w:spacing w:lineRule="auto" w:line="240" w:before="0" w:after="0"/>
              <w:jc w:val="left"/>
              <w:rPr>
                <w:rFonts w:ascii="Corbel" w:hAnsi="Corbel" w:cs="Arial"/>
                <w:sz w:val="20"/>
              </w:rPr>
            </w:pPr>
            <w:r>
              <w:rPr>
                <w:rFonts w:cs="Arial" w:ascii="Corbel" w:hAnsi="Corbel"/>
                <w:kern w:val="0"/>
                <w:sz w:val="20"/>
                <w:lang w:val="nl-NL" w:bidi="ar-SA"/>
              </w:rPr>
            </w:r>
          </w:p>
        </w:tc>
      </w:tr>
    </w:tbl>
    <w:p>
      <w:pPr>
        <w:pStyle w:val="Normal"/>
        <w:rPr>
          <w:rFonts w:ascii="Corbel" w:hAnsi="Corbel"/>
          <w:b/>
          <w:sz w:val="20"/>
        </w:rPr>
      </w:pPr>
      <w:r>
        <w:rPr>
          <w:rFonts w:ascii="Corbel" w:hAnsi="Corbel"/>
          <w:b/>
          <w:sz w:val="20"/>
        </w:rPr>
      </w:r>
    </w:p>
    <w:p>
      <w:pPr>
        <w:pStyle w:val="Normal"/>
        <w:rPr>
          <w:rFonts w:ascii="Corbel" w:hAnsi="Corbel"/>
          <w:b/>
          <w:sz w:val="20"/>
        </w:rPr>
      </w:pPr>
      <w:r>
        <w:rPr>
          <w:rFonts w:ascii="Corbel" w:hAnsi="Corbel"/>
          <w:b/>
          <w:sz w:val="20"/>
        </w:rPr>
      </w:r>
    </w:p>
    <w:p>
      <w:pPr>
        <w:pStyle w:val="Normal"/>
        <w:rPr>
          <w:rFonts w:ascii="Corbel" w:hAnsi="Corbel"/>
          <w:b/>
          <w:sz w:val="20"/>
        </w:rPr>
      </w:pPr>
      <w:r>
        <w:rPr>
          <w:rFonts w:ascii="Corbel" w:hAnsi="Corbel"/>
          <w:b/>
          <w:sz w:val="20"/>
        </w:rPr>
      </w:r>
    </w:p>
    <w:p>
      <w:pPr>
        <w:pStyle w:val="Normal"/>
        <w:rPr>
          <w:rFonts w:ascii="Corbel" w:hAnsi="Corbel"/>
          <w:b/>
          <w:sz w:val="20"/>
        </w:rPr>
      </w:pPr>
      <w:r>
        <w:rPr>
          <w:rFonts w:ascii="Corbel" w:hAnsi="Corbel"/>
          <w:b/>
          <w:sz w:val="20"/>
        </w:rPr>
      </w:r>
    </w:p>
    <w:p>
      <w:pPr>
        <w:pStyle w:val="Normal"/>
        <w:rPr>
          <w:rFonts w:ascii="Corbel" w:hAnsi="Corbel"/>
          <w:b/>
          <w:sz w:val="20"/>
        </w:rPr>
      </w:pPr>
      <w:r>
        <w:rPr>
          <w:rFonts w:ascii="Corbel" w:hAnsi="Corbel"/>
          <w:b/>
          <w:sz w:val="20"/>
        </w:rPr>
      </w:r>
    </w:p>
    <w:sectPr>
      <w:headerReference w:type="even" r:id="rId2"/>
      <w:headerReference w:type="default" r:id="rId3"/>
      <w:headerReference w:type="first" r:id="rId4"/>
      <w:footerReference w:type="even" r:id="rId5"/>
      <w:footerReference w:type="default" r:id="rId6"/>
      <w:footerReference w:type="first" r:id="rId7"/>
      <w:footnotePr>
        <w:numFmt w:val="decimal"/>
      </w:footnotePr>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Verdana">
    <w:charset w:val="01"/>
    <w:family w:val="roman"/>
    <w:pitch w:val="variable"/>
  </w:font>
  <w:font w:name="Corbel">
    <w:charset w:val="01"/>
    <w:family w:val="roman"/>
    <w:pitch w:val="variable"/>
  </w:font>
  <w:font w:name="Cambria">
    <w:charset w:val="01"/>
    <w:family w:val="roman"/>
    <w:pitch w:val="variable"/>
  </w:font>
  <w:font w:name="Segoe UI">
    <w:charset w:val="01"/>
    <w:family w:val="roman"/>
    <w:pitch w:val="variable"/>
  </w:font>
  <w:font w:name="Liberation Sans">
    <w:altName w:val="Arial"/>
    <w:charset w:val="01"/>
    <w:family w:val="swiss"/>
    <w:pitch w:val="variable"/>
  </w:font>
  <w:font w:name="Times New Roman">
    <w:charset w:val="01"/>
    <w:family w:val="roman"/>
    <w:pitch w:val="variable"/>
  </w:font>
  <w:font w:name="Palatino Linotype">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cs="Arial"/>
        <w:b/>
        <w:bCs/>
        <w:color w:val="BB9C00"/>
        <w:sz w:val="16"/>
        <w:szCs w:val="16"/>
      </w:rPr>
    </w:pPr>
    <w:r>
      <w:rPr>
        <w:rFonts w:cs="Arial"/>
        <w:b/>
        <w:bCs/>
        <w:color w:val="BB9C00"/>
        <w:sz w:val="16"/>
        <w:szCs w:val="16"/>
      </w:rPr>
      <w:t>Bijlage akkoordverklaring</w:t>
    </w:r>
  </w:p>
  <w:p>
    <w:pPr>
      <w:pStyle w:val="Footer"/>
      <w:jc w:val="center"/>
      <w:rPr>
        <w:rFonts w:ascii="Corbel" w:hAnsi="Corbel"/>
        <w:sz w:val="18"/>
        <w:szCs w:val="18"/>
      </w:rPr>
    </w:pPr>
    <w:r>
      <w:rPr>
        <w:rFonts w:ascii="Corbel" w:hAnsi="Corbel"/>
        <w:sz w:val="18"/>
        <w:szCs w:val="18"/>
      </w:rPr>
      <w:t xml:space="preserve">- pagina </w:t>
    </w:r>
    <w:r>
      <w:rPr>
        <w:rFonts w:ascii="Corbel" w:hAnsi="Corbel"/>
        <w:sz w:val="18"/>
        <w:szCs w:val="18"/>
      </w:rPr>
      <w:fldChar w:fldCharType="begin"/>
    </w:r>
    <w:r>
      <w:rPr>
        <w:sz w:val="18"/>
        <w:szCs w:val="18"/>
        <w:rFonts w:ascii="Corbel" w:hAnsi="Corbel"/>
      </w:rPr>
      <w:instrText xml:space="preserve"> PAGE </w:instrText>
    </w:r>
    <w:r>
      <w:rPr>
        <w:sz w:val="18"/>
        <w:szCs w:val="18"/>
        <w:rFonts w:ascii="Corbel" w:hAnsi="Corbel"/>
      </w:rPr>
      <w:fldChar w:fldCharType="separate"/>
    </w:r>
    <w:r>
      <w:rPr>
        <w:sz w:val="18"/>
        <w:szCs w:val="18"/>
        <w:rFonts w:ascii="Corbel" w:hAnsi="Corbel"/>
      </w:rPr>
      <w:t>2</w:t>
    </w:r>
    <w:r>
      <w:rPr>
        <w:sz w:val="18"/>
        <w:szCs w:val="18"/>
        <w:rFonts w:ascii="Corbel" w:hAnsi="Corbel"/>
      </w:rPr>
      <w:fldChar w:fldCharType="end"/>
    </w:r>
    <w:r>
      <w:rPr>
        <w:rFonts w:ascii="Corbel" w:hAnsi="Corbel"/>
        <w:sz w:val="18"/>
        <w:szCs w:val="18"/>
      </w:rPr>
      <w:t xml:space="preserve"> van </w:t>
    </w:r>
    <w:r>
      <w:rPr>
        <w:rFonts w:ascii="Corbel" w:hAnsi="Corbel"/>
        <w:sz w:val="18"/>
        <w:szCs w:val="18"/>
      </w:rPr>
      <w:fldChar w:fldCharType="begin"/>
    </w:r>
    <w:r>
      <w:rPr>
        <w:sz w:val="18"/>
        <w:szCs w:val="18"/>
        <w:rFonts w:ascii="Corbel" w:hAnsi="Corbel"/>
      </w:rPr>
      <w:instrText xml:space="preserve"> NUMPAGES </w:instrText>
    </w:r>
    <w:r>
      <w:rPr>
        <w:sz w:val="18"/>
        <w:szCs w:val="18"/>
        <w:rFonts w:ascii="Corbel" w:hAnsi="Corbel"/>
      </w:rPr>
      <w:fldChar w:fldCharType="separate"/>
    </w:r>
    <w:r>
      <w:rPr>
        <w:sz w:val="18"/>
        <w:szCs w:val="18"/>
        <w:rFonts w:ascii="Corbel" w:hAnsi="Corbel"/>
      </w:rPr>
      <w:t>2</w:t>
    </w:r>
    <w:r>
      <w:rPr>
        <w:sz w:val="18"/>
        <w:szCs w:val="18"/>
        <w:rFonts w:ascii="Corbel" w:hAnsi="Corbel"/>
      </w:rPr>
      <w:fldChar w:fldCharType="end"/>
    </w:r>
    <w:r>
      <w:rPr>
        <w:rFonts w:ascii="Corbel" w:hAnsi="Corbel"/>
        <w:sz w:val="18"/>
        <w:szCs w:val="18"/>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cs="Arial"/>
        <w:b/>
        <w:bCs/>
        <w:color w:val="BB9C00"/>
        <w:sz w:val="16"/>
        <w:szCs w:val="16"/>
      </w:rPr>
    </w:pPr>
    <w:r>
      <w:rPr>
        <w:rFonts w:cs="Arial"/>
        <w:b/>
        <w:bCs/>
        <w:color w:val="BB9C00"/>
        <w:sz w:val="16"/>
        <w:szCs w:val="16"/>
      </w:rPr>
      <w:t>Bijlage akkoordverklaring</w:t>
    </w:r>
  </w:p>
  <w:p>
    <w:pPr>
      <w:pStyle w:val="Footer"/>
      <w:jc w:val="center"/>
      <w:rPr>
        <w:rFonts w:ascii="Corbel" w:hAnsi="Corbel"/>
        <w:sz w:val="18"/>
        <w:szCs w:val="18"/>
      </w:rPr>
    </w:pPr>
    <w:r>
      <w:rPr>
        <w:rFonts w:ascii="Corbel" w:hAnsi="Corbel"/>
        <w:sz w:val="18"/>
        <w:szCs w:val="18"/>
      </w:rPr>
      <w:t xml:space="preserve">- pagina </w:t>
    </w:r>
    <w:r>
      <w:rPr>
        <w:rFonts w:ascii="Corbel" w:hAnsi="Corbel"/>
        <w:sz w:val="18"/>
        <w:szCs w:val="18"/>
      </w:rPr>
      <w:fldChar w:fldCharType="begin"/>
    </w:r>
    <w:r>
      <w:rPr>
        <w:sz w:val="18"/>
        <w:szCs w:val="18"/>
        <w:rFonts w:ascii="Corbel" w:hAnsi="Corbel"/>
      </w:rPr>
      <w:instrText xml:space="preserve"> PAGE </w:instrText>
    </w:r>
    <w:r>
      <w:rPr>
        <w:sz w:val="18"/>
        <w:szCs w:val="18"/>
        <w:rFonts w:ascii="Corbel" w:hAnsi="Corbel"/>
      </w:rPr>
      <w:fldChar w:fldCharType="separate"/>
    </w:r>
    <w:r>
      <w:rPr>
        <w:sz w:val="18"/>
        <w:szCs w:val="18"/>
        <w:rFonts w:ascii="Corbel" w:hAnsi="Corbel"/>
      </w:rPr>
      <w:t>2</w:t>
    </w:r>
    <w:r>
      <w:rPr>
        <w:sz w:val="18"/>
        <w:szCs w:val="18"/>
        <w:rFonts w:ascii="Corbel" w:hAnsi="Corbel"/>
      </w:rPr>
      <w:fldChar w:fldCharType="end"/>
    </w:r>
    <w:r>
      <w:rPr>
        <w:rFonts w:ascii="Corbel" w:hAnsi="Corbel"/>
        <w:sz w:val="18"/>
        <w:szCs w:val="18"/>
      </w:rPr>
      <w:t xml:space="preserve"> van </w:t>
    </w:r>
    <w:r>
      <w:rPr>
        <w:rFonts w:ascii="Corbel" w:hAnsi="Corbel"/>
        <w:sz w:val="18"/>
        <w:szCs w:val="18"/>
      </w:rPr>
      <w:fldChar w:fldCharType="begin"/>
    </w:r>
    <w:r>
      <w:rPr>
        <w:sz w:val="18"/>
        <w:szCs w:val="18"/>
        <w:rFonts w:ascii="Corbel" w:hAnsi="Corbel"/>
      </w:rPr>
      <w:instrText xml:space="preserve"> NUMPAGES </w:instrText>
    </w:r>
    <w:r>
      <w:rPr>
        <w:sz w:val="18"/>
        <w:szCs w:val="18"/>
        <w:rFonts w:ascii="Corbel" w:hAnsi="Corbel"/>
      </w:rPr>
      <w:fldChar w:fldCharType="separate"/>
    </w:r>
    <w:r>
      <w:rPr>
        <w:sz w:val="18"/>
        <w:szCs w:val="18"/>
        <w:rFonts w:ascii="Corbel" w:hAnsi="Corbel"/>
      </w:rPr>
      <w:t>2</w:t>
    </w:r>
    <w:r>
      <w:rPr>
        <w:sz w:val="18"/>
        <w:szCs w:val="18"/>
        <w:rFonts w:ascii="Corbel" w:hAnsi="Corbel"/>
      </w:rPr>
      <w:fldChar w:fldCharType="end"/>
    </w:r>
    <w:r>
      <w:rPr>
        <w:rFonts w:ascii="Corbel" w:hAnsi="Corbel"/>
        <w:sz w:val="18"/>
        <w:szCs w:val="18"/>
      </w:rPr>
      <w:t xml:space="preserve"> -</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rFonts w:ascii="Corbel" w:hAnsi="Corbel"/>
          <w:sz w:val="16"/>
          <w:szCs w:val="16"/>
        </w:rPr>
      </w:pPr>
      <w:r>
        <w:rPr>
          <w:rStyle w:val="FootnoteCharacters"/>
        </w:rPr>
        <w:footnoteRef/>
      </w:r>
      <w:r>
        <w:rPr>
          <w:rFonts w:ascii="Corbel" w:hAnsi="Corbel"/>
          <w:sz w:val="16"/>
          <w:szCs w:val="16"/>
        </w:rPr>
        <w:t xml:space="preserve"> </w:t>
      </w:r>
      <w:r>
        <w:rPr>
          <w:rFonts w:ascii="Corbel" w:hAnsi="Corbel"/>
          <w:sz w:val="16"/>
          <w:szCs w:val="16"/>
        </w:rPr>
        <w:t>Doorstrepen wat niet van toepassing is.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drawing>
        <wp:inline distT="0" distB="0" distL="0" distR="0">
          <wp:extent cx="1524000" cy="505460"/>
          <wp:effectExtent l="0" t="0" r="0" b="0"/>
          <wp:docPr id="1" name="Afbeelding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0" descr=""/>
                  <pic:cNvPicPr>
                    <a:picLocks noChangeAspect="1" noChangeArrowheads="1"/>
                  </pic:cNvPicPr>
                </pic:nvPicPr>
                <pic:blipFill>
                  <a:blip r:embed="rId1"/>
                  <a:stretch>
                    <a:fillRect/>
                  </a:stretch>
                </pic:blipFill>
                <pic:spPr bwMode="auto">
                  <a:xfrm>
                    <a:off x="0" y="0"/>
                    <a:ext cx="1524000" cy="505460"/>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drawing>
        <wp:inline distT="0" distB="0" distL="0" distR="0">
          <wp:extent cx="1524000" cy="505460"/>
          <wp:effectExtent l="0" t="0" r="0" b="0"/>
          <wp:docPr id="2" name="Afbeelding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0" descr=""/>
                  <pic:cNvPicPr>
                    <a:picLocks noChangeAspect="1" noChangeArrowheads="1"/>
                  </pic:cNvPicPr>
                </pic:nvPicPr>
                <pic:blipFill>
                  <a:blip r:embed="rId1"/>
                  <a:stretch>
                    <a:fillRect/>
                  </a:stretch>
                </pic:blipFill>
                <pic:spPr bwMode="auto">
                  <a:xfrm>
                    <a:off x="0" y="0"/>
                    <a:ext cx="1524000" cy="50546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76" w:hanging="476"/>
      </w:pPr>
      <w:rPr>
        <w:sz w:val="60"/>
        <w:b w:val="false"/>
        <w:rFonts w:ascii="Corbel" w:hAnsi="Corbel"/>
        <w:color w:themeColor="accent2" w:val="BB9C00"/>
      </w:rPr>
    </w:lvl>
    <w:lvl w:ilvl="1">
      <w:start w:val="1"/>
      <w:numFmt w:val="decimal"/>
      <w:lvlText w:val="%1.%2"/>
      <w:lvlJc w:val="left"/>
      <w:pPr>
        <w:tabs>
          <w:tab w:val="num" w:pos="0"/>
        </w:tabs>
        <w:ind w:left="476" w:hanging="476"/>
      </w:pPr>
      <w:rPr>
        <w:sz w:val="24"/>
        <w:b/>
        <w:rFonts w:ascii="Corbel" w:hAnsi="Corbel"/>
        <w:color w:themeColor="text1" w:val="441D42"/>
      </w:rPr>
    </w:lvl>
    <w:lvl w:ilvl="2">
      <w:start w:val="1"/>
      <w:numFmt w:val="decimal"/>
      <w:lvlText w:val="%1.%2.%3"/>
      <w:lvlJc w:val="left"/>
      <w:pPr>
        <w:tabs>
          <w:tab w:val="num" w:pos="0"/>
        </w:tabs>
        <w:ind w:left="476" w:hanging="476"/>
      </w:pPr>
      <w:rPr>
        <w:sz w:val="24"/>
        <w:b/>
        <w:rFonts w:ascii="Corbel" w:hAnsi="Corbel"/>
        <w:color w:themeColor="text1" w:val="441D42"/>
      </w:rPr>
    </w:lvl>
    <w:lvl w:ilvl="3">
      <w:start w:val="1"/>
      <w:numFmt w:val="decimal"/>
      <w:suff w:val="space"/>
      <w:lvlText w:val="Bijlage %4"/>
      <w:lvlJc w:val="left"/>
      <w:pPr>
        <w:tabs>
          <w:tab w:val="num" w:pos="0"/>
        </w:tabs>
        <w:ind w:left="0" w:hanging="0"/>
      </w:pPr>
      <w:rPr>
        <w:sz w:val="60"/>
        <w:rFonts w:ascii="Corbel" w:hAnsi="Corbel"/>
        <w:color w:themeColor="accent2" w:val="BB9C00"/>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360"/>
        </w:tabs>
        <w:ind w:left="220" w:hanging="220"/>
      </w:pPr>
      <w:rPr>
        <w:rFonts w:ascii="Palatino Linotype" w:hAnsi="Palatino Linotype" w:cs="Palatino Linotype"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153d"/>
    <w:pPr>
      <w:widowControl/>
      <w:bidi w:val="0"/>
      <w:spacing w:lineRule="auto" w:line="276" w:before="0" w:after="0"/>
      <w:jc w:val="left"/>
    </w:pPr>
    <w:rPr>
      <w:rFonts w:ascii="Verdana" w:hAnsi="Verdana" w:eastAsia="Times New Roman" w:cs="Times New Roman"/>
      <w:color w:val="auto"/>
      <w:kern w:val="0"/>
      <w:sz w:val="19"/>
      <w:szCs w:val="20"/>
      <w:lang w:eastAsia="nl-NL" w:val="nl-NL" w:bidi="ar-SA"/>
    </w:rPr>
  </w:style>
  <w:style w:type="paragraph" w:styleId="Heading1">
    <w:name w:val="Heading 1"/>
    <w:next w:val="Normal"/>
    <w:link w:val="Kop1Char"/>
    <w:uiPriority w:val="99"/>
    <w:qFormat/>
    <w:rsid w:val="00360100"/>
    <w:pPr>
      <w:keepNext w:val="true"/>
      <w:keepLines/>
      <w:widowControl/>
      <w:numPr>
        <w:ilvl w:val="0"/>
        <w:numId w:val="1"/>
      </w:numPr>
      <w:bidi w:val="0"/>
      <w:spacing w:lineRule="atLeast" w:line="720" w:before="0" w:after="300"/>
      <w:jc w:val="left"/>
      <w:outlineLvl w:val="0"/>
    </w:pPr>
    <w:rPr>
      <w:rFonts w:ascii="Corbel" w:hAnsi="Corbel" w:eastAsia="" w:cs="" w:cstheme="majorBidi" w:eastAsiaTheme="majorEastAsia"/>
      <w:bCs/>
      <w:color w:themeColor="accent2" w:val="BB9C00"/>
      <w:kern w:val="0"/>
      <w:sz w:val="60"/>
      <w:szCs w:val="28"/>
      <w:lang w:val="nl-NL" w:eastAsia="en-US" w:bidi="ar-SA"/>
    </w:rPr>
  </w:style>
  <w:style w:type="paragraph" w:styleId="Heading2">
    <w:name w:val="Heading 2"/>
    <w:basedOn w:val="Normal"/>
    <w:next w:val="Normal"/>
    <w:link w:val="Kop2Char"/>
    <w:uiPriority w:val="99"/>
    <w:unhideWhenUsed/>
    <w:qFormat/>
    <w:rsid w:val="00360100"/>
    <w:pPr>
      <w:keepNext w:val="true"/>
      <w:keepLines/>
      <w:numPr>
        <w:ilvl w:val="1"/>
        <w:numId w:val="1"/>
      </w:numPr>
      <w:spacing w:before="0" w:after="280"/>
      <w:outlineLvl w:val="1"/>
    </w:pPr>
    <w:rPr>
      <w:rFonts w:eastAsia="" w:cs="" w:cstheme="majorBidi" w:eastAsiaTheme="majorEastAsia"/>
      <w:b/>
      <w:bCs/>
      <w:color w:themeColor="text1" w:val="441D42"/>
      <w:sz w:val="24"/>
      <w:szCs w:val="26"/>
    </w:rPr>
  </w:style>
  <w:style w:type="paragraph" w:styleId="Heading3">
    <w:name w:val="Heading 3"/>
    <w:basedOn w:val="Normal"/>
    <w:next w:val="Normal"/>
    <w:link w:val="Kop3Char"/>
    <w:unhideWhenUsed/>
    <w:qFormat/>
    <w:rsid w:val="00360100"/>
    <w:pPr>
      <w:keepNext w:val="true"/>
      <w:keepLines/>
      <w:numPr>
        <w:ilvl w:val="2"/>
        <w:numId w:val="1"/>
      </w:numPr>
      <w:spacing w:before="0" w:after="280"/>
      <w:outlineLvl w:val="2"/>
    </w:pPr>
    <w:rPr>
      <w:rFonts w:eastAsia="" w:cs="" w:cstheme="majorBidi" w:eastAsiaTheme="majorEastAsia"/>
      <w:b/>
      <w:bCs/>
      <w:color w:themeColor="accent1" w:val="441D42"/>
    </w:rPr>
  </w:style>
  <w:style w:type="paragraph" w:styleId="Heading4">
    <w:name w:val="Heading 4"/>
    <w:basedOn w:val="Normal"/>
    <w:next w:val="Normal"/>
    <w:link w:val="Kop4Char"/>
    <w:unhideWhenUsed/>
    <w:qFormat/>
    <w:rsid w:val="00360100"/>
    <w:pPr>
      <w:keepNext w:val="true"/>
      <w:keepLines/>
      <w:outlineLvl w:val="3"/>
    </w:pPr>
    <w:rPr>
      <w:rFonts w:eastAsia="" w:cs="" w:cstheme="majorBidi" w:eastAsiaTheme="majorEastAsia"/>
      <w:b/>
      <w:bCs/>
      <w:iCs/>
      <w:color w:themeColor="accent1" w:val="441D42"/>
    </w:rPr>
  </w:style>
  <w:style w:type="paragraph" w:styleId="Heading5">
    <w:name w:val="Heading 5"/>
    <w:basedOn w:val="Normal"/>
    <w:next w:val="Normal"/>
    <w:link w:val="Kop5Char"/>
    <w:unhideWhenUsed/>
    <w:qFormat/>
    <w:rsid w:val="00360100"/>
    <w:pPr>
      <w:keepNext w:val="true"/>
      <w:keepLines/>
      <w:outlineLvl w:val="4"/>
    </w:pPr>
    <w:rPr>
      <w:rFonts w:eastAsia="" w:cs="" w:cstheme="majorBidi" w:eastAsiaTheme="majorEastAsia"/>
      <w:i/>
      <w:color w:themeColor="text1" w:val="441D42"/>
    </w:rPr>
  </w:style>
  <w:style w:type="paragraph" w:styleId="Heading6">
    <w:name w:val="Heading 6"/>
    <w:basedOn w:val="Normal"/>
    <w:next w:val="Normal"/>
    <w:link w:val="Kop6Char"/>
    <w:unhideWhenUsed/>
    <w:qFormat/>
    <w:rsid w:val="00360100"/>
    <w:pPr>
      <w:keepNext w:val="true"/>
      <w:keepLines/>
      <w:numPr>
        <w:ilvl w:val="3"/>
        <w:numId w:val="1"/>
      </w:numPr>
      <w:spacing w:lineRule="atLeast" w:line="720" w:before="0" w:after="300"/>
      <w:outlineLvl w:val="5"/>
    </w:pPr>
    <w:rPr>
      <w:rFonts w:eastAsia="" w:cs="" w:cstheme="majorBidi" w:eastAsiaTheme="majorEastAsia"/>
      <w:iCs/>
      <w:color w:themeColor="accent2" w:val="BB9C00"/>
      <w:sz w:val="60"/>
    </w:rPr>
  </w:style>
  <w:style w:type="paragraph" w:styleId="Heading7">
    <w:name w:val="Heading 7"/>
    <w:basedOn w:val="Normal"/>
    <w:next w:val="Normal"/>
    <w:link w:val="Kop7Char"/>
    <w:unhideWhenUsed/>
    <w:qFormat/>
    <w:rsid w:val="00360100"/>
    <w:pPr>
      <w:keepNext w:val="true"/>
      <w:keepLines/>
      <w:spacing w:before="200" w:after="0"/>
      <w:outlineLvl w:val="6"/>
    </w:pPr>
    <w:rPr>
      <w:rFonts w:ascii="Cambria" w:hAnsi="Cambria" w:eastAsia="" w:cs="" w:asciiTheme="majorHAnsi" w:cstheme="majorBidi" w:eastAsiaTheme="majorEastAsia" w:hAnsiTheme="majorHAnsi"/>
      <w:i/>
      <w:iCs/>
      <w:color w:themeColor="text1" w:themeTint="bf" w:val="8C3C87"/>
    </w:rPr>
  </w:style>
  <w:style w:type="paragraph" w:styleId="Heading8">
    <w:name w:val="Heading 8"/>
    <w:basedOn w:val="Normal"/>
    <w:next w:val="Normal"/>
    <w:link w:val="Kop8Char"/>
    <w:uiPriority w:val="9"/>
    <w:semiHidden/>
    <w:unhideWhenUsed/>
    <w:qFormat/>
    <w:rsid w:val="00360100"/>
    <w:pPr>
      <w:keepNext w:val="true"/>
      <w:keepLines/>
      <w:spacing w:before="200" w:after="0"/>
      <w:outlineLvl w:val="7"/>
    </w:pPr>
    <w:rPr>
      <w:rFonts w:ascii="Cambria" w:hAnsi="Cambria" w:eastAsia="" w:cs="" w:asciiTheme="majorHAnsi" w:cstheme="majorBidi" w:eastAsiaTheme="majorEastAsia" w:hAnsiTheme="majorHAnsi"/>
      <w:color w:themeColor="text1" w:themeTint="bf" w:val="8C3C87"/>
    </w:rPr>
  </w:style>
  <w:style w:type="paragraph" w:styleId="Heading9">
    <w:name w:val="Heading 9"/>
    <w:basedOn w:val="Normal"/>
    <w:next w:val="Normal"/>
    <w:link w:val="Kop9Char"/>
    <w:unhideWhenUsed/>
    <w:qFormat/>
    <w:rsid w:val="00360100"/>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8C3C87"/>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link w:val="Heading1"/>
    <w:uiPriority w:val="99"/>
    <w:qFormat/>
    <w:rsid w:val="00360100"/>
    <w:rPr>
      <w:rFonts w:ascii="Corbel" w:hAnsi="Corbel" w:eastAsia="" w:cs="" w:cstheme="majorBidi" w:eastAsiaTheme="majorEastAsia"/>
      <w:bCs/>
      <w:color w:themeColor="accent2" w:val="BB9C00"/>
      <w:sz w:val="60"/>
      <w:szCs w:val="28"/>
    </w:rPr>
  </w:style>
  <w:style w:type="character" w:styleId="Kop2Char" w:customStyle="1">
    <w:name w:val="Kop 2 Char"/>
    <w:basedOn w:val="DefaultParagraphFont"/>
    <w:link w:val="Heading2"/>
    <w:uiPriority w:val="9"/>
    <w:qFormat/>
    <w:rsid w:val="00360100"/>
    <w:rPr>
      <w:rFonts w:ascii="Corbel" w:hAnsi="Corbel" w:eastAsia="" w:cs="" w:cstheme="majorBidi" w:eastAsiaTheme="majorEastAsia"/>
      <w:b/>
      <w:bCs/>
      <w:color w:themeColor="text1" w:val="441D42"/>
      <w:sz w:val="24"/>
      <w:szCs w:val="26"/>
    </w:rPr>
  </w:style>
  <w:style w:type="character" w:styleId="Kop3Char" w:customStyle="1">
    <w:name w:val="Kop 3 Char"/>
    <w:basedOn w:val="DefaultParagraphFont"/>
    <w:link w:val="Heading3"/>
    <w:uiPriority w:val="9"/>
    <w:qFormat/>
    <w:rsid w:val="00360100"/>
    <w:rPr>
      <w:rFonts w:ascii="Corbel" w:hAnsi="Corbel" w:eastAsia="" w:cs="" w:cstheme="majorBidi" w:eastAsiaTheme="majorEastAsia"/>
      <w:b/>
      <w:bCs/>
      <w:color w:themeColor="accent1" w:val="441D42"/>
      <w:sz w:val="20"/>
    </w:rPr>
  </w:style>
  <w:style w:type="character" w:styleId="Kop6Char" w:customStyle="1">
    <w:name w:val="Kop 6 Char"/>
    <w:basedOn w:val="DefaultParagraphFont"/>
    <w:link w:val="Heading6"/>
    <w:uiPriority w:val="9"/>
    <w:qFormat/>
    <w:rsid w:val="00360100"/>
    <w:rPr>
      <w:rFonts w:ascii="Corbel" w:hAnsi="Corbel" w:eastAsia="" w:cs="" w:cstheme="majorBidi" w:eastAsiaTheme="majorEastAsia"/>
      <w:iCs/>
      <w:color w:themeColor="accent2" w:val="BB9C00"/>
      <w:sz w:val="60"/>
    </w:rPr>
  </w:style>
  <w:style w:type="character" w:styleId="stlDatum" w:customStyle="1">
    <w:name w:val="stlDatum"/>
    <w:basedOn w:val="DefaultParagraphFont"/>
    <w:uiPriority w:val="1"/>
    <w:qFormat/>
    <w:rsid w:val="00360100"/>
    <w:rPr/>
  </w:style>
  <w:style w:type="character" w:styleId="stlVersie" w:customStyle="1">
    <w:name w:val="stlVersie"/>
    <w:uiPriority w:val="1"/>
    <w:qFormat/>
    <w:rsid w:val="00360100"/>
    <w:rPr/>
  </w:style>
  <w:style w:type="character" w:styleId="Kop4Char" w:customStyle="1">
    <w:name w:val="Kop 4 Char"/>
    <w:basedOn w:val="DefaultParagraphFont"/>
    <w:link w:val="Heading4"/>
    <w:uiPriority w:val="9"/>
    <w:qFormat/>
    <w:rsid w:val="00360100"/>
    <w:rPr>
      <w:rFonts w:ascii="Corbel" w:hAnsi="Corbel" w:eastAsia="" w:cs="" w:cstheme="majorBidi" w:eastAsiaTheme="majorEastAsia"/>
      <w:b/>
      <w:bCs/>
      <w:iCs/>
      <w:color w:themeColor="accent1" w:val="441D42"/>
      <w:sz w:val="20"/>
    </w:rPr>
  </w:style>
  <w:style w:type="character" w:styleId="Kop5Char" w:customStyle="1">
    <w:name w:val="Kop 5 Char"/>
    <w:basedOn w:val="DefaultParagraphFont"/>
    <w:link w:val="Heading5"/>
    <w:uiPriority w:val="9"/>
    <w:qFormat/>
    <w:rsid w:val="00360100"/>
    <w:rPr>
      <w:rFonts w:ascii="Corbel" w:hAnsi="Corbel" w:eastAsia="" w:cs="" w:cstheme="majorBidi" w:eastAsiaTheme="majorEastAsia"/>
      <w:i/>
      <w:color w:themeColor="text1" w:val="441D42"/>
      <w:sz w:val="20"/>
    </w:rPr>
  </w:style>
  <w:style w:type="character" w:styleId="Kop7Char" w:customStyle="1">
    <w:name w:val="Kop 7 Char"/>
    <w:basedOn w:val="DefaultParagraphFont"/>
    <w:link w:val="Heading7"/>
    <w:uiPriority w:val="9"/>
    <w:semiHidden/>
    <w:qFormat/>
    <w:rsid w:val="00360100"/>
    <w:rPr>
      <w:rFonts w:ascii="Cambria" w:hAnsi="Cambria" w:eastAsia="" w:cs="" w:asciiTheme="majorHAnsi" w:cstheme="majorBidi" w:eastAsiaTheme="majorEastAsia" w:hAnsiTheme="majorHAnsi"/>
      <w:i/>
      <w:iCs/>
      <w:color w:themeColor="text1" w:themeTint="bf" w:val="8C3C87"/>
      <w:sz w:val="20"/>
    </w:rPr>
  </w:style>
  <w:style w:type="character" w:styleId="Kop8Char" w:customStyle="1">
    <w:name w:val="Kop 8 Char"/>
    <w:basedOn w:val="DefaultParagraphFont"/>
    <w:link w:val="Heading8"/>
    <w:uiPriority w:val="9"/>
    <w:semiHidden/>
    <w:qFormat/>
    <w:rsid w:val="00360100"/>
    <w:rPr>
      <w:rFonts w:ascii="Cambria" w:hAnsi="Cambria" w:eastAsia="" w:cs="" w:asciiTheme="majorHAnsi" w:cstheme="majorBidi" w:eastAsiaTheme="majorEastAsia" w:hAnsiTheme="majorHAnsi"/>
      <w:color w:themeColor="text1" w:themeTint="bf" w:val="8C3C87"/>
      <w:sz w:val="20"/>
      <w:szCs w:val="20"/>
    </w:rPr>
  </w:style>
  <w:style w:type="character" w:styleId="Kop9Char" w:customStyle="1">
    <w:name w:val="Kop 9 Char"/>
    <w:basedOn w:val="DefaultParagraphFont"/>
    <w:link w:val="Heading9"/>
    <w:uiPriority w:val="9"/>
    <w:semiHidden/>
    <w:qFormat/>
    <w:rsid w:val="00360100"/>
    <w:rPr>
      <w:rFonts w:ascii="Cambria" w:hAnsi="Cambria" w:eastAsia="" w:cs="" w:asciiTheme="majorHAnsi" w:cstheme="majorBidi" w:eastAsiaTheme="majorEastAsia" w:hAnsiTheme="majorHAnsi"/>
      <w:i/>
      <w:iCs/>
      <w:color w:themeColor="text1" w:themeTint="bf" w:val="8C3C87"/>
      <w:sz w:val="20"/>
      <w:szCs w:val="20"/>
    </w:rPr>
  </w:style>
  <w:style w:type="character" w:styleId="BallontekstChar" w:customStyle="1">
    <w:name w:val="Ballontekst Char"/>
    <w:basedOn w:val="DefaultParagraphFont"/>
    <w:link w:val="BalloonText"/>
    <w:uiPriority w:val="99"/>
    <w:semiHidden/>
    <w:qFormat/>
    <w:rsid w:val="005a378d"/>
    <w:rPr>
      <w:rFonts w:ascii="Segoe UI" w:hAnsi="Segoe UI" w:eastAsia="Times New Roman" w:cs="Segoe UI"/>
      <w:sz w:val="18"/>
      <w:szCs w:val="18"/>
      <w:lang w:eastAsia="nl-NL"/>
    </w:rPr>
  </w:style>
  <w:style w:type="character" w:styleId="LijstalineaChar" w:customStyle="1">
    <w:name w:val="Lijstalinea Char"/>
    <w:link w:val="ListParagraph"/>
    <w:uiPriority w:val="34"/>
    <w:qFormat/>
    <w:locked/>
    <w:rsid w:val="002d1d74"/>
    <w:rPr/>
  </w:style>
  <w:style w:type="character" w:styleId="VoetnoottekstChar" w:customStyle="1">
    <w:name w:val="Voetnoottekst Char"/>
    <w:basedOn w:val="DefaultParagraphFont"/>
    <w:link w:val="FootnoteText"/>
    <w:uiPriority w:val="99"/>
    <w:semiHidden/>
    <w:qFormat/>
    <w:rsid w:val="00396a4e"/>
    <w:rPr>
      <w:rFonts w:ascii="Verdana" w:hAnsi="Verdana" w:eastAsia="Times New Roman" w:cs="Times New Roman"/>
      <w:sz w:val="20"/>
      <w:szCs w:val="20"/>
      <w:lang w:eastAsia="nl-NL"/>
    </w:rPr>
  </w:style>
  <w:style w:type="character" w:styleId="FootnoteCharacters">
    <w:name w:val="Footnote Characters"/>
    <w:basedOn w:val="DefaultParagraphFont"/>
    <w:uiPriority w:val="99"/>
    <w:semiHidden/>
    <w:unhideWhenUsed/>
    <w:qFormat/>
    <w:rsid w:val="00396a4e"/>
    <w:rPr>
      <w:vertAlign w:val="superscript"/>
    </w:rPr>
  </w:style>
  <w:style w:type="character" w:styleId="FootnoteReference">
    <w:name w:val="Footnote Reference"/>
    <w:rPr>
      <w:vertAlign w:val="superscript"/>
    </w:rPr>
  </w:style>
  <w:style w:type="character" w:styleId="KoptekstChar" w:customStyle="1">
    <w:name w:val="Koptekst Char"/>
    <w:basedOn w:val="DefaultParagraphFont"/>
    <w:link w:val="Header"/>
    <w:uiPriority w:val="99"/>
    <w:qFormat/>
    <w:rsid w:val="00396a4e"/>
    <w:rPr>
      <w:rFonts w:ascii="Verdana" w:hAnsi="Verdana" w:eastAsia="Times New Roman" w:cs="Times New Roman"/>
      <w:sz w:val="19"/>
      <w:szCs w:val="20"/>
      <w:lang w:eastAsia="nl-NL"/>
    </w:rPr>
  </w:style>
  <w:style w:type="character" w:styleId="VoettekstChar" w:customStyle="1">
    <w:name w:val="Voettekst Char"/>
    <w:basedOn w:val="DefaultParagraphFont"/>
    <w:link w:val="Footer"/>
    <w:qFormat/>
    <w:rsid w:val="00396a4e"/>
    <w:rPr>
      <w:rFonts w:ascii="Verdana" w:hAnsi="Verdana" w:eastAsia="Times New Roman" w:cs="Times New Roman"/>
      <w:sz w:val="19"/>
      <w:szCs w:val="20"/>
      <w:lang w:eastAsia="nl-NL"/>
    </w:rPr>
  </w:style>
  <w:style w:type="character" w:styleId="LineNumber">
    <w:name w:val="Line Number"/>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next w:val="Normal"/>
    <w:qFormat/>
    <w:rsid w:val="0007153d"/>
    <w:pPr>
      <w:spacing w:before="120" w:after="0"/>
    </w:pPr>
    <w:rPr>
      <w:i/>
    </w:rPr>
  </w:style>
  <w:style w:type="paragraph" w:styleId="Index">
    <w:name w:val="Index"/>
    <w:basedOn w:val="Normal"/>
    <w:qFormat/>
    <w:pPr>
      <w:suppressLineNumbers/>
    </w:pPr>
    <w:rPr>
      <w:rFonts w:cs="FreeSans"/>
    </w:rPr>
  </w:style>
  <w:style w:type="paragraph" w:styleId="stlColofon" w:customStyle="1">
    <w:name w:val="stlColofon"/>
    <w:qFormat/>
    <w:rsid w:val="00360100"/>
    <w:pPr>
      <w:widowControl/>
      <w:bidi w:val="0"/>
      <w:spacing w:lineRule="atLeast" w:line="280" w:before="0" w:after="0"/>
      <w:jc w:val="left"/>
    </w:pPr>
    <w:rPr>
      <w:rFonts w:ascii="Corbel" w:hAnsi="Corbel" w:eastAsia="Calibri" w:cs=""/>
      <w:color w:themeColor="text1" w:val="441D42"/>
      <w:kern w:val="0"/>
      <w:sz w:val="20"/>
      <w:szCs w:val="22"/>
      <w:lang w:val="nl-NL" w:eastAsia="en-US" w:bidi="ar-SA"/>
    </w:rPr>
  </w:style>
  <w:style w:type="paragraph" w:styleId="stlColofonKop" w:customStyle="1">
    <w:name w:val="stlColofonKop"/>
    <w:basedOn w:val="stlColofon"/>
    <w:qFormat/>
    <w:rsid w:val="00360100"/>
    <w:pPr/>
    <w:rPr>
      <w:b/>
    </w:rPr>
  </w:style>
  <w:style w:type="paragraph" w:styleId="stlTitel" w:customStyle="1">
    <w:name w:val="stlTitel"/>
    <w:basedOn w:val="Normal"/>
    <w:next w:val="Normal"/>
    <w:qFormat/>
    <w:rsid w:val="00360100"/>
    <w:pPr>
      <w:spacing w:lineRule="atLeast" w:line="960"/>
    </w:pPr>
    <w:rPr>
      <w:color w:themeColor="text1" w:val="441D42"/>
      <w:sz w:val="80"/>
    </w:rPr>
  </w:style>
  <w:style w:type="paragraph" w:styleId="stlOndertitel" w:customStyle="1">
    <w:name w:val="stlOndertitel"/>
    <w:basedOn w:val="stlTitel"/>
    <w:qFormat/>
    <w:rsid w:val="00360100"/>
    <w:pPr>
      <w:spacing w:lineRule="atLeast" w:line="360"/>
    </w:pPr>
    <w:rPr>
      <w:sz w:val="30"/>
    </w:rPr>
  </w:style>
  <w:style w:type="paragraph" w:styleId="stlQuote" w:customStyle="1">
    <w:name w:val="stlQuote"/>
    <w:basedOn w:val="Normal"/>
    <w:qFormat/>
    <w:rsid w:val="00360100"/>
    <w:pPr>
      <w:spacing w:lineRule="atLeast" w:line="380" w:before="0" w:after="380"/>
    </w:pPr>
    <w:rPr>
      <w:i/>
      <w:color w:themeColor="text1" w:val="441D42"/>
      <w:sz w:val="30"/>
    </w:rPr>
  </w:style>
  <w:style w:type="paragraph" w:styleId="stlQuoteAfzender" w:customStyle="1">
    <w:name w:val="stlQuoteAfzender"/>
    <w:basedOn w:val="stlQuote"/>
    <w:qFormat/>
    <w:rsid w:val="00360100"/>
    <w:pPr/>
    <w:rPr>
      <w:i w:val="false"/>
      <w:color w:themeColor="text1" w:val="auto"/>
    </w:rPr>
  </w:style>
  <w:style w:type="paragraph" w:styleId="ListBullet">
    <w:name w:val="List Bullet"/>
    <w:basedOn w:val="Normal"/>
    <w:rsid w:val="003b0411"/>
    <w:pPr>
      <w:numPr>
        <w:ilvl w:val="0"/>
        <w:numId w:val="2"/>
      </w:numPr>
      <w:tabs>
        <w:tab w:val="clear" w:pos="708"/>
        <w:tab w:val="left" w:pos="220" w:leader="none"/>
        <w:tab w:val="left" w:pos="440" w:leader="none"/>
        <w:tab w:val="left" w:pos="660" w:leader="none"/>
        <w:tab w:val="left" w:pos="1100" w:leader="none"/>
        <w:tab w:val="left" w:pos="1320" w:leader="none"/>
        <w:tab w:val="left" w:pos="2160" w:leader="none"/>
        <w:tab w:val="left" w:pos="2880" w:leader="none"/>
        <w:tab w:val="left" w:pos="3600" w:leader="none"/>
        <w:tab w:val="left" w:pos="4320" w:leader="none"/>
      </w:tabs>
      <w:spacing w:lineRule="atLeast" w:line="260"/>
    </w:pPr>
    <w:rPr>
      <w:rFonts w:ascii="Times New Roman" w:hAnsi="Times New Roman"/>
      <w:sz w:val="20"/>
    </w:rPr>
  </w:style>
  <w:style w:type="paragraph" w:styleId="ListParagraph">
    <w:name w:val="List Paragraph"/>
    <w:basedOn w:val="Normal"/>
    <w:link w:val="LijstalineaChar"/>
    <w:uiPriority w:val="34"/>
    <w:qFormat/>
    <w:rsid w:val="00b01b22"/>
    <w:pPr>
      <w:spacing w:lineRule="auto" w:line="259" w:before="0" w:after="160"/>
      <w:ind w:left="720"/>
      <w:contextualSpacing/>
    </w:pPr>
    <w:rPr>
      <w:rFonts w:ascii="Calibri" w:hAnsi="Calibri" w:eastAsia="Calibri" w:cs="" w:asciiTheme="minorHAnsi" w:cstheme="minorBidi" w:eastAsiaTheme="minorHAnsi" w:hAnsiTheme="minorHAnsi"/>
      <w:sz w:val="22"/>
      <w:szCs w:val="22"/>
      <w:lang w:eastAsia="en-US"/>
    </w:rPr>
  </w:style>
  <w:style w:type="paragraph" w:styleId="BalloonText">
    <w:name w:val="Balloon Text"/>
    <w:basedOn w:val="Normal"/>
    <w:link w:val="BallontekstChar"/>
    <w:uiPriority w:val="99"/>
    <w:semiHidden/>
    <w:unhideWhenUsed/>
    <w:qFormat/>
    <w:rsid w:val="005a378d"/>
    <w:pPr>
      <w:spacing w:lineRule="auto" w:line="240"/>
    </w:pPr>
    <w:rPr>
      <w:rFonts w:ascii="Segoe UI" w:hAnsi="Segoe UI" w:cs="Segoe UI"/>
      <w:sz w:val="18"/>
      <w:szCs w:val="18"/>
    </w:rPr>
  </w:style>
  <w:style w:type="paragraph" w:styleId="FootnoteText">
    <w:name w:val="Footnote Text"/>
    <w:basedOn w:val="Normal"/>
    <w:link w:val="VoetnoottekstChar"/>
    <w:uiPriority w:val="99"/>
    <w:semiHidden/>
    <w:unhideWhenUsed/>
    <w:rsid w:val="00396a4e"/>
    <w:pPr>
      <w:spacing w:lineRule="auto" w:line="240"/>
    </w:pPr>
    <w:rPr>
      <w:sz w:val="20"/>
    </w:rPr>
  </w:style>
  <w:style w:type="paragraph" w:styleId="HeaderandFooter">
    <w:name w:val="Header and Footer"/>
    <w:basedOn w:val="Normal"/>
    <w:qFormat/>
    <w:pPr/>
    <w:rPr/>
  </w:style>
  <w:style w:type="paragraph" w:styleId="Header">
    <w:name w:val="Header"/>
    <w:basedOn w:val="Normal"/>
    <w:link w:val="KoptekstChar"/>
    <w:uiPriority w:val="99"/>
    <w:unhideWhenUsed/>
    <w:rsid w:val="00396a4e"/>
    <w:pPr>
      <w:tabs>
        <w:tab w:val="clear" w:pos="708"/>
        <w:tab w:val="center" w:pos="4536" w:leader="none"/>
        <w:tab w:val="right" w:pos="9072" w:leader="none"/>
      </w:tabs>
      <w:spacing w:lineRule="auto" w:line="240"/>
    </w:pPr>
    <w:rPr/>
  </w:style>
  <w:style w:type="paragraph" w:styleId="Footer">
    <w:name w:val="Footer"/>
    <w:basedOn w:val="Normal"/>
    <w:link w:val="VoettekstChar"/>
    <w:unhideWhenUsed/>
    <w:rsid w:val="00396a4e"/>
    <w:pPr>
      <w:tabs>
        <w:tab w:val="clear" w:pos="708"/>
        <w:tab w:val="center" w:pos="4536" w:leader="none"/>
        <w:tab w:val="right" w:pos="9072" w:leader="none"/>
      </w:tabs>
      <w:spacing w:lineRule="auto" w:line="240"/>
    </w:pPr>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stlGMHoofdstukken" w:customStyle="1">
    <w:name w:val="stl_GM_Hoofdstukken"/>
    <w:uiPriority w:val="99"/>
    <w:qFormat/>
    <w:rsid w:val="00360100"/>
  </w:style>
  <w:style w:type="numbering" w:styleId="stlGMOpsommingBullet" w:customStyle="1">
    <w:name w:val="stl_GM_OpsommingBullet"/>
    <w:uiPriority w:val="99"/>
    <w:qFormat/>
    <w:rsid w:val="00360100"/>
  </w:style>
  <w:style w:type="table" w:default="1" w:styleId="Standaardtabel">
    <w:name w:val="Normal Table"/>
    <w:uiPriority w:val="99"/>
    <w:semiHidden/>
    <w:unhideWhenUsed/>
    <w:tblPr>
      <w:tblCellMar>
        <w:top w:w="0" w:type="dxa"/>
        <w:left w:w="108" w:type="dxa"/>
        <w:bottom w:w="0" w:type="dxa"/>
        <w:right w:w="108" w:type="dxa"/>
      </w:tblCellMar>
    </w:tblPr>
  </w:style>
  <w:style w:type="table" w:customStyle="1" w:styleId="stlTabel">
    <w:name w:val="stlTabel"/>
    <w:basedOn w:val="Standaardtabel"/>
    <w:uiPriority w:val="99"/>
    <w:rsid w:val="00360100"/>
    <w:pPr>
      <w:spacing w:after="0" w:line="240" w:lineRule="atLeast"/>
    </w:pPr>
    <w:rPr>
      <w:sz w:val="20"/>
    </w:rPr>
    <w:tblPr>
      <w:tblBorders>
        <w:top w:val="single" w:color="auto" w:sz="2" w:space="0"/>
        <w:left w:val="single" w:color="auto" w:sz="2" w:space="0"/>
        <w:bottom w:val="single" w:color="auto" w:sz="2" w:space="0"/>
        <w:right w:val="single" w:color="auto" w:sz="2" w:space="0"/>
        <w:insideH w:val="single" w:color="auto" w:sz="2" w:space="0"/>
      </w:tblBorders>
      <w:tblCellMar>
        <w:left w:w="57" w:type="dxa"/>
        <w:right w:w="85" w:type="dxa"/>
      </w:tblCellMar>
    </w:tblPr>
    <w:tblStylePr w:type="firstRow">
      <w:rPr>
        <w:b/>
        <w:color w:themeColor="background1"/>
        <w:sz w:val="20"/>
      </w:rPr>
      <w:tblPr/>
      <w:tcPr>
        <w:tcBorders>
          <w:top w:val="single" w:color="auto" w:sz="2" w:space="0"/>
          <w:left w:val="single" w:color="auto" w:sz="2" w:space="0"/>
          <w:bottom w:val="single" w:color="auto" w:sz="2" w:space="0"/>
          <w:right w:val="single" w:color="auto" w:sz="2" w:space="0"/>
          <w:insideH w:val="nil"/>
          <w:insideV w:val="nil"/>
          <w:tl2br w:val="nil"/>
          <w:tr2bl w:val="nil"/>
        </w:tcBorders>
        <w:shd w:val="clear" w:color="auto" w:fill="441D42" w:themeFill="text1"/>
      </w:tcPr>
    </w:tblStylePr>
  </w:style>
  <w:style w:type="table" w:styleId="Tabelraster">
    <w:name w:val="Table Grid"/>
    <w:basedOn w:val="Standaardtabel"/>
    <w:rsid w:val="00b01b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dTable4-Accent11">
    <w:name w:val="Grid Table 4 - Accent 11"/>
    <w:basedOn w:val="Standaardtabel"/>
    <w:uiPriority w:val="49"/>
    <w:rsid w:val="005a378d"/>
    <w:pPr>
      <w:spacing w:after="0" w:line="240" w:lineRule="auto"/>
    </w:pPr>
    <w:rPr>
      <w:lang w:eastAsia="nl-NL"/>
      <w:sz w:val="20"/>
      <w:szCs w:val="20"/>
    </w:rPr>
    <w:tblPr>
      <w:tblStyleRowBandSize w:val="1"/>
      <w:tblStyleColBandSize w:val="1"/>
      <w:tblBorders>
        <w:top w:val="single" w:color="B551AF" w:themeColor="accent1" w:themeTint="99" w:sz="4" w:space="0"/>
        <w:left w:val="single" w:color="B551AF" w:themeColor="accent1" w:themeTint="99" w:sz="4" w:space="0"/>
        <w:bottom w:val="single" w:color="B551AF" w:themeColor="accent1" w:themeTint="99" w:sz="4" w:space="0"/>
        <w:right w:val="single" w:color="B551AF" w:themeColor="accent1" w:themeTint="99" w:sz="4" w:space="0"/>
        <w:insideH w:val="single" w:color="B551AF" w:themeColor="accent1" w:themeTint="99" w:sz="4" w:space="0"/>
        <w:insideV w:val="single" w:color="B551AF" w:themeColor="accent1" w:themeTint="99" w:sz="4" w:space="0"/>
      </w:tblBorders>
    </w:tblPr>
    <w:tblStylePr w:type="firstRow">
      <w:rPr>
        <w:b/>
        <w:bCs/>
        <w:color w:themeColor="background1"/>
      </w:rPr>
      <w:tblPr/>
      <w:tcPr>
        <w:tcBorders>
          <w:top w:val="single" w:color="441D42" w:themeColor="accent1" w:sz="4" w:space="0"/>
          <w:left w:val="single" w:color="441D42" w:themeColor="accent1" w:sz="4" w:space="0"/>
          <w:bottom w:val="single" w:color="441D42" w:themeColor="accent1" w:sz="4" w:space="0"/>
          <w:right w:val="single" w:color="441D42" w:themeColor="accent1" w:sz="4" w:space="0"/>
          <w:insideH w:val="nil"/>
          <w:insideV w:val="nil"/>
        </w:tcBorders>
        <w:shd w:val="clear" w:color="auto" w:fill="441D42" w:themeFill="accent1"/>
      </w:tcPr>
    </w:tblStylePr>
    <w:tblStylePr w:type="lastRow">
      <w:rPr>
        <w:b/>
        <w:bCs/>
      </w:rPr>
      <w:tblPr/>
      <w:tcPr>
        <w:tcBorders>
          <w:top w:val="double" w:color="441D42" w:themeColor="accent1" w:sz="4" w:space="0"/>
        </w:tcBorders>
      </w:tcPr>
    </w:tblStylePr>
    <w:tblStylePr w:type="firstCol">
      <w:rPr>
        <w:b/>
        <w:bCs/>
      </w:rPr>
      <w:tblPr/>
    </w:tblStylePr>
    <w:tblStylePr w:type="lastCol">
      <w:rPr>
        <w:b/>
        <w:bCs/>
      </w:rPr>
      <w:tbl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Kantoorthema">
  <a:themeElements>
    <a:clrScheme name="GM_kleuren">
      <a:dk1>
        <a:srgbClr val="441d42"/>
      </a:dk1>
      <a:lt1>
        <a:srgbClr val="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6A4DAF3234DB408EDDBA9AEA14EB2F" ma:contentTypeVersion="3" ma:contentTypeDescription="Een nieuw document maken." ma:contentTypeScope="" ma:versionID="426625782eb679616efcdb9a02e6c456">
  <xsd:schema xmlns:xsd="http://www.w3.org/2001/XMLSchema" xmlns:xs="http://www.w3.org/2001/XMLSchema" xmlns:p="http://schemas.microsoft.com/office/2006/metadata/properties" xmlns:ns2="d43bb1e0-b457-485f-b2d8-f413b7a8c972" targetNamespace="http://schemas.microsoft.com/office/2006/metadata/properties" ma:root="true" ma:fieldsID="66d799cbae671c3c9e254bdf626343f3" ns2:_="">
    <xsd:import namespace="d43bb1e0-b457-485f-b2d8-f413b7a8c9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bb1e0-b457-485f-b2d8-f413b7a8c9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88FB6-1FA5-43F1-9CCB-401790083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bb1e0-b457-485f-b2d8-f413b7a8c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A3ECBC-4417-48C7-9622-6B0252296D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749E57-4133-4A84-9D82-3332A4A13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Application>LibreOffice/24.2.7.2$Linux_X86_64 LibreOffice_project/420$Build-2</Application>
  <AppVersion>15.0000</AppVersion>
  <Pages>2</Pages>
  <Words>736</Words>
  <Characters>4288</Characters>
  <CharactersWithSpaces>5011</CharactersWithSpaces>
  <Paragraphs>21</Paragraphs>
  <Company>Gemeente Gooise Meren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2026-02-03T08:42:00Z</dcterms:created>
  <dc:creator>Witteveen, Rosanne</dc:creator>
  <dc:description/>
  <dc:language>en-US</dc:language>
  <cp:lastModifiedBy/>
  <cp:lastPrinted>2018-09-25T13:13:00Z</cp:lastPrinted>
  <dcterms:modified xsi:type="dcterms:W3CDTF">2026-11-04T10:08:36Z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0x010100406A4DAF3234DB408EDDBA9AEA14EB2F</vt:lpwstr>
  </property>
  <property fmtid="{D5CDD505-2E9C-101B-9397-08002B2CF9AE}" pid="3" name="mzdDocumentBlobId">
    <vt:lpwstr>3409240</vt:lpwstr>
  </property>
  <property fmtid="{D5CDD505-2E9C-101B-9397-08002B2CF9AE}" pid="4" name="mzdDocumentId">
    <vt:lpwstr>2142182</vt:lpwstr>
  </property>
  <property fmtid="{D5CDD505-2E9C-101B-9397-08002B2CF9AE}" pid="5" name="mzdDocumentType">
    <vt:lpwstr>0</vt:lpwstr>
  </property>
  <property fmtid="{D5CDD505-2E9C-101B-9397-08002B2CF9AE}" pid="6" name="mzdZaaknummer">
    <vt:lpwstr>0</vt:lpwstr>
  </property>
</Properties>
</file>