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47820" w14:textId="0E9B671B" w:rsidR="0006757E" w:rsidRDefault="0006757E" w:rsidP="0006757E">
      <w:pPr>
        <w:pStyle w:val="Titel"/>
        <w:jc w:val="right"/>
        <w:rPr>
          <w:rFonts w:ascii="Open Sans" w:hAnsi="Open Sans"/>
          <w:b/>
          <w:color w:val="DF2E20"/>
          <w:spacing w:val="0"/>
          <w:kern w:val="0"/>
          <w:sz w:val="68"/>
          <w:lang w:eastAsia="ja-JP"/>
          <w14:ligatures w14:val="none"/>
        </w:rPr>
      </w:pPr>
      <w:r>
        <w:rPr>
          <w:rFonts w:ascii="Open Sans" w:hAnsi="Open Sans"/>
          <w:b/>
          <w:noProof/>
          <w:color w:val="DF2E20"/>
          <w:spacing w:val="0"/>
          <w:kern w:val="0"/>
          <w:sz w:val="68"/>
          <w:lang w:eastAsia="ja-JP"/>
          <w14:ligatures w14:val="none"/>
        </w:rPr>
        <w:drawing>
          <wp:inline distT="0" distB="0" distL="0" distR="0" wp14:anchorId="7DF0B145" wp14:editId="4A1123E8">
            <wp:extent cx="1371600" cy="615950"/>
            <wp:effectExtent l="0" t="0" r="0" b="0"/>
            <wp:docPr id="310173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615950"/>
                    </a:xfrm>
                    <a:prstGeom prst="rect">
                      <a:avLst/>
                    </a:prstGeom>
                    <a:noFill/>
                  </pic:spPr>
                </pic:pic>
              </a:graphicData>
            </a:graphic>
          </wp:inline>
        </w:drawing>
      </w:r>
    </w:p>
    <w:p w14:paraId="4E911FAE" w14:textId="77777777" w:rsidR="0006757E" w:rsidRDefault="0006757E" w:rsidP="004549FB">
      <w:pPr>
        <w:pStyle w:val="Titel"/>
        <w:rPr>
          <w:rFonts w:ascii="Open Sans" w:hAnsi="Open Sans"/>
          <w:b/>
          <w:color w:val="DF2E20"/>
          <w:spacing w:val="0"/>
          <w:kern w:val="0"/>
          <w:sz w:val="68"/>
          <w:lang w:eastAsia="ja-JP"/>
          <w14:ligatures w14:val="none"/>
        </w:rPr>
      </w:pPr>
    </w:p>
    <w:p w14:paraId="3353BC1B" w14:textId="307933A6" w:rsidR="00F94C7A" w:rsidRPr="00B429E3" w:rsidRDefault="00F94C7A" w:rsidP="004549FB">
      <w:pPr>
        <w:pStyle w:val="Titel"/>
        <w:rPr>
          <w:rFonts w:ascii="Open Sans" w:hAnsi="Open Sans"/>
          <w:b/>
          <w:color w:val="DF2E20"/>
          <w:spacing w:val="0"/>
          <w:kern w:val="0"/>
          <w:sz w:val="68"/>
          <w:lang w:eastAsia="ja-JP"/>
          <w14:ligatures w14:val="none"/>
        </w:rPr>
      </w:pPr>
      <w:r w:rsidRPr="00B429E3">
        <w:rPr>
          <w:rFonts w:ascii="Open Sans" w:hAnsi="Open Sans"/>
          <w:b/>
          <w:color w:val="DF2E20"/>
          <w:spacing w:val="0"/>
          <w:kern w:val="0"/>
          <w:sz w:val="68"/>
          <w:lang w:eastAsia="ja-JP"/>
          <w14:ligatures w14:val="none"/>
        </w:rPr>
        <w:t>Bijlage</w:t>
      </w:r>
      <w:r w:rsidR="004549FB" w:rsidRPr="00B429E3">
        <w:rPr>
          <w:rFonts w:ascii="Open Sans" w:hAnsi="Open Sans"/>
          <w:b/>
          <w:color w:val="DF2E20"/>
          <w:spacing w:val="0"/>
          <w:kern w:val="0"/>
          <w:sz w:val="68"/>
          <w:lang w:eastAsia="ja-JP"/>
          <w14:ligatures w14:val="none"/>
        </w:rPr>
        <w:t xml:space="preserve"> </w:t>
      </w:r>
      <w:r w:rsidR="002B14E4" w:rsidRPr="00B429E3">
        <w:rPr>
          <w:rFonts w:ascii="Open Sans" w:hAnsi="Open Sans"/>
          <w:b/>
          <w:color w:val="DF2E20"/>
          <w:spacing w:val="0"/>
          <w:kern w:val="0"/>
          <w:sz w:val="68"/>
          <w:lang w:eastAsia="ja-JP"/>
          <w14:ligatures w14:val="none"/>
        </w:rPr>
        <w:t>MVOI</w:t>
      </w:r>
      <w:r w:rsidR="00F52DC4" w:rsidRPr="00B429E3">
        <w:rPr>
          <w:rFonts w:ascii="Open Sans" w:hAnsi="Open Sans"/>
          <w:b/>
          <w:color w:val="DF2E20"/>
          <w:spacing w:val="0"/>
          <w:kern w:val="0"/>
          <w:sz w:val="68"/>
          <w:lang w:eastAsia="ja-JP"/>
          <w14:ligatures w14:val="none"/>
        </w:rPr>
        <w:t xml:space="preserve"> </w:t>
      </w:r>
      <w:r w:rsidR="002B14E4" w:rsidRPr="00B429E3">
        <w:rPr>
          <w:rFonts w:ascii="Open Sans" w:hAnsi="Open Sans"/>
          <w:b/>
          <w:color w:val="DF2E20"/>
          <w:spacing w:val="0"/>
          <w:kern w:val="0"/>
          <w:sz w:val="68"/>
          <w:lang w:eastAsia="ja-JP"/>
          <w14:ligatures w14:val="none"/>
        </w:rPr>
        <w:t>diensten</w:t>
      </w:r>
      <w:r w:rsidRPr="00B429E3">
        <w:rPr>
          <w:rFonts w:ascii="Open Sans" w:hAnsi="Open Sans"/>
          <w:b/>
          <w:color w:val="DF2E20"/>
          <w:spacing w:val="0"/>
          <w:kern w:val="0"/>
          <w:sz w:val="68"/>
          <w:lang w:eastAsia="ja-JP"/>
          <w14:ligatures w14:val="none"/>
        </w:rPr>
        <w:t xml:space="preserve"> en leveringen</w:t>
      </w:r>
    </w:p>
    <w:p w14:paraId="2E64194C" w14:textId="2D931388" w:rsidR="00F94C7A" w:rsidRDefault="00F94C7A" w:rsidP="53C6B469">
      <w:pPr>
        <w:pStyle w:val="Introtekst"/>
      </w:pPr>
      <w:r>
        <w:t>In deze bijlage staat de beschrijving wat MVOI is, hoe de Aanbestedende dienst hiermee omgaat en welke (beleids)doelen onder deze thema’s vallen verschillende thema’s uitgeschreven. Daarnaast zijn de thema’s gekoppeld aan de Sustainable Development Goals (SDG’). Ook geeft deze bijlage achtergrondinformatie waar de gemeentelijke organisatie zich mee bezig houd</w:t>
      </w:r>
      <w:r w:rsidR="2F65A123">
        <w:t>t</w:t>
      </w:r>
      <w:r>
        <w:t xml:space="preserve">. </w:t>
      </w:r>
    </w:p>
    <w:p w14:paraId="512B4902" w14:textId="77777777" w:rsidR="00F94C7A" w:rsidRPr="006F0389" w:rsidRDefault="00F94C7A" w:rsidP="00EE1CB0">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Doel</w:t>
      </w:r>
    </w:p>
    <w:p w14:paraId="049CA7C0" w14:textId="3DF7057B" w:rsidR="00F94C7A" w:rsidRPr="00292241" w:rsidRDefault="00F94C7A" w:rsidP="00EE1CB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 xml:space="preserve">Het doel van Maatschappelijk Verantwoord Inkopen is om via inkoop maatschappelijke effecten te bereiken. Dit krachtige instrument en beleidskader wordt ook op Europees en mondiaal niveau steeds vaker ingezet. In Nederland is het beleid hiervoor vastgelegd in het Nationaal Plan MVI 2021-2025.  Dit plan heeft als doel dat steeds meer organisaties maatschappelijk verantwoord opdrachtgeven en inkopen vaker en effectiever gaan toepassen. Dit is in lijn met de visie over inkopen binnen het Rijk, zoals verwoord in de strategie ‘Inkopen met Impact’. Het hoofddoel van het inkopen door het Rijk is om maatschappelijke effecten te bereiken, zaken te realiseren en resultaten te boeken. Het draait om meer dan rechtmatig en efficiënt inkopen. </w:t>
      </w:r>
    </w:p>
    <w:p w14:paraId="08DC11F2" w14:textId="77777777" w:rsidR="00F94C7A" w:rsidRPr="00B134C9" w:rsidRDefault="00F94C7A" w:rsidP="00EE1CB0">
      <w:pPr>
        <w:spacing w:line="276" w:lineRule="auto"/>
        <w:rPr>
          <w:rFonts w:ascii="Arial" w:eastAsia="Arial" w:hAnsi="Arial" w:cs="Arial"/>
          <w:sz w:val="20"/>
          <w:szCs w:val="20"/>
        </w:rPr>
      </w:pPr>
    </w:p>
    <w:p w14:paraId="7DA9364B" w14:textId="77777777" w:rsidR="00F94C7A" w:rsidRDefault="00F94C7A" w:rsidP="00EE1CB0">
      <w:pPr>
        <w:spacing w:line="276" w:lineRule="auto"/>
        <w:rPr>
          <w:rFonts w:ascii="Open Sans" w:eastAsiaTheme="minorEastAsia" w:hAnsi="Open Sans" w:cstheme="minorBidi"/>
          <w:lang w:eastAsia="ja-JP"/>
          <w14:ligatures w14:val="none"/>
        </w:rPr>
      </w:pPr>
      <w:r w:rsidRPr="00292241">
        <w:rPr>
          <w:rFonts w:ascii="Open Sans" w:eastAsiaTheme="minorEastAsia" w:hAnsi="Open Sans" w:cstheme="minorBidi"/>
          <w:lang w:eastAsia="ja-JP"/>
          <w14:ligatures w14:val="none"/>
        </w:rPr>
        <w:t>Het Nationaal Plan MVI beschrijft zes thema’s voor maatschappelijk verantwoord inkopen, gericht op de in de illustratie</w:t>
      </w:r>
      <w:r>
        <w:rPr>
          <w:rFonts w:ascii="Open Sans" w:eastAsiaTheme="minorEastAsia" w:hAnsi="Open Sans" w:cstheme="minorBidi"/>
          <w:lang w:eastAsia="ja-JP"/>
          <w14:ligatures w14:val="none"/>
        </w:rPr>
        <w:t xml:space="preserve"> 1</w:t>
      </w:r>
      <w:r w:rsidRPr="00292241">
        <w:rPr>
          <w:rFonts w:ascii="Open Sans" w:eastAsiaTheme="minorEastAsia" w:hAnsi="Open Sans" w:cstheme="minorBidi"/>
          <w:lang w:eastAsia="ja-JP"/>
          <w14:ligatures w14:val="none"/>
        </w:rPr>
        <w:t xml:space="preserve"> weergegeven maatschappelijke doelen. Al deze doelen zijn gekoppeld aan Sustainable Development Goal (SDG) ‘Verantwoorde consumptie en productie’ en aanvullend daarop ook aan de Sustainable Development Goals (SDG’s) die in de illustratie ‘Relatie maatschappelijke doelen en SDG’s’ zijn weergegeven.</w:t>
      </w:r>
    </w:p>
    <w:p w14:paraId="5F94E317" w14:textId="77777777" w:rsidR="00F94C7A" w:rsidRDefault="00F94C7A" w:rsidP="00F94C7A">
      <w:pPr>
        <w:spacing w:after="160" w:line="259" w:lineRule="auto"/>
        <w:rPr>
          <w:rFonts w:ascii="Open Sans" w:hAnsi="Open Sans"/>
          <w:bCs/>
          <w:sz w:val="28"/>
          <w:szCs w:val="28"/>
          <w:lang w:eastAsia="ja-JP"/>
          <w14:ligatures w14:val="none"/>
        </w:rPr>
      </w:pPr>
    </w:p>
    <w:p w14:paraId="6DD8CF55" w14:textId="77777777" w:rsidR="00F94C7A" w:rsidRDefault="00F94C7A" w:rsidP="00F94C7A">
      <w:pPr>
        <w:spacing w:after="160" w:line="259" w:lineRule="auto"/>
        <w:rPr>
          <w:rFonts w:ascii="Open Sans" w:eastAsiaTheme="majorEastAsia" w:hAnsi="Open Sans" w:cstheme="majorBidi"/>
          <w:b/>
          <w:bCs/>
          <w:sz w:val="28"/>
          <w:szCs w:val="28"/>
          <w:lang w:eastAsia="ja-JP"/>
          <w14:ligatures w14:val="none"/>
        </w:rPr>
      </w:pPr>
      <w:r>
        <w:rPr>
          <w:rFonts w:ascii="Open Sans" w:hAnsi="Open Sans"/>
          <w:bCs/>
          <w:sz w:val="28"/>
          <w:szCs w:val="28"/>
          <w:lang w:eastAsia="ja-JP"/>
          <w14:ligatures w14:val="none"/>
        </w:rPr>
        <w:br w:type="page"/>
      </w:r>
    </w:p>
    <w:p w14:paraId="3196D1E3" w14:textId="77777777" w:rsidR="00F94C7A" w:rsidRPr="00435ECA" w:rsidRDefault="00F94C7A" w:rsidP="00F94C7A">
      <w:pPr>
        <w:pStyle w:val="Kop2"/>
        <w:pBdr>
          <w:bottom w:val="none" w:sz="0" w:space="0" w:color="auto"/>
        </w:pBdr>
        <w:spacing w:before="100" w:beforeAutospacing="1" w:after="0" w:line="240" w:lineRule="auto"/>
        <w:rPr>
          <w:rFonts w:ascii="Open Sans" w:hAnsi="Open Sans"/>
          <w:bCs/>
          <w:color w:val="auto"/>
          <w:sz w:val="28"/>
          <w:szCs w:val="28"/>
          <w:lang w:eastAsia="ja-JP"/>
          <w14:ligatures w14:val="none"/>
        </w:rPr>
      </w:pPr>
      <w:r w:rsidRPr="00435ECA">
        <w:rPr>
          <w:rFonts w:ascii="Open Sans" w:hAnsi="Open Sans"/>
          <w:bCs/>
          <w:color w:val="auto"/>
          <w:sz w:val="28"/>
          <w:szCs w:val="28"/>
          <w:lang w:eastAsia="ja-JP"/>
          <w14:ligatures w14:val="none"/>
        </w:rPr>
        <w:lastRenderedPageBreak/>
        <w:t>MVOI- thema’s</w:t>
      </w:r>
    </w:p>
    <w:p w14:paraId="01FEBB6C"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Milieu (inclusief biodiversiteit) (SDG 12, 14, 15, 2, 6, 11)</w:t>
      </w:r>
    </w:p>
    <w:p w14:paraId="2468DC6D" w14:textId="77777777" w:rsidR="00F94C7A" w:rsidRDefault="00F94C7A" w:rsidP="00F94C7A">
      <w:pPr>
        <w:pStyle w:val="Lijstalinea"/>
        <w:numPr>
          <w:ilvl w:val="0"/>
          <w:numId w:val="6"/>
        </w:numPr>
        <w:spacing w:line="276" w:lineRule="auto"/>
        <w:jc w:val="both"/>
        <w:rPr>
          <w:rFonts w:ascii="Open Sans" w:eastAsiaTheme="minorEastAsia" w:hAnsi="Open Sans" w:cstheme="minorBidi"/>
          <w:lang w:eastAsia="ja-JP"/>
          <w14:ligatures w14:val="none"/>
        </w:rPr>
      </w:pPr>
      <w:r>
        <w:rPr>
          <w:rFonts w:ascii="Open Sans" w:eastAsiaTheme="minorEastAsia" w:hAnsi="Open Sans" w:cstheme="minorBidi"/>
          <w:lang w:eastAsia="ja-JP"/>
          <w14:ligatures w14:val="none"/>
        </w:rPr>
        <w:t>Klimaat (SDG 12, 13, 7 en 9)</w:t>
      </w:r>
    </w:p>
    <w:p w14:paraId="65DD124C" w14:textId="77777777" w:rsidR="00F94C7A" w:rsidRDefault="00F94C7A" w:rsidP="53C6B469">
      <w:pPr>
        <w:pStyle w:val="Lijstalinea"/>
        <w:numPr>
          <w:ilvl w:val="0"/>
          <w:numId w:val="6"/>
        </w:numPr>
        <w:spacing w:line="276" w:lineRule="auto"/>
        <w:jc w:val="both"/>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Circulair ( SDG 2, 6, 7, 8, 9, 11, 12, 14 en 15)</w:t>
      </w:r>
    </w:p>
    <w:p w14:paraId="7A551EDE" w14:textId="08191ECC" w:rsidR="00C8981B" w:rsidRDefault="00C8981B" w:rsidP="53C6B469">
      <w:pPr>
        <w:pStyle w:val="Lijstalinea"/>
        <w:numPr>
          <w:ilvl w:val="0"/>
          <w:numId w:val="6"/>
        </w:numPr>
        <w:spacing w:line="276" w:lineRule="auto"/>
        <w:jc w:val="both"/>
        <w:rPr>
          <w:rFonts w:ascii="Open Sans" w:eastAsiaTheme="minorEastAsia" w:hAnsi="Open Sans" w:cstheme="minorBidi"/>
          <w:lang w:eastAsia="ja-JP"/>
        </w:rPr>
      </w:pPr>
      <w:r w:rsidRPr="53C6B469">
        <w:rPr>
          <w:rFonts w:ascii="Open Sans" w:eastAsiaTheme="minorEastAsia" w:hAnsi="Open Sans" w:cstheme="minorBidi"/>
          <w:lang w:eastAsia="ja-JP"/>
        </w:rPr>
        <w:t xml:space="preserve"> Social Return (SDG 8, 10, 12, 1 en 4)</w:t>
      </w:r>
    </w:p>
    <w:p w14:paraId="2C24C973" w14:textId="77777777" w:rsidR="00F94C7A" w:rsidRDefault="00F94C7A" w:rsidP="00E06779">
      <w:pPr>
        <w:numPr>
          <w:ilvl w:val="0"/>
          <w:numId w:val="6"/>
        </w:numPr>
        <w:spacing w:line="276" w:lineRule="auto"/>
        <w:jc w:val="both"/>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Diversiteit en Inclusie (SDG 10, 12,4, 5,78 en 11)</w:t>
      </w:r>
    </w:p>
    <w:p w14:paraId="194E7E64" w14:textId="5C4562DA" w:rsidR="29878B9E" w:rsidRDefault="29878B9E" w:rsidP="53C6B469">
      <w:pPr>
        <w:pStyle w:val="Lijstalinea"/>
        <w:numPr>
          <w:ilvl w:val="0"/>
          <w:numId w:val="6"/>
        </w:numPr>
        <w:spacing w:line="276" w:lineRule="auto"/>
        <w:jc w:val="both"/>
        <w:rPr>
          <w:rFonts w:ascii="Open Sans" w:eastAsiaTheme="minorEastAsia" w:hAnsi="Open Sans" w:cstheme="minorBidi"/>
          <w:lang w:eastAsia="ja-JP"/>
        </w:rPr>
      </w:pPr>
      <w:r w:rsidRPr="53C6B469">
        <w:rPr>
          <w:rFonts w:ascii="Open Sans" w:eastAsiaTheme="minorEastAsia" w:hAnsi="Open Sans" w:cstheme="minorBidi"/>
          <w:lang w:eastAsia="ja-JP"/>
        </w:rPr>
        <w:t>Internationale Sociale voorwaarden (Ketenverantwoordelijkheid (SDG 8, 12,1 en 2)</w:t>
      </w:r>
    </w:p>
    <w:p w14:paraId="62537753" w14:textId="4802A3D7" w:rsidR="00F94C7A" w:rsidRPr="00B82F98" w:rsidRDefault="00CE3E50" w:rsidP="00CE3E50">
      <w:pPr>
        <w:pStyle w:val="Lijstalinea"/>
        <w:spacing w:line="276" w:lineRule="auto"/>
        <w:jc w:val="both"/>
        <w:rPr>
          <w:rFonts w:ascii="Open Sans" w:eastAsiaTheme="minorEastAsia" w:hAnsi="Open Sans" w:cstheme="minorBidi"/>
          <w:lang w:eastAsia="ja-JP"/>
          <w14:ligatures w14:val="none"/>
        </w:rPr>
      </w:pPr>
      <w:r w:rsidRPr="00292241">
        <w:rPr>
          <w:rFonts w:ascii="Open Sans" w:eastAsiaTheme="minorEastAsia" w:hAnsi="Open Sans" w:cstheme="minorBidi"/>
          <w:noProof/>
          <w:lang w:eastAsia="ja-JP"/>
          <w14:ligatures w14:val="none"/>
        </w:rPr>
        <w:drawing>
          <wp:anchor distT="0" distB="0" distL="114300" distR="114300" simplePos="0" relativeHeight="251658240" behindDoc="0" locked="0" layoutInCell="1" allowOverlap="1" wp14:anchorId="3DADCDFA" wp14:editId="70446094">
            <wp:simplePos x="0" y="0"/>
            <wp:positionH relativeFrom="page">
              <wp:posOffset>1066800</wp:posOffset>
            </wp:positionH>
            <wp:positionV relativeFrom="paragraph">
              <wp:posOffset>363220</wp:posOffset>
            </wp:positionV>
            <wp:extent cx="5819320" cy="4885242"/>
            <wp:effectExtent l="0" t="0" r="0" b="0"/>
            <wp:wrapThrough wrapText="bothSides">
              <wp:wrapPolygon edited="0">
                <wp:start x="0" y="0"/>
                <wp:lineTo x="0" y="21509"/>
                <wp:lineTo x="21547" y="21509"/>
                <wp:lineTo x="21547" y="0"/>
                <wp:lineTo x="0" y="0"/>
              </wp:wrapPolygon>
            </wp:wrapThrough>
            <wp:docPr id="35079005" name="Afbeelding 35079005" descr="MVOI Thema's inclusief SDG'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9005" name="Afbeelding 35079005" descr="MVOI Thema's inclusief SDG's ">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819320" cy="4885242"/>
                    </a:xfrm>
                    <a:prstGeom prst="rect">
                      <a:avLst/>
                    </a:prstGeom>
                  </pic:spPr>
                </pic:pic>
              </a:graphicData>
            </a:graphic>
            <wp14:sizeRelH relativeFrom="page">
              <wp14:pctWidth>0</wp14:pctWidth>
            </wp14:sizeRelH>
            <wp14:sizeRelV relativeFrom="page">
              <wp14:pctHeight>0</wp14:pctHeight>
            </wp14:sizeRelV>
          </wp:anchor>
        </w:drawing>
      </w:r>
    </w:p>
    <w:p w14:paraId="1A5108A3" w14:textId="57B4A3F4" w:rsidR="00F94C7A" w:rsidRPr="00B82F98" w:rsidRDefault="00F94C7A" w:rsidP="53C6B469">
      <w:pPr>
        <w:pStyle w:val="Lijstalinea"/>
        <w:spacing w:line="276" w:lineRule="auto"/>
        <w:jc w:val="both"/>
        <w:rPr>
          <w:rFonts w:ascii="Open Sans" w:eastAsiaTheme="minorEastAsia" w:hAnsi="Open Sans" w:cstheme="minorBidi"/>
          <w:lang w:eastAsia="ja-JP"/>
          <w14:ligatures w14:val="none"/>
        </w:rPr>
      </w:pPr>
    </w:p>
    <w:p w14:paraId="31C5101C"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Milieu en biodiversiteit</w:t>
      </w:r>
    </w:p>
    <w:p w14:paraId="7007D32B" w14:textId="77777777" w:rsidR="00F94C7A" w:rsidRDefault="00F94C7A" w:rsidP="00F94C7A">
      <w:pPr>
        <w:pStyle w:val="Introtekst"/>
        <w:numPr>
          <w:ilvl w:val="1"/>
          <w:numId w:val="0"/>
        </w:numPr>
      </w:pPr>
      <w:r w:rsidRPr="008764F3">
        <w:t xml:space="preserve">Het thema milieu is voor het tegengaan van milieuverontreiniging, mede te bescherming van de biodiversiteit. SDG 12 ‘verantwoordelijk consumptie en productie’, SDG 14 ‘Leven in het water’, SDG 15 ‘leven op het land’ en mogelijk </w:t>
      </w:r>
      <w:r w:rsidRPr="008764F3">
        <w:lastRenderedPageBreak/>
        <w:t xml:space="preserve">SDG 2 ‘geen honger’, SDG 6 ‘schoonwater en sanitair’ en SDG 11 ‘duurzame steden en gemeenschappen’ vallen onder dit thema. </w:t>
      </w:r>
    </w:p>
    <w:p w14:paraId="318C4D40" w14:textId="291240F7" w:rsidR="00F94C7A" w:rsidRDefault="00F94C7A" w:rsidP="53C6B469">
      <w:pPr>
        <w:spacing w:after="160" w:line="259" w:lineRule="auto"/>
        <w:rPr>
          <w:rFonts w:ascii="Open Sans" w:hAnsi="Open Sans"/>
          <w:sz w:val="28"/>
          <w:szCs w:val="28"/>
          <w:lang w:eastAsia="ja-JP"/>
          <w14:ligatures w14:val="none"/>
        </w:rPr>
      </w:pPr>
      <w:r w:rsidRPr="53C6B469">
        <w:rPr>
          <w:rFonts w:ascii="Open Sans" w:eastAsiaTheme="minorEastAsia" w:hAnsi="Open Sans" w:cstheme="minorBidi"/>
          <w:sz w:val="24"/>
          <w:szCs w:val="24"/>
          <w:lang w:eastAsia="ja-JP"/>
          <w14:ligatures w14:val="none"/>
        </w:rPr>
        <w:t xml:space="preserve">Milieubewust inkopen omvat het tegengaan van milieuverontreiniging (stikstofuitstoot), luchtverontreiniging en gebruik van schadelijke stoffen en pesticiden. Dit mede ter bescherming van de biodiversiteit. Ook het tegengaan van voedselverspilling en het verminderen van water- en energiegebruik vallen hieronder. De Aanbestedende dienst streeft naar het inkopen van producten met een lage milieu-impact of die een positieve bijdrage leveren aan bijvoorbeeld biodiversiteit. Er zijn verschillende hulpmiddelen die worden toegepast om bij te dragen aan dit thema. </w:t>
      </w:r>
    </w:p>
    <w:p w14:paraId="562E07D8" w14:textId="0D69DE92"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Klimaat</w:t>
      </w:r>
    </w:p>
    <w:p w14:paraId="3EEFD631" w14:textId="77777777" w:rsidR="00F94C7A" w:rsidRPr="00331895" w:rsidRDefault="00F94C7A" w:rsidP="00F94C7A">
      <w:pPr>
        <w:pStyle w:val="Ondertitel"/>
        <w:numPr>
          <w:ilvl w:val="0"/>
          <w:numId w:val="0"/>
        </w:numPr>
        <w:spacing w:line="276" w:lineRule="auto"/>
        <w:rPr>
          <w:rFonts w:cs="Arial"/>
          <w:szCs w:val="20"/>
        </w:rPr>
      </w:pPr>
      <w:r w:rsidRPr="008764F3">
        <w:rPr>
          <w:rFonts w:ascii="Open Sans SemiBold" w:hAnsi="Open Sans SemiBold"/>
          <w:color w:val="auto"/>
          <w:spacing w:val="0"/>
          <w:sz w:val="24"/>
          <w:lang w:eastAsia="ja-JP"/>
          <w14:ligatures w14:val="none"/>
        </w:rPr>
        <w:t>Het thema klimaat gaat om het tegengaan van de klimaatverandering, vooral door afname van de CO2- Uitstoot. SDG 12 ‘verantwoordelijk consumptie en productie’, SDG 13 ‘Klimaatactie’ en mogelijk SDG 7 ‘betaalbare en duurzame energie’ en SDG 9 ‘Industrie, innovatie en infrastructuur’ vallen onder dit thema. Daarnaast zijn de onderstaande onderwerpen in het beleid opgenomen</w:t>
      </w:r>
      <w:r w:rsidRPr="00331895">
        <w:rPr>
          <w:rFonts w:cs="Arial"/>
          <w:szCs w:val="20"/>
        </w:rPr>
        <w:t xml:space="preserve">. </w:t>
      </w:r>
    </w:p>
    <w:p w14:paraId="1387755A" w14:textId="77777777" w:rsidR="00F94C7A" w:rsidRPr="00CE3E50" w:rsidRDefault="00F94C7A" w:rsidP="53C6B469">
      <w:pPr>
        <w:spacing w:line="276" w:lineRule="auto"/>
        <w:rPr>
          <w:rFonts w:ascii="Open Sans" w:eastAsiaTheme="minorEastAsia" w:hAnsi="Open Sans" w:cstheme="minorBidi"/>
          <w:b/>
          <w:bCs/>
          <w:color w:val="DF2E20"/>
          <w:sz w:val="24"/>
          <w:szCs w:val="24"/>
          <w:lang w:eastAsia="ja-JP"/>
          <w14:ligatures w14:val="none"/>
        </w:rPr>
      </w:pPr>
    </w:p>
    <w:p w14:paraId="4EADB73D" w14:textId="77777777" w:rsidR="00F94C7A" w:rsidRPr="00A45EEF" w:rsidRDefault="00F94C7A" w:rsidP="00F94C7A">
      <w:pPr>
        <w:spacing w:line="276" w:lineRule="auto"/>
        <w:rPr>
          <w:rFonts w:ascii="Open Sans" w:eastAsiaTheme="minorEastAsia" w:hAnsi="Open Sans" w:cstheme="minorBidi"/>
          <w:lang w:eastAsia="ja-JP"/>
          <w14:ligatures w14:val="none"/>
        </w:rPr>
      </w:pPr>
      <w:r w:rsidRPr="00DC3889">
        <w:rPr>
          <w:rFonts w:ascii="Open Sans" w:eastAsiaTheme="minorEastAsia" w:hAnsi="Open Sans" w:cstheme="minorBidi"/>
          <w:b/>
          <w:bCs/>
          <w:color w:val="DF2E20"/>
          <w:sz w:val="24"/>
          <w:szCs w:val="24"/>
          <w:lang w:eastAsia="ja-JP"/>
          <w14:ligatures w14:val="none"/>
        </w:rPr>
        <w:t>Klimaatakkoord 2019</w:t>
      </w:r>
    </w:p>
    <w:p w14:paraId="795B8C2D" w14:textId="66583170" w:rsidR="00F94C7A" w:rsidRPr="00A45EEF" w:rsidRDefault="00F94C7A" w:rsidP="53C6B469">
      <w:p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 xml:space="preserve">Het Klimaatakkoord is een onderdeel van het Nederlandse klimaatbeleid. Het is een overeenkomst tussen veel organisaties en bedrijven in Nederland om de opwarming van de </w:t>
      </w:r>
      <w:r w:rsidR="13A626C0" w:rsidRPr="53C6B469">
        <w:rPr>
          <w:rFonts w:ascii="Open Sans" w:eastAsiaTheme="minorEastAsia" w:hAnsi="Open Sans" w:cstheme="minorBidi"/>
          <w:lang w:eastAsia="ja-JP"/>
          <w14:ligatures w14:val="none"/>
        </w:rPr>
        <w:t>aarde tegen</w:t>
      </w:r>
      <w:r w:rsidRPr="53C6B469">
        <w:rPr>
          <w:rFonts w:ascii="Open Sans" w:eastAsiaTheme="minorEastAsia" w:hAnsi="Open Sans" w:cstheme="minorBidi"/>
          <w:lang w:eastAsia="ja-JP"/>
          <w14:ligatures w14:val="none"/>
        </w:rPr>
        <w:t xml:space="preserve"> te gaan. Het doel is om de CO2-uitstoot in 2030 met </w:t>
      </w:r>
      <w:r w:rsidR="6C0EADA0" w:rsidRPr="18ED3F98">
        <w:rPr>
          <w:rFonts w:ascii="Open Sans" w:eastAsiaTheme="minorEastAsia" w:hAnsi="Open Sans" w:cstheme="minorBidi"/>
          <w:lang w:eastAsia="ja-JP"/>
        </w:rPr>
        <w:t>55</w:t>
      </w:r>
      <w:r w:rsidRPr="53C6B469">
        <w:rPr>
          <w:rFonts w:ascii="Open Sans" w:eastAsiaTheme="minorEastAsia" w:hAnsi="Open Sans" w:cstheme="minorBidi"/>
          <w:lang w:eastAsia="ja-JP"/>
          <w14:ligatures w14:val="none"/>
        </w:rPr>
        <w:t>% verminderen. Om deze doelstelling te realiseren, heeft het kabinet het pakket aan maatregelen voor het Klimaatakkoord vastgesteld. Deze “klimaatregelen” hebben impact op alle Nederlanders, dus ook op ons en de manier waarop we aanbesteden. Dat komt tot uiting in de volgende subdoelstellingen:</w:t>
      </w:r>
    </w:p>
    <w:p w14:paraId="34657209" w14:textId="77777777" w:rsidR="00F94C7A" w:rsidRPr="002C1FEB" w:rsidRDefault="00F94C7A" w:rsidP="18ED3F98">
      <w:pPr>
        <w:pStyle w:val="Lijstalinea"/>
        <w:numPr>
          <w:ilvl w:val="0"/>
          <w:numId w:val="2"/>
        </w:numPr>
        <w:spacing w:line="276" w:lineRule="auto"/>
        <w:rPr>
          <w:rFonts w:ascii="Open Sans" w:eastAsiaTheme="minorEastAsia" w:hAnsi="Open Sans" w:cstheme="minorBidi"/>
          <w:lang w:eastAsia="ja-JP"/>
          <w14:ligatures w14:val="none"/>
        </w:rPr>
      </w:pPr>
      <w:r w:rsidRPr="18ED3F98">
        <w:rPr>
          <w:rFonts w:ascii="Open Sans" w:eastAsiaTheme="minorEastAsia" w:hAnsi="Open Sans" w:cstheme="minorBidi"/>
          <w:lang w:eastAsia="ja-JP"/>
          <w14:ligatures w14:val="none"/>
        </w:rPr>
        <w:t>Streven in 2030:</w:t>
      </w:r>
    </w:p>
    <w:p w14:paraId="32D48C40" w14:textId="38B67C0F" w:rsidR="00F94C7A" w:rsidRPr="002C1FEB" w:rsidRDefault="00F94C7A" w:rsidP="53C6B469">
      <w:pPr>
        <w:pStyle w:val="Lijstalinea"/>
        <w:numPr>
          <w:ilvl w:val="1"/>
          <w:numId w:val="2"/>
        </w:num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 xml:space="preserve">Daling van de broeikasgassen met </w:t>
      </w:r>
      <w:r w:rsidR="6678C533" w:rsidRPr="53C6B469">
        <w:rPr>
          <w:rFonts w:ascii="Open Sans" w:eastAsiaTheme="minorEastAsia" w:hAnsi="Open Sans" w:cstheme="minorBidi"/>
          <w:lang w:eastAsia="ja-JP"/>
          <w14:ligatures w14:val="none"/>
        </w:rPr>
        <w:t>55</w:t>
      </w:r>
      <w:r w:rsidRPr="53C6B469">
        <w:rPr>
          <w:rFonts w:ascii="Open Sans" w:eastAsiaTheme="minorEastAsia" w:hAnsi="Open Sans" w:cstheme="minorBidi"/>
          <w:lang w:eastAsia="ja-JP"/>
          <w14:ligatures w14:val="none"/>
        </w:rPr>
        <w:t xml:space="preserve">% t.o.v. 1990. </w:t>
      </w:r>
    </w:p>
    <w:p w14:paraId="1F1549F2" w14:textId="77777777" w:rsidR="00F94C7A" w:rsidRPr="002C1FEB" w:rsidRDefault="00F94C7A" w:rsidP="00F94C7A">
      <w:pPr>
        <w:pStyle w:val="Lijstalinea"/>
        <w:numPr>
          <w:ilvl w:val="1"/>
          <w:numId w:val="2"/>
        </w:numPr>
        <w:spacing w:line="276" w:lineRule="auto"/>
        <w:rPr>
          <w:rFonts w:ascii="Open Sans" w:eastAsiaTheme="minorEastAsia" w:hAnsi="Open Sans" w:cstheme="minorBidi"/>
          <w:lang w:eastAsia="ja-JP"/>
          <w14:ligatures w14:val="none"/>
        </w:rPr>
      </w:pPr>
      <w:r w:rsidRPr="002C1FEB">
        <w:rPr>
          <w:rFonts w:ascii="Open Sans" w:eastAsiaTheme="minorEastAsia" w:hAnsi="Open Sans" w:cstheme="minorBidi"/>
          <w:lang w:eastAsia="ja-JP"/>
          <w14:ligatures w14:val="none"/>
        </w:rPr>
        <w:t xml:space="preserve">Een klimaat neutrale circulaire GWW. </w:t>
      </w:r>
    </w:p>
    <w:p w14:paraId="0EC28276" w14:textId="77777777" w:rsidR="00F94C7A" w:rsidRPr="00DC3889" w:rsidRDefault="00F94C7A" w:rsidP="00F94C7A">
      <w:pPr>
        <w:spacing w:line="276" w:lineRule="auto"/>
        <w:rPr>
          <w:rFonts w:ascii="Open Sans" w:eastAsiaTheme="minorEastAsia" w:hAnsi="Open Sans" w:cstheme="minorBidi"/>
          <w:b/>
          <w:bCs/>
          <w:color w:val="DF2E20"/>
          <w:sz w:val="24"/>
          <w:szCs w:val="24"/>
          <w:lang w:eastAsia="ja-JP"/>
          <w14:ligatures w14:val="none"/>
        </w:rPr>
      </w:pPr>
    </w:p>
    <w:p w14:paraId="6FD2CF0D" w14:textId="3968CDA7" w:rsidR="00F94C7A" w:rsidRPr="00A45EEF" w:rsidRDefault="00F94C7A" w:rsidP="53C6B469">
      <w:pPr>
        <w:spacing w:line="276" w:lineRule="auto"/>
        <w:rPr>
          <w:rFonts w:ascii="Open Sans" w:eastAsiaTheme="minorEastAsia" w:hAnsi="Open Sans" w:cstheme="minorBidi"/>
          <w:lang w:eastAsia="ja-JP"/>
        </w:rPr>
      </w:pPr>
      <w:r w:rsidRPr="53C6B469">
        <w:rPr>
          <w:rFonts w:ascii="Open Sans" w:eastAsiaTheme="minorEastAsia" w:hAnsi="Open Sans" w:cstheme="minorBidi"/>
          <w:b/>
          <w:bCs/>
          <w:color w:val="DF2E20"/>
          <w:sz w:val="24"/>
          <w:szCs w:val="24"/>
          <w:lang w:eastAsia="ja-JP"/>
          <w14:ligatures w14:val="none"/>
        </w:rPr>
        <w:t>Zero Emissie Stadslogistiek (ZES)</w:t>
      </w:r>
      <w:r w:rsidRPr="00A45EEF">
        <w:rPr>
          <w:rFonts w:ascii="Arial" w:hAnsi="Arial" w:cs="Arial"/>
          <w:b/>
          <w:bCs/>
          <w:sz w:val="20"/>
          <w:szCs w:val="20"/>
        </w:rPr>
        <w:br/>
      </w:r>
      <w:r w:rsidRPr="53C6B469">
        <w:rPr>
          <w:rFonts w:ascii="Open Sans" w:eastAsiaTheme="minorEastAsia" w:hAnsi="Open Sans" w:cstheme="minorBidi"/>
          <w:lang w:eastAsia="ja-JP"/>
          <w14:ligatures w14:val="none"/>
        </w:rPr>
        <w:t xml:space="preserve">Leiden heeft in 2019 de Green Deal Zero Emissie Stadslogistiek(ZES) ondertekend. </w:t>
      </w:r>
      <w:r w:rsidR="1FFE72DC" w:rsidRPr="53C6B469">
        <w:rPr>
          <w:rFonts w:ascii="Open Sans" w:eastAsiaTheme="minorEastAsia" w:hAnsi="Open Sans" w:cstheme="minorBidi"/>
          <w:lang w:eastAsia="ja-JP"/>
          <w14:ligatures w14:val="none"/>
        </w:rPr>
        <w:t>In Leiden is sinds 2025 een zero-emissiezone van kracht.</w:t>
      </w:r>
      <w:r w:rsidRPr="53C6B469">
        <w:rPr>
          <w:rFonts w:ascii="Open Sans" w:eastAsiaTheme="minorEastAsia" w:hAnsi="Open Sans" w:cstheme="minorBidi"/>
          <w:lang w:eastAsia="ja-JP"/>
          <w14:ligatures w14:val="none"/>
        </w:rPr>
        <w:t xml:space="preserve"> Alleen schone vervoersmiddelen </w:t>
      </w:r>
      <w:r w:rsidR="00532BFF" w:rsidRPr="53C6B469">
        <w:rPr>
          <w:rFonts w:ascii="Open Sans" w:eastAsiaTheme="minorEastAsia" w:hAnsi="Open Sans" w:cstheme="minorBidi"/>
          <w:lang w:eastAsia="ja-JP"/>
          <w14:ligatures w14:val="none"/>
        </w:rPr>
        <w:t>mogen nog</w:t>
      </w:r>
      <w:r w:rsidRPr="53C6B469">
        <w:rPr>
          <w:rFonts w:ascii="Open Sans" w:eastAsiaTheme="minorEastAsia" w:hAnsi="Open Sans" w:cstheme="minorBidi"/>
          <w:lang w:eastAsia="ja-JP"/>
          <w14:ligatures w14:val="none"/>
        </w:rPr>
        <w:t xml:space="preserve"> in de binnenstad rijden</w:t>
      </w:r>
      <w:r w:rsidR="66C28E1A" w:rsidRPr="53C6B469">
        <w:rPr>
          <w:rFonts w:ascii="Open Sans" w:eastAsiaTheme="minorEastAsia" w:hAnsi="Open Sans" w:cstheme="minorBidi"/>
          <w:lang w:eastAsia="ja-JP"/>
          <w14:ligatures w14:val="none"/>
        </w:rPr>
        <w:t xml:space="preserve"> </w:t>
      </w:r>
      <w:r w:rsidR="66C28E1A" w:rsidRPr="53C6B469">
        <w:rPr>
          <w:rFonts w:ascii="Open Sans" w:eastAsia="Open Sans" w:hAnsi="Open Sans" w:cs="Open Sans"/>
          <w:color w:val="000000" w:themeColor="text1"/>
        </w:rPr>
        <w:t xml:space="preserve">(zie </w:t>
      </w:r>
      <w:hyperlink r:id="rId12" w:history="1">
        <w:r w:rsidR="66C28E1A" w:rsidRPr="53C6B469">
          <w:rPr>
            <w:rStyle w:val="Hyperlink"/>
            <w:rFonts w:ascii="Open Sans" w:eastAsia="Open Sans" w:hAnsi="Open Sans" w:cs="Open Sans"/>
          </w:rPr>
          <w:t>Zero-emissiezone Leiden</w:t>
        </w:r>
      </w:hyperlink>
      <w:r w:rsidR="66C28E1A" w:rsidRPr="53C6B469">
        <w:rPr>
          <w:rFonts w:ascii="Open Sans" w:eastAsia="Open Sans" w:hAnsi="Open Sans" w:cs="Open Sans"/>
          <w:color w:val="000000" w:themeColor="text1"/>
        </w:rPr>
        <w:t xml:space="preserve"> </w:t>
      </w:r>
      <w:r w:rsidR="66C28E1A" w:rsidRPr="53C6B469">
        <w:rPr>
          <w:rFonts w:ascii="Open Sans" w:eastAsia="Open Sans" w:hAnsi="Open Sans" w:cs="Open Sans"/>
          <w:strike/>
          <w:color w:val="D13438"/>
        </w:rPr>
        <w:t xml:space="preserve"> </w:t>
      </w:r>
      <w:r w:rsidR="66C28E1A" w:rsidRPr="53C6B469">
        <w:rPr>
          <w:rFonts w:ascii="Open Sans" w:eastAsia="Open Sans" w:hAnsi="Open Sans" w:cs="Open Sans"/>
          <w:color w:val="000000" w:themeColor="text1"/>
        </w:rPr>
        <w:t>)</w:t>
      </w:r>
      <w:r w:rsidRPr="53C6B469">
        <w:rPr>
          <w:rFonts w:ascii="Open Sans" w:eastAsiaTheme="minorEastAsia" w:hAnsi="Open Sans" w:cstheme="minorBidi"/>
          <w:lang w:eastAsia="ja-JP"/>
          <w14:ligatures w14:val="none"/>
        </w:rPr>
        <w:t xml:space="preserve">. </w:t>
      </w:r>
      <w:r w:rsidR="19A49200" w:rsidRPr="53C6B469">
        <w:rPr>
          <w:rFonts w:ascii="Open Sans" w:eastAsia="Open Sans" w:hAnsi="Open Sans" w:cs="Open Sans"/>
          <w:color w:val="000000" w:themeColor="text1"/>
        </w:rPr>
        <w:t>Opdrachtnemer dient zich hieraan te houden</w:t>
      </w:r>
      <w:r w:rsidR="19A49200" w:rsidRPr="53C6B469">
        <w:rPr>
          <w:rFonts w:ascii="Open Sans" w:eastAsiaTheme="minorEastAsia" w:hAnsi="Open Sans" w:cstheme="minorBidi"/>
          <w:lang w:eastAsia="ja-JP"/>
        </w:rPr>
        <w:t>. (</w:t>
      </w:r>
      <w:r w:rsidR="19A49200" w:rsidRPr="00532BFF">
        <w:rPr>
          <w:rFonts w:ascii="Open Sans" w:eastAsiaTheme="minorEastAsia" w:hAnsi="Open Sans" w:cstheme="minorBidi"/>
          <w:lang w:eastAsia="ja-JP"/>
        </w:rPr>
        <w:t xml:space="preserve">Bijlage </w:t>
      </w:r>
      <w:r w:rsidR="19A49200" w:rsidRPr="53C6B469">
        <w:rPr>
          <w:rFonts w:ascii="Open Sans" w:eastAsiaTheme="minorEastAsia" w:hAnsi="Open Sans" w:cstheme="minorBidi"/>
          <w:lang w:eastAsia="ja-JP"/>
        </w:rPr>
        <w:t xml:space="preserve">Flyer Zero Emissie Stadslogistiek). Landelijk is een overeenkomst bereikt over het toelatings- en overgangsregime voor zero emissie bestel- en vrachtauto’s. Dit houdt in om toegelaten te worden tot de zero-emissiezone: </w:t>
      </w:r>
    </w:p>
    <w:p w14:paraId="2FF41616" w14:textId="6A1AFFA6" w:rsidR="00F94C7A" w:rsidRPr="00532BFF" w:rsidRDefault="19A49200" w:rsidP="53C6B469">
      <w:pPr>
        <w:pStyle w:val="Lijstalinea"/>
        <w:numPr>
          <w:ilvl w:val="0"/>
          <w:numId w:val="2"/>
        </w:numPr>
        <w:spacing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lastRenderedPageBreak/>
        <w:t>Na 1 januari 2025 alle nieuwe voertuigen die op kenteken worden geze</w:t>
      </w:r>
      <w:r w:rsidR="79B6BB60" w:rsidRPr="53C6B469">
        <w:rPr>
          <w:rFonts w:ascii="Open Sans" w:eastAsiaTheme="minorEastAsia" w:hAnsi="Open Sans" w:cstheme="minorBidi"/>
          <w:lang w:eastAsia="ja-JP"/>
        </w:rPr>
        <w:t xml:space="preserve">t </w:t>
      </w:r>
      <w:r w:rsidR="79B6BB60" w:rsidRPr="00532BFF">
        <w:rPr>
          <w:rFonts w:ascii="Open Sans" w:eastAsia="Open Sans" w:hAnsi="Open Sans" w:cs="Open Sans"/>
        </w:rPr>
        <w:t xml:space="preserve">moeten een zero-emissie aandrijving </w:t>
      </w:r>
      <w:r w:rsidR="00532BFF" w:rsidRPr="00532BFF">
        <w:rPr>
          <w:rFonts w:ascii="Open Sans" w:eastAsia="Open Sans" w:hAnsi="Open Sans" w:cs="Open Sans"/>
        </w:rPr>
        <w:t>hebben</w:t>
      </w:r>
      <w:r w:rsidR="00532BFF" w:rsidRPr="00532BFF">
        <w:t>;</w:t>
      </w:r>
    </w:p>
    <w:p w14:paraId="1DDFFEF0" w14:textId="77777777" w:rsidR="00F94C7A" w:rsidRPr="00A45EEF" w:rsidRDefault="19A49200" w:rsidP="53C6B469">
      <w:pPr>
        <w:pStyle w:val="Lijstalinea"/>
        <w:numPr>
          <w:ilvl w:val="0"/>
          <w:numId w:val="2"/>
        </w:num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Vanaf 1 januari 2030 alle bestel- en vrachtauto’s zero emissie moeten zijn, zie onderstaand tabel.</w:t>
      </w:r>
      <w:r w:rsidR="00F94C7A">
        <w:br/>
      </w:r>
    </w:p>
    <w:tbl>
      <w:tblPr>
        <w:tblStyle w:val="Tabelraster"/>
        <w:tblW w:w="0" w:type="auto"/>
        <w:tblInd w:w="421" w:type="dxa"/>
        <w:tblLook w:val="04A0" w:firstRow="1" w:lastRow="0" w:firstColumn="1" w:lastColumn="0" w:noHBand="0" w:noVBand="1"/>
      </w:tblPr>
      <w:tblGrid>
        <w:gridCol w:w="1701"/>
        <w:gridCol w:w="6520"/>
      </w:tblGrid>
      <w:tr w:rsidR="53C6B469" w14:paraId="52794644" w14:textId="77777777" w:rsidTr="53C6B469">
        <w:trPr>
          <w:trHeight w:val="300"/>
        </w:trPr>
        <w:tc>
          <w:tcPr>
            <w:tcW w:w="1701" w:type="dxa"/>
          </w:tcPr>
          <w:p w14:paraId="567CFDBE" w14:textId="77777777" w:rsidR="53C6B469" w:rsidRDefault="53C6B469" w:rsidP="53C6B469">
            <w:pPr>
              <w:spacing w:after="40" w:line="276" w:lineRule="auto"/>
              <w:rPr>
                <w:rFonts w:ascii="Open Sans" w:eastAsiaTheme="minorEastAsia" w:hAnsi="Open Sans" w:cstheme="minorBidi"/>
                <w:b/>
                <w:bCs/>
                <w:lang w:eastAsia="ja-JP"/>
              </w:rPr>
            </w:pPr>
            <w:r w:rsidRPr="53C6B469">
              <w:rPr>
                <w:rFonts w:ascii="Open Sans" w:eastAsiaTheme="minorEastAsia" w:hAnsi="Open Sans" w:cstheme="minorBidi"/>
                <w:b/>
                <w:bCs/>
                <w:lang w:eastAsia="ja-JP"/>
              </w:rPr>
              <w:t>Toegang uiterlijk tot</w:t>
            </w:r>
          </w:p>
        </w:tc>
        <w:tc>
          <w:tcPr>
            <w:tcW w:w="6520" w:type="dxa"/>
          </w:tcPr>
          <w:p w14:paraId="073006C9" w14:textId="77777777" w:rsidR="53C6B469" w:rsidRDefault="53C6B469" w:rsidP="53C6B469">
            <w:pPr>
              <w:spacing w:after="40" w:line="276" w:lineRule="auto"/>
              <w:rPr>
                <w:rFonts w:ascii="Open Sans" w:eastAsiaTheme="minorEastAsia" w:hAnsi="Open Sans" w:cstheme="minorBidi"/>
                <w:b/>
                <w:bCs/>
                <w:lang w:eastAsia="ja-JP"/>
              </w:rPr>
            </w:pPr>
            <w:r w:rsidRPr="53C6B469">
              <w:rPr>
                <w:rFonts w:ascii="Open Sans" w:eastAsiaTheme="minorEastAsia" w:hAnsi="Open Sans" w:cstheme="minorBidi"/>
                <w:b/>
                <w:bCs/>
                <w:lang w:eastAsia="ja-JP"/>
              </w:rPr>
              <w:t>Soort vracht- en bestelauto’s</w:t>
            </w:r>
          </w:p>
        </w:tc>
      </w:tr>
      <w:tr w:rsidR="53C6B469" w14:paraId="54DADF29" w14:textId="77777777" w:rsidTr="53C6B469">
        <w:trPr>
          <w:trHeight w:val="300"/>
        </w:trPr>
        <w:tc>
          <w:tcPr>
            <w:tcW w:w="1701" w:type="dxa"/>
          </w:tcPr>
          <w:p w14:paraId="6F9AB366"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546AD53D"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VI-vrachtwagens - bakwagens (max. 5 jaar oud)</w:t>
            </w:r>
          </w:p>
        </w:tc>
      </w:tr>
      <w:tr w:rsidR="53C6B469" w14:paraId="386E8506" w14:textId="77777777" w:rsidTr="53C6B469">
        <w:trPr>
          <w:trHeight w:val="300"/>
        </w:trPr>
        <w:tc>
          <w:tcPr>
            <w:tcW w:w="1701" w:type="dxa"/>
          </w:tcPr>
          <w:p w14:paraId="0142D739"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01CCB72D"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 xml:space="preserve">Euro VI-vrachtwagens - trekker-oplegger Combinatie (max. 8 jaar oud) </w:t>
            </w:r>
          </w:p>
        </w:tc>
      </w:tr>
      <w:tr w:rsidR="53C6B469" w14:paraId="7C2D6826" w14:textId="77777777" w:rsidTr="53C6B469">
        <w:trPr>
          <w:trHeight w:val="300"/>
        </w:trPr>
        <w:tc>
          <w:tcPr>
            <w:tcW w:w="1701" w:type="dxa"/>
          </w:tcPr>
          <w:p w14:paraId="61669BA8"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2030</w:t>
            </w:r>
          </w:p>
        </w:tc>
        <w:tc>
          <w:tcPr>
            <w:tcW w:w="6520" w:type="dxa"/>
          </w:tcPr>
          <w:p w14:paraId="5BC5A21B"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Plug-in hybride vrachtauto’s (alleen als zij aantoonbaar en handhaafbaar emissie loos rijden).</w:t>
            </w:r>
          </w:p>
        </w:tc>
      </w:tr>
      <w:tr w:rsidR="53C6B469" w14:paraId="286B07DF" w14:textId="77777777" w:rsidTr="53C6B469">
        <w:trPr>
          <w:trHeight w:val="300"/>
        </w:trPr>
        <w:tc>
          <w:tcPr>
            <w:tcW w:w="1701" w:type="dxa"/>
          </w:tcPr>
          <w:p w14:paraId="493E801E"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2027</w:t>
            </w:r>
          </w:p>
        </w:tc>
        <w:tc>
          <w:tcPr>
            <w:tcW w:w="6520" w:type="dxa"/>
          </w:tcPr>
          <w:p w14:paraId="48534CAA"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5 bestelauto’s</w:t>
            </w:r>
          </w:p>
        </w:tc>
      </w:tr>
      <w:tr w:rsidR="53C6B469" w14:paraId="1C6E3E76" w14:textId="77777777" w:rsidTr="53C6B469">
        <w:trPr>
          <w:trHeight w:val="300"/>
        </w:trPr>
        <w:tc>
          <w:tcPr>
            <w:tcW w:w="1701" w:type="dxa"/>
          </w:tcPr>
          <w:p w14:paraId="1425D36A"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1 januari 2028</w:t>
            </w:r>
          </w:p>
        </w:tc>
        <w:tc>
          <w:tcPr>
            <w:tcW w:w="6520" w:type="dxa"/>
          </w:tcPr>
          <w:p w14:paraId="5C8ACD91" w14:textId="77777777" w:rsidR="53C6B469" w:rsidRDefault="53C6B469" w:rsidP="53C6B469">
            <w:pPr>
              <w:spacing w:after="40" w:line="276" w:lineRule="auto"/>
              <w:rPr>
                <w:rFonts w:ascii="Open Sans" w:eastAsiaTheme="minorEastAsia" w:hAnsi="Open Sans" w:cstheme="minorBidi"/>
                <w:lang w:eastAsia="ja-JP"/>
              </w:rPr>
            </w:pPr>
            <w:r w:rsidRPr="53C6B469">
              <w:rPr>
                <w:rFonts w:ascii="Open Sans" w:eastAsiaTheme="minorEastAsia" w:hAnsi="Open Sans" w:cstheme="minorBidi"/>
                <w:lang w:eastAsia="ja-JP"/>
              </w:rPr>
              <w:t>Euro 6 bestelauto’s</w:t>
            </w:r>
          </w:p>
        </w:tc>
      </w:tr>
    </w:tbl>
    <w:p w14:paraId="0159A352" w14:textId="203E0AB1" w:rsidR="00F94C7A" w:rsidRPr="00A45EEF" w:rsidRDefault="00F94C7A" w:rsidP="53C6B469">
      <w:pPr>
        <w:spacing w:line="276" w:lineRule="auto"/>
        <w:rPr>
          <w:rFonts w:ascii="Open Sans" w:eastAsiaTheme="minorEastAsia" w:hAnsi="Open Sans" w:cstheme="minorBidi"/>
          <w:lang w:eastAsia="ja-JP"/>
        </w:rPr>
      </w:pPr>
    </w:p>
    <w:p w14:paraId="1CFC3E76" w14:textId="5E3D5EB3" w:rsidR="00F94C7A" w:rsidRPr="00A45EEF" w:rsidRDefault="00F94C7A" w:rsidP="53C6B469">
      <w:pPr>
        <w:spacing w:line="276" w:lineRule="auto"/>
        <w:rPr>
          <w:rFonts w:ascii="Open Sans" w:eastAsiaTheme="minorEastAsia" w:hAnsi="Open Sans" w:cstheme="minorBidi"/>
          <w:lang w:eastAsia="ja-JP"/>
        </w:rPr>
      </w:pPr>
    </w:p>
    <w:p w14:paraId="4481DAD3" w14:textId="1EA9EB8C" w:rsidR="00F94C7A" w:rsidRPr="00A45EEF" w:rsidRDefault="00F94C7A" w:rsidP="53C6B469">
      <w:pPr>
        <w:spacing w:line="276" w:lineRule="auto"/>
        <w:rPr>
          <w:rFonts w:ascii="Open Sans" w:eastAsiaTheme="minorEastAsia" w:hAnsi="Open Sans" w:cstheme="minorBidi"/>
          <w:lang w:eastAsia="ja-JP"/>
        </w:rPr>
      </w:pPr>
    </w:p>
    <w:p w14:paraId="5713AF86" w14:textId="77777777" w:rsidR="00F94C7A" w:rsidRPr="00A45EEF" w:rsidRDefault="00F94C7A" w:rsidP="53C6B469">
      <w:pPr>
        <w:spacing w:line="276" w:lineRule="auto"/>
        <w:rPr>
          <w:rFonts w:ascii="Open Sans" w:eastAsiaTheme="minorEastAsia" w:hAnsi="Open Sans" w:cstheme="minorBidi"/>
          <w:lang w:eastAsia="ja-JP"/>
          <w14:ligatures w14:val="none"/>
        </w:rPr>
      </w:pPr>
      <w:r w:rsidRPr="53C6B469">
        <w:rPr>
          <w:rFonts w:ascii="Open Sans" w:eastAsiaTheme="minorEastAsia" w:hAnsi="Open Sans" w:cstheme="minorBidi"/>
          <w:lang w:eastAsia="ja-JP"/>
          <w14:ligatures w14:val="none"/>
        </w:rPr>
        <w:t>Het doel van ZES is minder vervoersbewegingen, een schonere lucht en betere bereikbaarheid. Dat is goed voor de leefbaarheid en de economische vitaliteit van de (binnen)stad. Er zijn al mooie initiatieven en pilots waarmee we vooroplopen, zoals het leveren van gymmaterialen met e-vrachtwagens.</w:t>
      </w:r>
    </w:p>
    <w:p w14:paraId="29418C89" w14:textId="77777777" w:rsidR="00F94C7A" w:rsidRPr="002C1FEB" w:rsidRDefault="00F94C7A" w:rsidP="00F94C7A">
      <w:pPr>
        <w:spacing w:line="276" w:lineRule="auto"/>
        <w:rPr>
          <w:rFonts w:ascii="Open Sans" w:eastAsiaTheme="minorEastAsia" w:hAnsi="Open Sans" w:cstheme="minorBidi"/>
          <w:lang w:eastAsia="ja-JP"/>
          <w14:ligatures w14:val="none"/>
        </w:rPr>
      </w:pPr>
    </w:p>
    <w:p w14:paraId="3315B901" w14:textId="33A0D4C1" w:rsidR="00F94C7A" w:rsidRPr="00292241" w:rsidRDefault="00F94C7A" w:rsidP="53C6B469">
      <w:pPr>
        <w:pStyle w:val="Lijstalinea"/>
        <w:spacing w:after="40" w:line="276" w:lineRule="auto"/>
        <w:rPr>
          <w:rFonts w:ascii="Open Sans" w:eastAsiaTheme="minorEastAsia" w:hAnsi="Open Sans" w:cstheme="minorBidi"/>
          <w:lang w:eastAsia="ja-JP"/>
          <w14:ligatures w14:val="none"/>
        </w:rPr>
      </w:pPr>
    </w:p>
    <w:p w14:paraId="170D8D31"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Circulair (inclusief biobased)</w:t>
      </w:r>
    </w:p>
    <w:p w14:paraId="7DEE50A3" w14:textId="77777777" w:rsidR="00F94C7A" w:rsidRDefault="00F94C7A" w:rsidP="00F94C7A">
      <w:pPr>
        <w:pStyle w:val="Introtekst"/>
        <w:numPr>
          <w:ilvl w:val="1"/>
          <w:numId w:val="0"/>
        </w:numPr>
      </w:pPr>
      <w:r w:rsidRPr="008764F3">
        <w:t xml:space="preserve">Het thema Circulair gaat om het helpen opbouwen van een circulaire economie. SDG 2 ‘geen honger’, SDG 6 ‘schoonwater en sanitair’, SDG 7 ‘betaalbare en duurzame energie’, SDG 8 ‘eerlijk werk en economische groei, SDG 9 ‘Industrie, innovatie en infrastructuur, SDG 11 ‘duurzame steden en gemeenschappen’, SDG 12 ‘verantwoordelijk consumptie en productie’, SDG 14 ‘Leven in het water’ en SDG 15 ‘leven op het land’ vallen onder dit thema.  Daarnaast zijn de onderstaande onderwerpen in het beleid opgenomen. </w:t>
      </w:r>
    </w:p>
    <w:p w14:paraId="3A987420" w14:textId="77777777" w:rsidR="00F94C7A" w:rsidRPr="00DC3889" w:rsidRDefault="00F94C7A" w:rsidP="00F94C7A">
      <w:pPr>
        <w:pStyle w:val="paragraph"/>
        <w:spacing w:before="0" w:beforeAutospacing="0" w:after="0" w:afterAutospacing="0"/>
        <w:textAlignment w:val="baseline"/>
        <w:rPr>
          <w:rFonts w:ascii="Open Sans" w:eastAsiaTheme="minorEastAsia" w:hAnsi="Open Sans" w:cstheme="minorBidi"/>
          <w:b/>
          <w:color w:val="DF2E20"/>
          <w:lang w:eastAsia="ja-JP"/>
        </w:rPr>
      </w:pPr>
    </w:p>
    <w:p w14:paraId="05ABD3A8"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 xml:space="preserve">De nationale doelstelling, zoals geformuleerd in het Rijksbrede programma ‘Nederland Circulair in 2050’ en die onderschreven is door de gemeente Leiden, is om in 2050 circulair te consumeren en te produceren. In 2030 willen we deze doelstelling voor 50% hebben bereikt. Veel natuur- en milieuproblemen zijn toe te schrijven aan grondstofverspilling. Door naar een circulaire economie toe te werken, zorgen we </w:t>
      </w:r>
      <w:r w:rsidRPr="006609E6">
        <w:rPr>
          <w:rFonts w:ascii="Open Sans" w:eastAsiaTheme="minorEastAsia" w:hAnsi="Open Sans" w:cstheme="minorBidi"/>
          <w:sz w:val="22"/>
          <w:szCs w:val="22"/>
          <w:lang w:eastAsia="ja-JP"/>
        </w:rPr>
        <w:lastRenderedPageBreak/>
        <w:t xml:space="preserve">ervoor dat we minder afhankelijk zijn van de winning van nieuwe grondstoffen. We verlagen de milieu-impact door verantwoord om te gaan met materiaalgebruik en type materialen. </w:t>
      </w:r>
    </w:p>
    <w:p w14:paraId="2BE39A51" w14:textId="77777777" w:rsidR="00F94C7A" w:rsidRPr="006609E6"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p>
    <w:p w14:paraId="55A3D770" w14:textId="31615B2E" w:rsidR="00F94C7A" w:rsidRPr="007E1363" w:rsidRDefault="00F94C7A" w:rsidP="00F94C7A">
      <w:pPr>
        <w:pStyle w:val="paragraph"/>
        <w:spacing w:before="0" w:beforeAutospacing="0" w:after="0" w:afterAutospacing="0"/>
        <w:textAlignment w:val="baseline"/>
        <w:rPr>
          <w:rFonts w:ascii="Open Sans" w:eastAsiaTheme="minorEastAsia" w:hAnsi="Open Sans" w:cstheme="minorBidi"/>
          <w:sz w:val="22"/>
          <w:szCs w:val="22"/>
          <w:lang w:eastAsia="ja-JP"/>
        </w:rPr>
      </w:pPr>
      <w:r w:rsidRPr="006609E6">
        <w:rPr>
          <w:rFonts w:ascii="Open Sans" w:eastAsiaTheme="minorEastAsia" w:hAnsi="Open Sans" w:cstheme="minorBidi"/>
          <w:sz w:val="22"/>
          <w:szCs w:val="22"/>
          <w:lang w:eastAsia="ja-JP"/>
        </w:rPr>
        <w:t>De transitie naar een circulaire economie is een zeer grote maatschappelijke verandering met grote impact op bedrijven, maatschappelijke organisaties en inwoners van de stad. Om dat te bereiken zijn forse veranderingen nodig in het huidige economische systeem én in het denken en handelen van bedrijven en consumenten. Circulaire bouw is voor de gemeente een belangrijke pijler.  </w:t>
      </w:r>
      <w:r>
        <w:rPr>
          <w:rFonts w:ascii="Open Sans" w:eastAsiaTheme="minorEastAsia" w:hAnsi="Open Sans" w:cstheme="minorBidi"/>
          <w:color w:val="FF0000"/>
          <w:sz w:val="22"/>
          <w:szCs w:val="22"/>
          <w:lang w:eastAsia="ja-JP"/>
        </w:rPr>
        <w:t xml:space="preserve"> </w:t>
      </w:r>
      <w:r>
        <w:rPr>
          <w:rFonts w:ascii="Open Sans" w:eastAsiaTheme="minorEastAsia" w:hAnsi="Open Sans" w:cstheme="minorBidi"/>
          <w:color w:val="FF0000"/>
          <w:sz w:val="22"/>
          <w:szCs w:val="22"/>
          <w:lang w:eastAsia="ja-JP"/>
        </w:rPr>
        <w:br/>
      </w:r>
    </w:p>
    <w:p w14:paraId="098CBE81" w14:textId="77777777" w:rsidR="00F94C7A" w:rsidRPr="00DC3889" w:rsidRDefault="00F94C7A" w:rsidP="00F94C7A">
      <w:pPr>
        <w:rPr>
          <w:rFonts w:ascii="Open Sans" w:eastAsiaTheme="minorEastAsia" w:hAnsi="Open Sans" w:cstheme="minorBidi"/>
          <w:b/>
          <w:bCs/>
          <w:color w:val="DF2E20"/>
          <w:sz w:val="24"/>
          <w:szCs w:val="24"/>
          <w:lang w:eastAsia="ja-JP"/>
          <w14:ligatures w14:val="none"/>
        </w:rPr>
      </w:pPr>
      <w:r w:rsidRPr="00DC3889">
        <w:rPr>
          <w:rFonts w:ascii="Open Sans" w:eastAsiaTheme="minorEastAsia" w:hAnsi="Open Sans" w:cstheme="minorBidi"/>
          <w:b/>
          <w:bCs/>
          <w:color w:val="DF2E20"/>
          <w:sz w:val="24"/>
          <w:szCs w:val="24"/>
          <w:lang w:eastAsia="ja-JP"/>
          <w14:ligatures w14:val="none"/>
        </w:rPr>
        <w:t>Grondstoffenakkoord 2017</w:t>
      </w:r>
    </w:p>
    <w:p w14:paraId="77751408" w14:textId="77777777" w:rsidR="00F94C7A" w:rsidRPr="002C1FEB" w:rsidRDefault="00F94C7A" w:rsidP="00F94C7A">
      <w:pPr>
        <w:spacing w:line="276" w:lineRule="auto"/>
        <w:rPr>
          <w:rFonts w:ascii="Open Sans" w:eastAsiaTheme="minorEastAsia" w:hAnsi="Open Sans" w:cstheme="minorBidi"/>
          <w:lang w:eastAsia="ja-JP"/>
          <w14:ligatures w14:val="none"/>
        </w:rPr>
      </w:pPr>
      <w:r w:rsidRPr="56433E40">
        <w:rPr>
          <w:rFonts w:ascii="Open Sans" w:eastAsiaTheme="minorEastAsia" w:hAnsi="Open Sans" w:cstheme="minorBidi"/>
          <w:lang w:eastAsia="ja-JP"/>
          <w14:ligatures w14:val="none"/>
        </w:rPr>
        <w:t xml:space="preserve">Het Grondstoffenakkoord bevat afspraken van de Rijksoverheid met andere partijen over maatregelen om de transitie naar de circulaire economie te versnellen. De ambitie is om zuiniger en slimmer om te gaan met grondstoffen. Vanuit deze afspraken en om deze ambitie te realiseren  is het Programma Circulaire Economie ‘Nederland Circulair in 2050’ opgesteld. De volgende doelstellingen zijn opgesteld naar aanleiding van het grondstofakkoord: </w:t>
      </w:r>
    </w:p>
    <w:p w14:paraId="2F237A06"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Voor Bouw/GWW wordt in 2030 100% circulair aanbesteed.</w:t>
      </w:r>
    </w:p>
    <w:p w14:paraId="7F0D0A73"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In 2030 wordt 50% minder primaire grondstoffen gebruikt.</w:t>
      </w:r>
    </w:p>
    <w:p w14:paraId="3256C88D" w14:textId="77777777" w:rsidR="00F94C7A" w:rsidRPr="00EC0C93" w:rsidRDefault="00F94C7A" w:rsidP="00F94C7A">
      <w:pPr>
        <w:pStyle w:val="Lijstalinea"/>
        <w:numPr>
          <w:ilvl w:val="0"/>
          <w:numId w:val="2"/>
        </w:numPr>
        <w:spacing w:line="276" w:lineRule="auto"/>
        <w:rPr>
          <w:rFonts w:ascii="Open Sans" w:eastAsiaTheme="minorEastAsia" w:hAnsi="Open Sans" w:cstheme="minorBidi"/>
          <w:lang w:eastAsia="ja-JP"/>
          <w14:ligatures w14:val="none"/>
        </w:rPr>
      </w:pPr>
      <w:r w:rsidRPr="00EC0C93">
        <w:rPr>
          <w:rFonts w:ascii="Open Sans" w:eastAsiaTheme="minorEastAsia" w:hAnsi="Open Sans" w:cstheme="minorBidi"/>
          <w:lang w:eastAsia="ja-JP"/>
          <w14:ligatures w14:val="none"/>
        </w:rPr>
        <w:t xml:space="preserve">In 2050 100% zijn we circulair, dus geen grondstoffen met een negatieve milieu-impact. </w:t>
      </w:r>
    </w:p>
    <w:p w14:paraId="46589CEB" w14:textId="77777777" w:rsidR="00F94C7A" w:rsidRDefault="00F94C7A" w:rsidP="00F94C7A">
      <w:pPr>
        <w:rPr>
          <w:rFonts w:cs="Arial"/>
          <w:b/>
          <w:bCs/>
          <w:szCs w:val="20"/>
        </w:rPr>
      </w:pPr>
    </w:p>
    <w:p w14:paraId="65601E9D" w14:textId="7012D8B8" w:rsidR="00F94C7A" w:rsidRPr="00907207" w:rsidRDefault="00F94C7A" w:rsidP="53C6B469">
      <w:pPr>
        <w:spacing w:after="160" w:line="259" w:lineRule="auto"/>
        <w:rPr>
          <w:rFonts w:ascii="Open Sans" w:eastAsiaTheme="minorEastAsia" w:hAnsi="Open Sans" w:cstheme="minorBidi"/>
          <w:lang w:eastAsia="ja-JP"/>
        </w:rPr>
      </w:pPr>
      <w:r w:rsidRPr="53C6B469">
        <w:rPr>
          <w:rFonts w:ascii="Open Sans" w:eastAsiaTheme="minorEastAsia" w:hAnsi="Open Sans" w:cstheme="minorBidi"/>
          <w:lang w:eastAsia="ja-JP"/>
        </w:rPr>
        <w:br w:type="page"/>
      </w:r>
      <w:r w:rsidRPr="53C6B469">
        <w:rPr>
          <w:rFonts w:ascii="Open Sans" w:eastAsiaTheme="minorEastAsia" w:hAnsi="Open Sans" w:cstheme="minorBidi"/>
          <w:lang w:eastAsia="ja-JP"/>
        </w:rPr>
        <w:lastRenderedPageBreak/>
        <w:t>  </w:t>
      </w:r>
    </w:p>
    <w:p w14:paraId="67EADDB3" w14:textId="73941C8B" w:rsidR="2FE8845C" w:rsidRPr="00CE3E50" w:rsidRDefault="2FE8845C" w:rsidP="00E06779">
      <w:pPr>
        <w:numPr>
          <w:ilvl w:val="0"/>
          <w:numId w:val="3"/>
        </w:numPr>
        <w:spacing w:beforeAutospacing="1"/>
        <w:ind w:left="720"/>
        <w:rPr>
          <w:rFonts w:ascii="Open Sans" w:eastAsiaTheme="minorEastAsia" w:hAnsi="Open Sans" w:cstheme="minorBidi"/>
          <w:bCs/>
          <w:sz w:val="28"/>
          <w:szCs w:val="28"/>
          <w:lang w:eastAsia="ja-JP"/>
        </w:rPr>
      </w:pPr>
      <w:r w:rsidRPr="00E06779">
        <w:rPr>
          <w:rFonts w:ascii="Open Sans" w:eastAsiaTheme="minorEastAsia" w:hAnsi="Open Sans" w:cstheme="minorBidi"/>
          <w:b/>
          <w:bCs/>
          <w:sz w:val="28"/>
          <w:szCs w:val="28"/>
          <w:lang w:eastAsia="ja-JP"/>
        </w:rPr>
        <w:t xml:space="preserve">Social Return </w:t>
      </w:r>
    </w:p>
    <w:p w14:paraId="475B6949" w14:textId="7CD7026B" w:rsidR="2FE8845C" w:rsidRDefault="2FE8845C" w:rsidP="53C6B469">
      <w:pPr>
        <w:spacing w:line="276" w:lineRule="auto"/>
      </w:pPr>
      <w:r w:rsidRPr="53C6B469">
        <w:rPr>
          <w:rFonts w:ascii="Open Sans" w:eastAsiaTheme="minorEastAsia" w:hAnsi="Open Sans" w:cstheme="minorBidi"/>
          <w:lang w:eastAsia="ja-JP"/>
        </w:rPr>
        <w:t xml:space="preserve"> </w:t>
      </w:r>
    </w:p>
    <w:p w14:paraId="53535A19" w14:textId="22465DEF" w:rsidR="2FE8845C" w:rsidRPr="00E06779" w:rsidRDefault="2FE8845C" w:rsidP="53C6B469">
      <w:pPr>
        <w:spacing w:line="276" w:lineRule="auto"/>
        <w:rPr>
          <w:rFonts w:ascii="Open Sans" w:eastAsiaTheme="minorEastAsia" w:hAnsi="Open Sans" w:cstheme="minorBidi"/>
          <w:b/>
          <w:bCs/>
          <w:lang w:eastAsia="ja-JP"/>
        </w:rPr>
      </w:pPr>
      <w:r w:rsidRPr="00E06779">
        <w:rPr>
          <w:rFonts w:ascii="Open Sans" w:eastAsiaTheme="minorEastAsia" w:hAnsi="Open Sans" w:cstheme="minorBidi"/>
          <w:b/>
          <w:bCs/>
          <w:lang w:eastAsia="ja-JP"/>
        </w:rPr>
        <w:t xml:space="preserve">Social Return heeft als doel het bieden van eerlijke kansen aan mensen die zich willen ontwikkelen en willen participeren in de maatschappij. In de lijn met het streven naar een diverse en inclusieve samenleving draagt Social Return direct bij aan SDG doel 8 (eerlijk werk en economische groei) en SDG doel 10 (minder ongelijkheid). Indirect heeft Social Return ook effect op SDG doel 1 (geen armoede) en 4 (kwaliteitsonderwijs). </w:t>
      </w:r>
    </w:p>
    <w:p w14:paraId="0F35FCF0" w14:textId="248D85B4" w:rsidR="2FE8845C" w:rsidRPr="00E06779" w:rsidRDefault="2FE8845C" w:rsidP="53C6B469">
      <w:pPr>
        <w:spacing w:line="276" w:lineRule="auto"/>
        <w:rPr>
          <w:rFonts w:ascii="Open Sans" w:eastAsiaTheme="minorEastAsia" w:hAnsi="Open Sans" w:cstheme="minorBidi"/>
          <w:b/>
          <w:bCs/>
          <w:lang w:eastAsia="ja-JP"/>
        </w:rPr>
      </w:pPr>
      <w:r w:rsidRPr="00E06779">
        <w:rPr>
          <w:rFonts w:ascii="Open Sans" w:eastAsiaTheme="minorEastAsia" w:hAnsi="Open Sans" w:cstheme="minorBidi"/>
          <w:b/>
          <w:bCs/>
          <w:lang w:eastAsia="ja-JP"/>
        </w:rPr>
        <w:t xml:space="preserve"> </w:t>
      </w:r>
    </w:p>
    <w:p w14:paraId="330D72AB" w14:textId="21A75619" w:rsidR="2FE8845C" w:rsidRPr="00E06779" w:rsidRDefault="2FE8845C" w:rsidP="53C6B469">
      <w:pPr>
        <w:spacing w:line="276" w:lineRule="auto"/>
        <w:rPr>
          <w:rFonts w:ascii="Open Sans" w:eastAsiaTheme="minorEastAsia" w:hAnsi="Open Sans" w:cstheme="minorBidi"/>
          <w:b/>
          <w:bCs/>
          <w:color w:val="FF0000"/>
          <w:lang w:eastAsia="ja-JP"/>
        </w:rPr>
      </w:pPr>
      <w:r w:rsidRPr="00E06779">
        <w:rPr>
          <w:rFonts w:ascii="Open Sans" w:eastAsiaTheme="minorEastAsia" w:hAnsi="Open Sans" w:cstheme="minorBidi"/>
          <w:b/>
          <w:bCs/>
          <w:color w:val="FF0000"/>
          <w:lang w:eastAsia="ja-JP"/>
        </w:rPr>
        <w:t xml:space="preserve">Beleid Social Return </w:t>
      </w:r>
    </w:p>
    <w:p w14:paraId="10F93B00" w14:textId="59B4322E" w:rsidR="2FE8845C" w:rsidRDefault="2FE8845C" w:rsidP="53C6B469">
      <w:pPr>
        <w:spacing w:line="276" w:lineRule="auto"/>
      </w:pPr>
      <w:r w:rsidRPr="53C6B469">
        <w:rPr>
          <w:rFonts w:ascii="Open Sans" w:eastAsiaTheme="minorEastAsia" w:hAnsi="Open Sans" w:cstheme="minorBidi"/>
          <w:lang w:eastAsia="ja-JP"/>
        </w:rPr>
        <w:t xml:space="preserve"> </w:t>
      </w:r>
    </w:p>
    <w:p w14:paraId="4C8CD86C" w14:textId="19FFB912" w:rsidR="2FE8845C" w:rsidRDefault="2FE8845C" w:rsidP="53C6B469">
      <w:pPr>
        <w:spacing w:line="276" w:lineRule="auto"/>
      </w:pPr>
      <w:r w:rsidRPr="53C6B469">
        <w:rPr>
          <w:rFonts w:ascii="Open Sans" w:eastAsiaTheme="minorEastAsia" w:hAnsi="Open Sans" w:cstheme="minorBidi"/>
          <w:lang w:eastAsia="ja-JP"/>
        </w:rPr>
        <w:t xml:space="preserve">Niet iedereen kan gemakkelijk meedoen in het werkproces. De overheid kan bij het geven van opdrachten aan bedrijven eisen stellen en stimuleren dat zij mensen die zich willen ontwikkelen en participeren bij hun opdracht betrekken. Dit kan door banen te creëren, leerplekken aan te bieden maar ook door producten en of diensten in te kopen bij SW-bedrijven en sociale ondernemingen. Dit geeft mensen met minder kans op werk de gelegenheid om werkervaring op te doen en zich te ontwikkelen, wat hen helpt met hun positie op de arbeidsmarkt.  </w:t>
      </w:r>
    </w:p>
    <w:p w14:paraId="2B74F1E7" w14:textId="358B6CB1" w:rsidR="2FE8845C" w:rsidRDefault="2FE8845C" w:rsidP="53C6B469">
      <w:pPr>
        <w:spacing w:line="276" w:lineRule="auto"/>
      </w:pPr>
      <w:r w:rsidRPr="53C6B469">
        <w:rPr>
          <w:rFonts w:ascii="Open Sans" w:eastAsiaTheme="minorEastAsia" w:hAnsi="Open Sans" w:cstheme="minorBidi"/>
          <w:lang w:eastAsia="ja-JP"/>
        </w:rPr>
        <w:t xml:space="preserve"> </w:t>
      </w:r>
    </w:p>
    <w:p w14:paraId="498B24EF" w14:textId="4BF8CD4C" w:rsidR="2FE8845C" w:rsidRDefault="2FE8845C" w:rsidP="53C6B469">
      <w:pPr>
        <w:spacing w:line="276" w:lineRule="auto"/>
      </w:pPr>
      <w:r w:rsidRPr="53C6B469">
        <w:rPr>
          <w:rFonts w:ascii="Open Sans" w:eastAsiaTheme="minorEastAsia" w:hAnsi="Open Sans" w:cstheme="minorBidi"/>
          <w:lang w:eastAsia="ja-JP"/>
        </w:rPr>
        <w:t xml:space="preserve">De Aanbestedende dienst is groot voorstander van de inzet van Social Return bij Aanbestedingen. Social Return is daarom een vast onderdeel van het inkoopbeleid. Social Return wordt toegepast bij opdrachten voor werk, diensten en leveringen.  </w:t>
      </w:r>
    </w:p>
    <w:p w14:paraId="4FA020D1" w14:textId="040A2003" w:rsidR="2FE8845C" w:rsidRDefault="2FE8845C" w:rsidP="53C6B469">
      <w:pPr>
        <w:spacing w:line="276" w:lineRule="auto"/>
      </w:pPr>
      <w:r w:rsidRPr="53C6B469">
        <w:rPr>
          <w:rFonts w:ascii="Open Sans" w:eastAsiaTheme="minorEastAsia" w:hAnsi="Open Sans" w:cstheme="minorBidi"/>
          <w:lang w:eastAsia="ja-JP"/>
        </w:rPr>
        <w:t xml:space="preserve"> </w:t>
      </w:r>
    </w:p>
    <w:p w14:paraId="6F889380" w14:textId="2D24A0B3" w:rsidR="2FE8845C" w:rsidRDefault="2FE8845C" w:rsidP="53C6B469">
      <w:pPr>
        <w:spacing w:line="276" w:lineRule="auto"/>
      </w:pPr>
      <w:r w:rsidRPr="53C6B469">
        <w:rPr>
          <w:rFonts w:ascii="Open Sans" w:eastAsiaTheme="minorEastAsia" w:hAnsi="Open Sans" w:cstheme="minorBidi"/>
          <w:lang w:eastAsia="ja-JP"/>
        </w:rPr>
        <w:t xml:space="preserve">De Aanbestedende dienst </w:t>
      </w:r>
      <w:r w:rsidR="00105C24">
        <w:rPr>
          <w:rFonts w:ascii="Open Sans" w:eastAsiaTheme="minorEastAsia" w:hAnsi="Open Sans" w:cstheme="minorBidi"/>
          <w:lang w:eastAsia="ja-JP"/>
        </w:rPr>
        <w:t>geeft de voorkeur aan</w:t>
      </w:r>
      <w:r w:rsidRPr="53C6B469">
        <w:rPr>
          <w:rFonts w:ascii="Open Sans" w:eastAsiaTheme="minorEastAsia" w:hAnsi="Open Sans" w:cstheme="minorBidi"/>
          <w:lang w:eastAsia="ja-JP"/>
        </w:rPr>
        <w:t xml:space="preserve"> werken met bedrijven die maatschappelijk verantwoord ondernemen belangrijk vinden. Bedrijven die mensen een kans geven die zich willen </w:t>
      </w:r>
      <w:r w:rsidR="3C19D265" w:rsidRPr="53C6B469">
        <w:rPr>
          <w:rFonts w:ascii="Open Sans" w:eastAsiaTheme="minorEastAsia" w:hAnsi="Open Sans" w:cstheme="minorBidi"/>
          <w:lang w:eastAsia="ja-JP"/>
        </w:rPr>
        <w:t>ontwikkelen.</w:t>
      </w:r>
      <w:r w:rsidRPr="53C6B469">
        <w:rPr>
          <w:rFonts w:ascii="Open Sans" w:eastAsiaTheme="minorEastAsia" w:hAnsi="Open Sans" w:cstheme="minorBidi"/>
          <w:lang w:eastAsia="ja-JP"/>
        </w:rPr>
        <w:t xml:space="preserve"> Om Opdrachtnemer te ontlasten is namens de Aanbestedende dienst een uitvoeringsorganisatie Social Return beschikbaar die Opdrachtnemer kan adviseren bij de diverse invullingsmogelijkheden en helpen bij het zoeken naar geschikte kandidaten. Daarnaast geven zij ondersteuning bij het monitoren van de social return verplichting.  Indien Opdrachtnemer zelf bepaalde ideeën en initiatief toont om aan de eisen van Social Return te voldoen, wordt dit zeker gewaardeerd. Zolang het maar gaat over een recente investering in de doelgroep social return, mensen die willen participeren richting de arbeidsmarkt en waarmee dus sociale impact wordt gemaakt.  </w:t>
      </w:r>
    </w:p>
    <w:p w14:paraId="1D6A905A" w14:textId="58041530" w:rsidR="2FE8845C" w:rsidRDefault="2FE8845C" w:rsidP="53C6B469">
      <w:pPr>
        <w:spacing w:line="276" w:lineRule="auto"/>
      </w:pPr>
      <w:r w:rsidRPr="53C6B469">
        <w:rPr>
          <w:rFonts w:ascii="Open Sans" w:eastAsiaTheme="minorEastAsia" w:hAnsi="Open Sans" w:cstheme="minorBidi"/>
          <w:lang w:eastAsia="ja-JP"/>
        </w:rPr>
        <w:t xml:space="preserve"> </w:t>
      </w:r>
    </w:p>
    <w:p w14:paraId="3DF2FA7F" w14:textId="7D8C3B9F" w:rsidR="2FE8845C" w:rsidRDefault="2FE8845C" w:rsidP="53C6B469">
      <w:pPr>
        <w:spacing w:line="276" w:lineRule="auto"/>
      </w:pPr>
      <w:r w:rsidRPr="53C6B469">
        <w:rPr>
          <w:rFonts w:ascii="Open Sans" w:eastAsiaTheme="minorEastAsia" w:hAnsi="Open Sans" w:cstheme="minorBidi"/>
          <w:lang w:eastAsia="ja-JP"/>
        </w:rPr>
        <w:t xml:space="preserve">Meer informatie hierover: https://www.dzb.nl/social-return/.  </w:t>
      </w:r>
    </w:p>
    <w:p w14:paraId="64426311" w14:textId="24CBDCDE" w:rsidR="53C6B469" w:rsidRDefault="53C6B469" w:rsidP="53C6B469">
      <w:pPr>
        <w:spacing w:line="276" w:lineRule="auto"/>
        <w:rPr>
          <w:rFonts w:ascii="Open Sans" w:eastAsiaTheme="minorEastAsia" w:hAnsi="Open Sans" w:cstheme="minorBidi"/>
          <w:lang w:eastAsia="ja-JP"/>
        </w:rPr>
      </w:pPr>
    </w:p>
    <w:p w14:paraId="02B9D32E" w14:textId="77777777" w:rsidR="00F94C7A" w:rsidRDefault="00F94C7A" w:rsidP="00F94C7A">
      <w:pPr>
        <w:spacing w:after="160" w:line="259" w:lineRule="auto"/>
        <w:rPr>
          <w:rFonts w:ascii="Arial" w:hAnsi="Arial" w:cs="Arial"/>
          <w:sz w:val="20"/>
          <w:szCs w:val="20"/>
        </w:rPr>
      </w:pPr>
      <w:r>
        <w:rPr>
          <w:rFonts w:ascii="Arial" w:hAnsi="Arial" w:cs="Arial"/>
          <w:sz w:val="20"/>
          <w:szCs w:val="20"/>
        </w:rPr>
        <w:br w:type="page"/>
      </w:r>
    </w:p>
    <w:p w14:paraId="2DE74422"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lastRenderedPageBreak/>
        <w:t>Diversiteit en Inclusie</w:t>
      </w:r>
    </w:p>
    <w:p w14:paraId="1C2D9D94" w14:textId="77777777" w:rsidR="00F94C7A" w:rsidRPr="008764F3" w:rsidRDefault="00F94C7A" w:rsidP="00F94C7A">
      <w:pPr>
        <w:pStyle w:val="Introtekst"/>
        <w:numPr>
          <w:ilvl w:val="1"/>
          <w:numId w:val="0"/>
        </w:numPr>
      </w:pPr>
      <w:r w:rsidRPr="00EE29E0">
        <w:t xml:space="preserve">Het stimuleren van een diverse en inclusieve samenleving en bedrijfsleven waarin iedereen wordt behandeld en beoordeeld op wat ze kunnen en niet op wie ze zijn, van wie ze houden, waar ze vandaan komen of wat ze geloven. </w:t>
      </w:r>
      <w:r w:rsidRPr="008764F3">
        <w:t>SDG 10</w:t>
      </w:r>
      <w:r w:rsidRPr="00331895">
        <w:t xml:space="preserve"> </w:t>
      </w:r>
      <w:r>
        <w:t xml:space="preserve">‘Ongelijkheid verminderen’, </w:t>
      </w:r>
      <w:r w:rsidRPr="008764F3">
        <w:t>SDG 12</w:t>
      </w:r>
      <w:r w:rsidRPr="00331895">
        <w:t xml:space="preserve"> ‘verantwoordelijk consumptie en productie’</w:t>
      </w:r>
      <w:r>
        <w:t xml:space="preserve"> en mogelijk </w:t>
      </w:r>
      <w:r w:rsidRPr="008764F3">
        <w:t>SDG 4</w:t>
      </w:r>
      <w:r w:rsidRPr="00331895">
        <w:t xml:space="preserve"> ‘</w:t>
      </w:r>
      <w:r>
        <w:t xml:space="preserve">kwaliteitsonderwijs, </w:t>
      </w:r>
      <w:r w:rsidRPr="008764F3">
        <w:t>SDG 5</w:t>
      </w:r>
      <w:r>
        <w:t xml:space="preserve"> ‘gendergelijkheid’, </w:t>
      </w:r>
      <w:r w:rsidRPr="008764F3">
        <w:t>SDG 8</w:t>
      </w:r>
      <w:r>
        <w:t xml:space="preserve"> ‘eerlijk werk en economische groei, </w:t>
      </w:r>
      <w:r w:rsidRPr="008764F3">
        <w:t>SDG 9</w:t>
      </w:r>
      <w:r>
        <w:t xml:space="preserve"> ‘Industrie, innovatie en infrastructuur, en </w:t>
      </w:r>
      <w:r w:rsidRPr="008764F3">
        <w:t>SDG 11</w:t>
      </w:r>
      <w:r w:rsidRPr="00331895">
        <w:t xml:space="preserve"> ‘duurzame steden en gemeenschappen’</w:t>
      </w:r>
      <w:r>
        <w:t xml:space="preserve">. </w:t>
      </w:r>
      <w:r w:rsidRPr="00331895">
        <w:t xml:space="preserve">Daarnaast zijn de onderstaande onderwerpen in het beleid opgenomen. </w:t>
      </w:r>
    </w:p>
    <w:p w14:paraId="1D02FD5A" w14:textId="4A01BE5A" w:rsidR="00F94C7A" w:rsidRDefault="6262427C" w:rsidP="00F94C7A">
      <w:r w:rsidRPr="18ED3F98">
        <w:rPr>
          <w:rFonts w:ascii="Open Sans" w:eastAsiaTheme="minorEastAsia" w:hAnsi="Open Sans" w:cstheme="minorBidi"/>
          <w:lang w:eastAsia="ja-JP"/>
          <w14:ligatures w14:val="none"/>
        </w:rPr>
        <w:t>Er is</w:t>
      </w:r>
      <w:r w:rsidR="00F94C7A" w:rsidRPr="18ED3F98">
        <w:rPr>
          <w:rFonts w:ascii="Open Sans" w:eastAsiaTheme="minorEastAsia" w:hAnsi="Open Sans" w:cstheme="minorBidi"/>
          <w:lang w:eastAsia="ja-JP"/>
          <w14:ligatures w14:val="none"/>
        </w:rPr>
        <w:t xml:space="preserve"> een handboek gemaakt voor diversiteit en inclusie. De gemeente maakt hier gebruik van om vooraf een keuze te maken wat wordt meegenomen in de </w:t>
      </w:r>
      <w:r w:rsidR="00F94C7A" w:rsidRPr="18ED3F98">
        <w:rPr>
          <w:rFonts w:ascii="Open Sans" w:eastAsiaTheme="minorEastAsia" w:hAnsi="Open Sans" w:cs="Open Sans"/>
          <w:lang w:eastAsia="ja-JP"/>
          <w14:ligatures w14:val="none"/>
        </w:rPr>
        <w:t xml:space="preserve">aanbesteding. </w:t>
      </w:r>
      <w:r w:rsidR="00F94C7A" w:rsidRPr="00F94C7A">
        <w:rPr>
          <w:rFonts w:ascii="Open Sans" w:eastAsia="Calibri" w:hAnsi="Open Sans" w:cs="Open Sans"/>
          <w:b/>
          <w:bCs/>
        </w:rPr>
        <w:t>(</w:t>
      </w:r>
      <w:hyperlink r:id="rId13">
        <w:r w:rsidR="00F94C7A" w:rsidRPr="18ED3F98">
          <w:rPr>
            <w:rStyle w:val="Hyperlink"/>
            <w:rFonts w:ascii="Open Sans" w:hAnsi="Open Sans" w:cs="Open Sans"/>
          </w:rPr>
          <w:t>Diversiteit en Inclusie in Aanbestedingen (pianoo.nl)</w:t>
        </w:r>
      </w:hyperlink>
      <w:r w:rsidR="00F94C7A" w:rsidRPr="00F94C7A">
        <w:rPr>
          <w:rStyle w:val="Hyperlink"/>
          <w:rFonts w:ascii="Open Sans" w:hAnsi="Open Sans" w:cs="Open Sans"/>
        </w:rPr>
        <w:t>).</w:t>
      </w:r>
      <w:r w:rsidR="00F94C7A">
        <w:t xml:space="preserve"> </w:t>
      </w:r>
    </w:p>
    <w:p w14:paraId="16BE1D38" w14:textId="3581298A" w:rsidR="00F94C7A" w:rsidRDefault="00F94C7A" w:rsidP="00F94C7A">
      <w:pPr>
        <w:spacing w:after="160" w:line="259" w:lineRule="auto"/>
      </w:pPr>
    </w:p>
    <w:p w14:paraId="1673B7AD" w14:textId="77777777" w:rsidR="00F94C7A" w:rsidRPr="006F0389" w:rsidRDefault="00F94C7A" w:rsidP="00F94C7A">
      <w:pPr>
        <w:pStyle w:val="Kop2"/>
        <w:numPr>
          <w:ilvl w:val="0"/>
          <w:numId w:val="3"/>
        </w:numPr>
        <w:pBdr>
          <w:bottom w:val="none" w:sz="0" w:space="0" w:color="auto"/>
        </w:pBdr>
        <w:spacing w:before="100" w:beforeAutospacing="1" w:after="0" w:line="240" w:lineRule="auto"/>
        <w:ind w:left="720"/>
        <w:rPr>
          <w:rFonts w:ascii="Open Sans" w:hAnsi="Open Sans"/>
          <w:bCs/>
          <w:color w:val="auto"/>
          <w:sz w:val="28"/>
          <w:szCs w:val="28"/>
          <w:lang w:eastAsia="ja-JP"/>
          <w14:ligatures w14:val="none"/>
        </w:rPr>
      </w:pPr>
      <w:r w:rsidRPr="006F0389">
        <w:rPr>
          <w:rFonts w:ascii="Open Sans" w:hAnsi="Open Sans"/>
          <w:bCs/>
          <w:color w:val="auto"/>
          <w:sz w:val="28"/>
          <w:szCs w:val="28"/>
          <w:lang w:eastAsia="ja-JP"/>
          <w14:ligatures w14:val="none"/>
        </w:rPr>
        <w:t>Ketenverantwoordelijkheid (Internationale Sociale</w:t>
      </w:r>
      <w:r>
        <w:rPr>
          <w:rFonts w:ascii="Open Sans" w:hAnsi="Open Sans"/>
          <w:bCs/>
          <w:color w:val="auto"/>
          <w:sz w:val="28"/>
          <w:szCs w:val="28"/>
          <w:lang w:eastAsia="ja-JP"/>
          <w14:ligatures w14:val="none"/>
        </w:rPr>
        <w:t xml:space="preserve"> </w:t>
      </w:r>
      <w:r w:rsidRPr="006F0389">
        <w:rPr>
          <w:rFonts w:ascii="Open Sans" w:hAnsi="Open Sans"/>
          <w:bCs/>
          <w:color w:val="auto"/>
          <w:sz w:val="28"/>
          <w:szCs w:val="28"/>
          <w:lang w:eastAsia="ja-JP"/>
          <w14:ligatures w14:val="none"/>
        </w:rPr>
        <w:t>Voorwaarden)</w:t>
      </w:r>
    </w:p>
    <w:p w14:paraId="705A2284" w14:textId="77777777" w:rsidR="00F94C7A" w:rsidRPr="00532BFF" w:rsidRDefault="00F94C7A" w:rsidP="00532BFF">
      <w:pPr>
        <w:pStyle w:val="Ondertitel"/>
        <w:spacing w:line="276" w:lineRule="auto"/>
        <w:rPr>
          <w:rFonts w:ascii="Open Sans SemiBold" w:hAnsi="Open Sans SemiBold"/>
          <w:color w:val="auto"/>
          <w:spacing w:val="0"/>
          <w:sz w:val="24"/>
          <w:lang w:eastAsia="ja-JP"/>
        </w:rPr>
      </w:pPr>
      <w:r w:rsidRPr="00532BFF">
        <w:rPr>
          <w:rFonts w:ascii="Open Sans SemiBold" w:hAnsi="Open Sans SemiBold"/>
          <w:color w:val="auto"/>
          <w:spacing w:val="0"/>
          <w:sz w:val="24"/>
          <w:lang w:eastAsia="ja-JP"/>
        </w:rPr>
        <w:t>Het stimuleren van ketenverantwoordelijkheid van bedrijven. Dat betekent het voorkomen of aanpakken van misstanden op het gebied van arbeidsomstandigheden, mensenrechten en milieu conform de OESO-richtlijnen voor multinationale ondernemingen. SDG 8 ‘Eerlijk werk en economische groei’, SDG 12 ‘Verantwoordelijk consumptie en productie en mogelijk SDG 1 Geen armoede en SDG 2 ‘Geen honger’.</w:t>
      </w:r>
    </w:p>
    <w:p w14:paraId="4CEB0469" w14:textId="77777777" w:rsidR="00F94C7A" w:rsidRDefault="00F94C7A" w:rsidP="00F94C7A"/>
    <w:p w14:paraId="2E8EA872" w14:textId="5671FC33" w:rsidR="001078C3" w:rsidRPr="00532BFF" w:rsidRDefault="00F94C7A">
      <w:pPr>
        <w:rPr>
          <w:rFonts w:ascii="Open Sans" w:eastAsiaTheme="minorEastAsia" w:hAnsi="Open Sans" w:cstheme="minorBidi"/>
          <w:lang w:eastAsia="ja-JP"/>
          <w14:ligatures w14:val="none"/>
        </w:rPr>
      </w:pPr>
      <w:r w:rsidRPr="00532BFF">
        <w:rPr>
          <w:rFonts w:ascii="Open Sans" w:eastAsiaTheme="minorEastAsia" w:hAnsi="Open Sans" w:cstheme="minorBidi"/>
          <w:lang w:eastAsia="ja-JP"/>
          <w14:ligatures w14:val="none"/>
        </w:rPr>
        <w:t xml:space="preserve">Ketenverantwoordelijkheid draagt bij aan het uitbannen van misstanden op gebied van mens, natuur en milieu in de inkoopketen. Iedere schakel in de productieketen neemt verantwoordelijkheid om misstanden als kinderarbeid, onmenselijke werkomstandigheden en ontbossing op te sporen en aan te pakken. </w:t>
      </w:r>
    </w:p>
    <w:sectPr w:rsidR="001078C3" w:rsidRPr="00532BF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7B249" w14:textId="77777777" w:rsidR="004170BA" w:rsidRDefault="004170BA" w:rsidP="00F94C7A">
      <w:r>
        <w:separator/>
      </w:r>
    </w:p>
  </w:endnote>
  <w:endnote w:type="continuationSeparator" w:id="0">
    <w:p w14:paraId="352B99EC" w14:textId="77777777" w:rsidR="004170BA" w:rsidRDefault="004170BA" w:rsidP="00F94C7A">
      <w:r>
        <w:continuationSeparator/>
      </w:r>
    </w:p>
  </w:endnote>
  <w:endnote w:type="continuationNotice" w:id="1">
    <w:p w14:paraId="3B59E58E" w14:textId="77777777" w:rsidR="004170BA" w:rsidRDefault="004170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B3E0" w14:textId="77777777" w:rsidR="004170BA" w:rsidRDefault="004170BA" w:rsidP="00F94C7A">
      <w:r>
        <w:separator/>
      </w:r>
    </w:p>
  </w:footnote>
  <w:footnote w:type="continuationSeparator" w:id="0">
    <w:p w14:paraId="40CA1638" w14:textId="77777777" w:rsidR="004170BA" w:rsidRDefault="004170BA" w:rsidP="00F94C7A">
      <w:r>
        <w:continuationSeparator/>
      </w:r>
    </w:p>
  </w:footnote>
  <w:footnote w:type="continuationNotice" w:id="1">
    <w:p w14:paraId="1159463C" w14:textId="77777777" w:rsidR="004170BA" w:rsidRDefault="004170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3D3C"/>
    <w:multiLevelType w:val="multilevel"/>
    <w:tmpl w:val="C2525E0E"/>
    <w:lvl w:ilvl="0">
      <w:start w:val="1"/>
      <w:numFmt w:val="decimal"/>
      <w:lvlText w:val="%1."/>
      <w:lvlJc w:val="left"/>
      <w:pPr>
        <w:ind w:left="360" w:hanging="360"/>
      </w:pPr>
      <w:rPr>
        <w:rFonts w:hint="default"/>
      </w:rPr>
    </w:lvl>
    <w:lvl w:ilvl="1">
      <w:start w:val="1"/>
      <w:numFmt w:val="decimal"/>
      <w:isLgl/>
      <w:lvlText w:val="%1.%2"/>
      <w:lvlJc w:val="left"/>
      <w:pPr>
        <w:ind w:left="765" w:hanging="405"/>
      </w:pPr>
      <w:rPr>
        <w:rFonts w:hint="default"/>
        <w:b/>
        <w:color w:val="DF2E20"/>
        <w:sz w:val="24"/>
      </w:rPr>
    </w:lvl>
    <w:lvl w:ilvl="2">
      <w:start w:val="1"/>
      <w:numFmt w:val="decimal"/>
      <w:isLgl/>
      <w:lvlText w:val="%1.%2.%3"/>
      <w:lvlJc w:val="left"/>
      <w:pPr>
        <w:ind w:left="1080" w:hanging="720"/>
      </w:pPr>
      <w:rPr>
        <w:rFonts w:hint="default"/>
        <w:b/>
        <w:color w:val="DF2E20"/>
        <w:sz w:val="24"/>
      </w:rPr>
    </w:lvl>
    <w:lvl w:ilvl="3">
      <w:start w:val="1"/>
      <w:numFmt w:val="decimal"/>
      <w:isLgl/>
      <w:lvlText w:val="%1.%2.%3.%4"/>
      <w:lvlJc w:val="left"/>
      <w:pPr>
        <w:ind w:left="1440" w:hanging="1080"/>
      </w:pPr>
      <w:rPr>
        <w:rFonts w:hint="default"/>
        <w:b/>
        <w:color w:val="DF2E20"/>
        <w:sz w:val="24"/>
      </w:rPr>
    </w:lvl>
    <w:lvl w:ilvl="4">
      <w:start w:val="1"/>
      <w:numFmt w:val="decimal"/>
      <w:isLgl/>
      <w:lvlText w:val="%1.%2.%3.%4.%5"/>
      <w:lvlJc w:val="left"/>
      <w:pPr>
        <w:ind w:left="1440" w:hanging="1080"/>
      </w:pPr>
      <w:rPr>
        <w:rFonts w:hint="default"/>
        <w:b/>
        <w:color w:val="DF2E20"/>
        <w:sz w:val="24"/>
      </w:rPr>
    </w:lvl>
    <w:lvl w:ilvl="5">
      <w:start w:val="1"/>
      <w:numFmt w:val="decimal"/>
      <w:isLgl/>
      <w:lvlText w:val="%1.%2.%3.%4.%5.%6"/>
      <w:lvlJc w:val="left"/>
      <w:pPr>
        <w:ind w:left="1800" w:hanging="1440"/>
      </w:pPr>
      <w:rPr>
        <w:rFonts w:hint="default"/>
        <w:b/>
        <w:color w:val="DF2E20"/>
        <w:sz w:val="24"/>
      </w:rPr>
    </w:lvl>
    <w:lvl w:ilvl="6">
      <w:start w:val="1"/>
      <w:numFmt w:val="decimal"/>
      <w:isLgl/>
      <w:lvlText w:val="%1.%2.%3.%4.%5.%6.%7"/>
      <w:lvlJc w:val="left"/>
      <w:pPr>
        <w:ind w:left="1800" w:hanging="1440"/>
      </w:pPr>
      <w:rPr>
        <w:rFonts w:hint="default"/>
        <w:b/>
        <w:color w:val="DF2E20"/>
        <w:sz w:val="24"/>
      </w:rPr>
    </w:lvl>
    <w:lvl w:ilvl="7">
      <w:start w:val="1"/>
      <w:numFmt w:val="decimal"/>
      <w:isLgl/>
      <w:lvlText w:val="%1.%2.%3.%4.%5.%6.%7.%8"/>
      <w:lvlJc w:val="left"/>
      <w:pPr>
        <w:ind w:left="2160" w:hanging="1800"/>
      </w:pPr>
      <w:rPr>
        <w:rFonts w:hint="default"/>
        <w:b/>
        <w:color w:val="DF2E20"/>
        <w:sz w:val="24"/>
      </w:rPr>
    </w:lvl>
    <w:lvl w:ilvl="8">
      <w:start w:val="1"/>
      <w:numFmt w:val="decimal"/>
      <w:isLgl/>
      <w:lvlText w:val="%1.%2.%3.%4.%5.%6.%7.%8.%9"/>
      <w:lvlJc w:val="left"/>
      <w:pPr>
        <w:ind w:left="2160" w:hanging="1800"/>
      </w:pPr>
      <w:rPr>
        <w:rFonts w:hint="default"/>
        <w:b/>
        <w:color w:val="DF2E20"/>
        <w:sz w:val="24"/>
      </w:rPr>
    </w:lvl>
  </w:abstractNum>
  <w:abstractNum w:abstractNumId="1" w15:restartNumberingAfterBreak="0">
    <w:nsid w:val="265128B2"/>
    <w:multiLevelType w:val="hybridMultilevel"/>
    <w:tmpl w:val="0E98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BC41310"/>
    <w:multiLevelType w:val="hybridMultilevel"/>
    <w:tmpl w:val="FC62FA46"/>
    <w:lvl w:ilvl="0" w:tplc="704ECB42">
      <w:numFmt w:val="bullet"/>
      <w:lvlText w:val="-"/>
      <w:lvlJc w:val="left"/>
      <w:pPr>
        <w:ind w:left="502"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03972B6"/>
    <w:multiLevelType w:val="hybridMultilevel"/>
    <w:tmpl w:val="45CE46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C6083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5D732D6"/>
    <w:multiLevelType w:val="multilevel"/>
    <w:tmpl w:val="F6D4D0CE"/>
    <w:lvl w:ilvl="0">
      <w:start w:val="3"/>
      <w:numFmt w:val="upperLetter"/>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ED53D68"/>
    <w:multiLevelType w:val="hybridMultilevel"/>
    <w:tmpl w:val="3340AB0A"/>
    <w:lvl w:ilvl="0" w:tplc="704ECB42">
      <w:numFmt w:val="bullet"/>
      <w:lvlText w:val="-"/>
      <w:lvlJc w:val="left"/>
      <w:pPr>
        <w:ind w:left="502" w:hanging="360"/>
      </w:pPr>
      <w:rPr>
        <w:rFonts w:ascii="Arial" w:eastAsiaTheme="minorHAnsi" w:hAnsi="Arial" w:cs="Aria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7" w15:restartNumberingAfterBreak="0">
    <w:nsid w:val="73F255A4"/>
    <w:multiLevelType w:val="multilevel"/>
    <w:tmpl w:val="8EFCCF14"/>
    <w:lvl w:ilvl="0">
      <w:start w:val="2"/>
      <w:numFmt w:val="decimal"/>
      <w:lvlText w:val="%1."/>
      <w:lvlJc w:val="left"/>
      <w:pPr>
        <w:tabs>
          <w:tab w:val="num" w:pos="0"/>
        </w:tabs>
        <w:ind w:left="0" w:hanging="360"/>
      </w:pPr>
    </w:lvl>
    <w:lvl w:ilvl="1">
      <w:start w:val="1"/>
      <w:numFmt w:val="decimal"/>
      <w:lvlText w:val="%2."/>
      <w:lvlJc w:val="left"/>
      <w:pPr>
        <w:tabs>
          <w:tab w:val="num" w:pos="360"/>
        </w:tabs>
        <w:ind w:left="360" w:hanging="360"/>
      </w:pPr>
    </w:lvl>
    <w:lvl w:ilvl="2">
      <w:start w:val="1"/>
      <w:numFmt w:val="decimal"/>
      <w:lvlText w:val="%3."/>
      <w:lvlJc w:val="left"/>
      <w:pPr>
        <w:tabs>
          <w:tab w:val="num" w:pos="502"/>
        </w:tabs>
        <w:ind w:left="502"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num w:numId="1" w16cid:durableId="712775772">
    <w:abstractNumId w:val="7"/>
  </w:num>
  <w:num w:numId="2" w16cid:durableId="639728098">
    <w:abstractNumId w:val="6"/>
  </w:num>
  <w:num w:numId="3" w16cid:durableId="948782691">
    <w:abstractNumId w:val="0"/>
  </w:num>
  <w:num w:numId="4" w16cid:durableId="204028458">
    <w:abstractNumId w:val="4"/>
  </w:num>
  <w:num w:numId="5" w16cid:durableId="225183648">
    <w:abstractNumId w:val="3"/>
  </w:num>
  <w:num w:numId="6" w16cid:durableId="1046835382">
    <w:abstractNumId w:val="1"/>
  </w:num>
  <w:num w:numId="7" w16cid:durableId="1198541826">
    <w:abstractNumId w:val="5"/>
  </w:num>
  <w:num w:numId="8" w16cid:durableId="6541473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F94C7A"/>
    <w:rsid w:val="000660A2"/>
    <w:rsid w:val="0006757E"/>
    <w:rsid w:val="000F17B9"/>
    <w:rsid w:val="00105C24"/>
    <w:rsid w:val="001078C3"/>
    <w:rsid w:val="0020522C"/>
    <w:rsid w:val="00253A5E"/>
    <w:rsid w:val="00290655"/>
    <w:rsid w:val="002B14E4"/>
    <w:rsid w:val="0031534E"/>
    <w:rsid w:val="004170BA"/>
    <w:rsid w:val="004549FB"/>
    <w:rsid w:val="00470F62"/>
    <w:rsid w:val="004C1763"/>
    <w:rsid w:val="00532BFF"/>
    <w:rsid w:val="005A194E"/>
    <w:rsid w:val="006274AD"/>
    <w:rsid w:val="006D4589"/>
    <w:rsid w:val="006E7B27"/>
    <w:rsid w:val="00767FE2"/>
    <w:rsid w:val="00783349"/>
    <w:rsid w:val="00793FFD"/>
    <w:rsid w:val="007C284C"/>
    <w:rsid w:val="007E2C78"/>
    <w:rsid w:val="00884C4D"/>
    <w:rsid w:val="009935E2"/>
    <w:rsid w:val="00994BE9"/>
    <w:rsid w:val="00996F52"/>
    <w:rsid w:val="00A12AE5"/>
    <w:rsid w:val="00A875AD"/>
    <w:rsid w:val="00B429E3"/>
    <w:rsid w:val="00C35C98"/>
    <w:rsid w:val="00C4721A"/>
    <w:rsid w:val="00C8981B"/>
    <w:rsid w:val="00CE3158"/>
    <w:rsid w:val="00CE3E50"/>
    <w:rsid w:val="00D01E94"/>
    <w:rsid w:val="00D84BBF"/>
    <w:rsid w:val="00DB54C3"/>
    <w:rsid w:val="00DC3889"/>
    <w:rsid w:val="00E06779"/>
    <w:rsid w:val="00E8720F"/>
    <w:rsid w:val="00ED61BC"/>
    <w:rsid w:val="00EE1CB0"/>
    <w:rsid w:val="00F52DC4"/>
    <w:rsid w:val="00F94C7A"/>
    <w:rsid w:val="0111411D"/>
    <w:rsid w:val="1036CA4D"/>
    <w:rsid w:val="13A626C0"/>
    <w:rsid w:val="18ED3F98"/>
    <w:rsid w:val="19A49200"/>
    <w:rsid w:val="1B9ED55D"/>
    <w:rsid w:val="1FFE72DC"/>
    <w:rsid w:val="251AAB8B"/>
    <w:rsid w:val="29878B9E"/>
    <w:rsid w:val="2DDB9410"/>
    <w:rsid w:val="2F65A123"/>
    <w:rsid w:val="2FE8845C"/>
    <w:rsid w:val="3C19D265"/>
    <w:rsid w:val="42C3D314"/>
    <w:rsid w:val="4732A348"/>
    <w:rsid w:val="5098699B"/>
    <w:rsid w:val="53C6B469"/>
    <w:rsid w:val="56433E40"/>
    <w:rsid w:val="6262427C"/>
    <w:rsid w:val="626290FF"/>
    <w:rsid w:val="6546CC47"/>
    <w:rsid w:val="6678C533"/>
    <w:rsid w:val="66C28E1A"/>
    <w:rsid w:val="6953CD7B"/>
    <w:rsid w:val="6B146170"/>
    <w:rsid w:val="6C0EADA0"/>
    <w:rsid w:val="73E7ED47"/>
    <w:rsid w:val="79B6BB60"/>
    <w:rsid w:val="7DEB99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06B74"/>
  <w15:chartTrackingRefBased/>
  <w15:docId w15:val="{638AA291-00E5-43D1-B99F-24EEE953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4C7A"/>
    <w:pPr>
      <w:spacing w:after="0" w:line="240" w:lineRule="auto"/>
    </w:pPr>
    <w:rPr>
      <w:rFonts w:ascii="Calibri" w:hAnsi="Calibri" w:cs="Calibri"/>
      <w:kern w:val="0"/>
    </w:rPr>
  </w:style>
  <w:style w:type="paragraph" w:styleId="Kop2">
    <w:name w:val="heading 2"/>
    <w:basedOn w:val="Standaard"/>
    <w:next w:val="Standaard"/>
    <w:link w:val="Kop2Char"/>
    <w:autoRedefine/>
    <w:uiPriority w:val="9"/>
    <w:unhideWhenUsed/>
    <w:qFormat/>
    <w:rsid w:val="00F94C7A"/>
    <w:pPr>
      <w:keepNext/>
      <w:keepLines/>
      <w:pBdr>
        <w:bottom w:val="single" w:sz="4" w:space="1" w:color="auto"/>
      </w:pBdr>
      <w:spacing w:before="40" w:after="120" w:line="360" w:lineRule="auto"/>
      <w:outlineLvl w:val="1"/>
    </w:pPr>
    <w:rPr>
      <w:rFonts w:ascii="Arial" w:eastAsiaTheme="majorEastAsia" w:hAnsi="Arial" w:cstheme="majorBidi"/>
      <w:b/>
      <w:color w:val="2F5496" w:themeColor="accent1" w:themeShade="BF"/>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F94C7A"/>
    <w:rPr>
      <w:rFonts w:ascii="Arial" w:eastAsiaTheme="majorEastAsia" w:hAnsi="Arial" w:cstheme="majorBidi"/>
      <w:b/>
      <w:color w:val="2F5496" w:themeColor="accent1" w:themeShade="BF"/>
      <w:kern w:val="0"/>
      <w:szCs w:val="26"/>
    </w:rPr>
  </w:style>
  <w:style w:type="character" w:styleId="Hyperlink">
    <w:name w:val="Hyperlink"/>
    <w:basedOn w:val="Standaardalinea-lettertype"/>
    <w:uiPriority w:val="99"/>
    <w:unhideWhenUsed/>
    <w:rsid w:val="00F94C7A"/>
    <w:rPr>
      <w:color w:val="0563C1" w:themeColor="hyperlink"/>
      <w:u w:val="single"/>
    </w:rPr>
  </w:style>
  <w:style w:type="character" w:styleId="Verwijzingopmerking">
    <w:name w:val="annotation reference"/>
    <w:basedOn w:val="Standaardalinea-lettertype"/>
    <w:uiPriority w:val="99"/>
    <w:unhideWhenUsed/>
    <w:rsid w:val="00F94C7A"/>
    <w:rPr>
      <w:sz w:val="16"/>
      <w:szCs w:val="16"/>
    </w:rPr>
  </w:style>
  <w:style w:type="paragraph" w:styleId="Tekstopmerking">
    <w:name w:val="annotation text"/>
    <w:basedOn w:val="Standaard"/>
    <w:link w:val="TekstopmerkingChar"/>
    <w:uiPriority w:val="99"/>
    <w:unhideWhenUsed/>
    <w:rsid w:val="00F94C7A"/>
    <w:rPr>
      <w:sz w:val="20"/>
      <w:szCs w:val="20"/>
    </w:rPr>
  </w:style>
  <w:style w:type="character" w:customStyle="1" w:styleId="TekstopmerkingChar">
    <w:name w:val="Tekst opmerking Char"/>
    <w:basedOn w:val="Standaardalinea-lettertype"/>
    <w:link w:val="Tekstopmerking"/>
    <w:uiPriority w:val="99"/>
    <w:rsid w:val="00F94C7A"/>
    <w:rPr>
      <w:rFonts w:ascii="Calibri" w:hAnsi="Calibri" w:cs="Calibri"/>
      <w:kern w:val="0"/>
      <w:sz w:val="20"/>
      <w:szCs w:val="20"/>
    </w:rPr>
  </w:style>
  <w:style w:type="paragraph" w:styleId="Lijstalinea">
    <w:name w:val="List Paragraph"/>
    <w:basedOn w:val="Standaard"/>
    <w:uiPriority w:val="34"/>
    <w:qFormat/>
    <w:rsid w:val="00F94C7A"/>
    <w:pPr>
      <w:ind w:left="720"/>
      <w:contextualSpacing/>
    </w:pPr>
  </w:style>
  <w:style w:type="table" w:styleId="Tabelraster">
    <w:name w:val="Table Grid"/>
    <w:basedOn w:val="Standaardtabel"/>
    <w:uiPriority w:val="39"/>
    <w:rsid w:val="00F94C7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qFormat/>
    <w:rsid w:val="00F94C7A"/>
    <w:pPr>
      <w:numPr>
        <w:ilvl w:val="1"/>
      </w:numPr>
      <w:spacing w:after="160"/>
    </w:pPr>
    <w:rPr>
      <w:rFonts w:ascii="Arial" w:eastAsiaTheme="minorEastAsia" w:hAnsi="Arial" w:cstheme="minorBidi"/>
      <w:color w:val="5A5A5A" w:themeColor="text1" w:themeTint="A5"/>
      <w:spacing w:val="15"/>
      <w:sz w:val="20"/>
    </w:rPr>
  </w:style>
  <w:style w:type="character" w:customStyle="1" w:styleId="OndertitelChar">
    <w:name w:val="Ondertitel Char"/>
    <w:basedOn w:val="Standaardalinea-lettertype"/>
    <w:link w:val="Ondertitel"/>
    <w:uiPriority w:val="11"/>
    <w:rsid w:val="00F94C7A"/>
    <w:rPr>
      <w:rFonts w:ascii="Arial" w:eastAsiaTheme="minorEastAsia" w:hAnsi="Arial"/>
      <w:color w:val="5A5A5A" w:themeColor="text1" w:themeTint="A5"/>
      <w:spacing w:val="15"/>
      <w:kern w:val="0"/>
      <w:sz w:val="20"/>
    </w:rPr>
  </w:style>
  <w:style w:type="paragraph" w:styleId="Titel">
    <w:name w:val="Title"/>
    <w:basedOn w:val="Standaard"/>
    <w:next w:val="Standaard"/>
    <w:link w:val="TitelChar"/>
    <w:uiPriority w:val="1"/>
    <w:qFormat/>
    <w:rsid w:val="00F94C7A"/>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
    <w:rsid w:val="00F94C7A"/>
    <w:rPr>
      <w:rFonts w:asciiTheme="majorHAnsi" w:eastAsiaTheme="majorEastAsia" w:hAnsiTheme="majorHAnsi" w:cstheme="majorBidi"/>
      <w:spacing w:val="-10"/>
      <w:kern w:val="28"/>
      <w:sz w:val="56"/>
      <w:szCs w:val="56"/>
    </w:rPr>
  </w:style>
  <w:style w:type="paragraph" w:customStyle="1" w:styleId="Introtekst">
    <w:name w:val="Introtekst"/>
    <w:qFormat/>
    <w:rsid w:val="00F94C7A"/>
    <w:pPr>
      <w:spacing w:after="240" w:line="400" w:lineRule="exact"/>
    </w:pPr>
    <w:rPr>
      <w:rFonts w:ascii="Open Sans SemiBold" w:eastAsiaTheme="minorEastAsia" w:hAnsi="Open Sans SemiBold"/>
      <w:kern w:val="0"/>
      <w:sz w:val="24"/>
      <w:lang w:eastAsia="ja-JP"/>
    </w:rPr>
  </w:style>
  <w:style w:type="paragraph" w:customStyle="1" w:styleId="Tekst">
    <w:name w:val="Tekst"/>
    <w:link w:val="TekstChar"/>
    <w:qFormat/>
    <w:rsid w:val="00F94C7A"/>
    <w:pPr>
      <w:spacing w:after="0" w:line="288" w:lineRule="auto"/>
    </w:pPr>
    <w:rPr>
      <w:rFonts w:ascii="Open Sans" w:eastAsiaTheme="minorEastAsia" w:hAnsi="Open Sans"/>
      <w:kern w:val="0"/>
      <w:lang w:eastAsia="ja-JP"/>
    </w:rPr>
  </w:style>
  <w:style w:type="character" w:customStyle="1" w:styleId="TekstChar">
    <w:name w:val="Tekst Char"/>
    <w:basedOn w:val="Standaardalinea-lettertype"/>
    <w:link w:val="Tekst"/>
    <w:rsid w:val="00F94C7A"/>
    <w:rPr>
      <w:rFonts w:ascii="Open Sans" w:eastAsiaTheme="minorEastAsia" w:hAnsi="Open Sans"/>
      <w:kern w:val="0"/>
      <w:lang w:eastAsia="ja-JP"/>
    </w:rPr>
  </w:style>
  <w:style w:type="paragraph" w:customStyle="1" w:styleId="paragraph">
    <w:name w:val="paragraph"/>
    <w:basedOn w:val="Standaard"/>
    <w:rsid w:val="00F94C7A"/>
    <w:pPr>
      <w:spacing w:before="100" w:beforeAutospacing="1" w:after="100" w:afterAutospacing="1"/>
    </w:pPr>
    <w:rPr>
      <w:rFonts w:ascii="Times New Roman" w:eastAsia="Times New Roman" w:hAnsi="Times New Roman" w:cs="Times New Roman"/>
      <w:sz w:val="24"/>
      <w:szCs w:val="24"/>
      <w:lang w:eastAsia="nl-NL"/>
    </w:rPr>
  </w:style>
  <w:style w:type="paragraph" w:styleId="Geenafstand">
    <w:name w:val="No Spacing"/>
    <w:uiPriority w:val="1"/>
    <w:qFormat/>
    <w:rsid w:val="00F94C7A"/>
    <w:pPr>
      <w:spacing w:after="0" w:line="240" w:lineRule="auto"/>
    </w:pPr>
    <w:rPr>
      <w:kern w:val="0"/>
    </w:rPr>
  </w:style>
  <w:style w:type="paragraph" w:styleId="Voetnoottekst">
    <w:name w:val="footnote text"/>
    <w:basedOn w:val="Standaard"/>
    <w:link w:val="VoetnoottekstChar"/>
    <w:uiPriority w:val="99"/>
    <w:semiHidden/>
    <w:unhideWhenUsed/>
    <w:rsid w:val="00F94C7A"/>
    <w:rPr>
      <w:rFonts w:asciiTheme="minorHAnsi" w:hAnsiTheme="minorHAnsi" w:cstheme="minorBidi"/>
      <w:sz w:val="20"/>
      <w:szCs w:val="20"/>
    </w:rPr>
  </w:style>
  <w:style w:type="character" w:customStyle="1" w:styleId="VoetnoottekstChar">
    <w:name w:val="Voetnoottekst Char"/>
    <w:basedOn w:val="Standaardalinea-lettertype"/>
    <w:link w:val="Voetnoottekst"/>
    <w:uiPriority w:val="99"/>
    <w:semiHidden/>
    <w:rsid w:val="00F94C7A"/>
    <w:rPr>
      <w:kern w:val="0"/>
      <w:sz w:val="20"/>
      <w:szCs w:val="20"/>
    </w:rPr>
  </w:style>
  <w:style w:type="character" w:styleId="Voetnootmarkering">
    <w:name w:val="footnote reference"/>
    <w:basedOn w:val="Standaardalinea-lettertype"/>
    <w:uiPriority w:val="99"/>
    <w:semiHidden/>
    <w:unhideWhenUsed/>
    <w:rsid w:val="00F94C7A"/>
    <w:rPr>
      <w:vertAlign w:val="superscript"/>
    </w:rPr>
  </w:style>
  <w:style w:type="paragraph" w:styleId="Koptekst">
    <w:name w:val="header"/>
    <w:basedOn w:val="Standaard"/>
    <w:link w:val="KoptekstChar"/>
    <w:uiPriority w:val="99"/>
    <w:semiHidden/>
    <w:unhideWhenUsed/>
    <w:rsid w:val="00A875AD"/>
    <w:pPr>
      <w:tabs>
        <w:tab w:val="center" w:pos="4536"/>
        <w:tab w:val="right" w:pos="9072"/>
      </w:tabs>
    </w:pPr>
  </w:style>
  <w:style w:type="character" w:customStyle="1" w:styleId="KoptekstChar">
    <w:name w:val="Koptekst Char"/>
    <w:basedOn w:val="Standaardalinea-lettertype"/>
    <w:link w:val="Koptekst"/>
    <w:uiPriority w:val="99"/>
    <w:semiHidden/>
    <w:rsid w:val="00A875AD"/>
    <w:rPr>
      <w:rFonts w:ascii="Calibri" w:hAnsi="Calibri" w:cs="Calibri"/>
      <w:kern w:val="0"/>
    </w:rPr>
  </w:style>
  <w:style w:type="paragraph" w:styleId="Voettekst">
    <w:name w:val="footer"/>
    <w:basedOn w:val="Standaard"/>
    <w:link w:val="VoettekstChar"/>
    <w:uiPriority w:val="99"/>
    <w:semiHidden/>
    <w:unhideWhenUsed/>
    <w:rsid w:val="00A875AD"/>
    <w:pPr>
      <w:tabs>
        <w:tab w:val="center" w:pos="4536"/>
        <w:tab w:val="right" w:pos="9072"/>
      </w:tabs>
    </w:pPr>
  </w:style>
  <w:style w:type="character" w:customStyle="1" w:styleId="VoettekstChar">
    <w:name w:val="Voettekst Char"/>
    <w:basedOn w:val="Standaardalinea-lettertype"/>
    <w:link w:val="Voettekst"/>
    <w:uiPriority w:val="99"/>
    <w:semiHidden/>
    <w:rsid w:val="00A875AD"/>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ianoo.nl/sites/default/files/media/documents/2023-08/diversiteit-en-inclusie-in-aanbestedingen-juli2023.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emeente.leiden.nl/projecten/zero-emissiezon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6BB9CA2EFED4B938A530282EB1AF0" ma:contentTypeVersion="3" ma:contentTypeDescription="Een nieuw document maken." ma:contentTypeScope="" ma:versionID="93277e67b07a4a95d9021d3211a22c09">
  <xsd:schema xmlns:xsd="http://www.w3.org/2001/XMLSchema" xmlns:xs="http://www.w3.org/2001/XMLSchema" xmlns:p="http://schemas.microsoft.com/office/2006/metadata/properties" xmlns:ns2="fc054303-1e50-41a0-b4de-e572c6e1f4ef" targetNamespace="http://schemas.microsoft.com/office/2006/metadata/properties" ma:root="true" ma:fieldsID="8582379bb58902ac49d092271dda33a2" ns2:_="">
    <xsd:import namespace="fc054303-1e50-41a0-b4de-e572c6e1f4e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054303-1e50-41a0-b4de-e572c6e1f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79EC83-442C-447B-9E43-DCD4AB4BEDBE}"/>
</file>

<file path=customXml/itemProps2.xml><?xml version="1.0" encoding="utf-8"?>
<ds:datastoreItem xmlns:ds="http://schemas.openxmlformats.org/officeDocument/2006/customXml" ds:itemID="{7FDFC1C2-4995-4C64-B13C-84E51F68EDAD}">
  <ds:schemaRefs>
    <ds:schemaRef ds:uri="http://schemas.microsoft.com/office/2006/metadata/properties"/>
    <ds:schemaRef ds:uri="http://schemas.microsoft.com/office/infopath/2007/PartnerControls"/>
    <ds:schemaRef ds:uri="655d6469-9d33-4f4c-ad09-8270a384f05d"/>
  </ds:schemaRefs>
</ds:datastoreItem>
</file>

<file path=customXml/itemProps3.xml><?xml version="1.0" encoding="utf-8"?>
<ds:datastoreItem xmlns:ds="http://schemas.openxmlformats.org/officeDocument/2006/customXml" ds:itemID="{13313023-B90A-43AD-A5FA-CC71177E5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1764</Words>
  <Characters>9702</Characters>
  <Application>Microsoft Office Word</Application>
  <DocSecurity>0</DocSecurity>
  <Lines>80</Lines>
  <Paragraphs>22</Paragraphs>
  <ScaleCrop>false</ScaleCrop>
  <Company>Servicepunt 71</Company>
  <LinksUpToDate>false</LinksUpToDate>
  <CharactersWithSpaces>11444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Klomp, Naomi</dc:creator>
  <cp:keywords/>
  <dc:description/>
  <cp:lastModifiedBy>Kok, Eva de</cp:lastModifiedBy>
  <cp:revision>25</cp:revision>
  <dcterms:created xsi:type="dcterms:W3CDTF">2023-11-07T15:09:00Z</dcterms:created>
  <dcterms:modified xsi:type="dcterms:W3CDTF">2026-04-07T09:25:00Z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0x010100EE86BB9CA2EFED4B938A530282EB1AF0</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