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02069" w14:textId="77777777" w:rsidR="003636D4" w:rsidRPr="00A14FAB" w:rsidRDefault="007F3799">
      <w:pPr>
        <w:pStyle w:val="Titel1"/>
        <w:rPr>
          <w:lang w:val="nl-NL"/>
        </w:rPr>
      </w:pPr>
      <w:r w:rsidRPr="00A14FAB">
        <w:rPr>
          <w:lang w:val="nl-NL"/>
        </w:rPr>
        <w:t>Bijlage 2 Concept raamovereenkomst integrale ICT TWijs</w:t>
      </w:r>
    </w:p>
    <w:p w14:paraId="54F807C0" w14:textId="77777777" w:rsidR="003636D4" w:rsidRDefault="007F3799">
      <w:r>
        <w:t>Partijen</w:t>
      </w:r>
    </w:p>
    <w:p w14:paraId="4A4E4603" w14:textId="4B17D6A4" w:rsidR="003636D4" w:rsidRDefault="007F3799">
      <w:r>
        <w:t xml:space="preserve">Stichting TWijs, statutair gevestigd te </w:t>
      </w:r>
      <w:r w:rsidR="00C27F0C">
        <w:t>Haarlem</w:t>
      </w:r>
      <w:r>
        <w:t>, kantoorhoudende aan</w:t>
      </w:r>
      <w:r w:rsidR="006D4411">
        <w:t xml:space="preserve"> de Garenkokerskade 19, 2013 AJ</w:t>
      </w:r>
      <w:r>
        <w:t xml:space="preserve">, KvK-nummer </w:t>
      </w:r>
      <w:r w:rsidR="00114055">
        <w:t>40594957</w:t>
      </w:r>
      <w:r>
        <w:t>, rechtsgeldig vertegenwoordigd door</w:t>
      </w:r>
      <w:r w:rsidR="00114055">
        <w:t xml:space="preserve"> de heer J. Rijlaarsdam in de functie van </w:t>
      </w:r>
      <w:r w:rsidR="007D26F9">
        <w:t>bestuurder</w:t>
      </w:r>
      <w:r>
        <w:t>, hierna: Opdrachtgever;</w:t>
      </w:r>
    </w:p>
    <w:p w14:paraId="3F700FD8" w14:textId="77777777" w:rsidR="007D26F9" w:rsidRDefault="007F3799">
      <w:r>
        <w:t>en [STATUTAIRE NAAM OPDRACHTNEMER], statutair gevestigd te [INVULLEN], kantoorhoudende aan [INVULLEN], KvK-nummer [INVULLEN], rechtsgeldig vertegenwoordigd door [NAAM EN FUNCTIE], hierna: Opdrachtnemer;</w:t>
      </w:r>
    </w:p>
    <w:p w14:paraId="37E0C532" w14:textId="491CA8C3" w:rsidR="003636D4" w:rsidRDefault="007F3799">
      <w:r>
        <w:t>gezamenlijk: Partijen.</w:t>
      </w:r>
    </w:p>
    <w:p w14:paraId="44F9DC6A" w14:textId="7119C206" w:rsidR="003636D4" w:rsidRDefault="007F3799">
      <w:r>
        <w:t>Bij een combinatie worden alle combinanten en hun vertegenwoordigers vermeld. Zij zijn hoofdelijk verbonden voor deze Raamovereenkomst en wijzen één gemachtigde penvoerder aan.</w:t>
      </w:r>
    </w:p>
    <w:p w14:paraId="4089B2C3" w14:textId="77777777" w:rsidR="003636D4" w:rsidRDefault="007F3799">
      <w:r>
        <w:t>Na een openbare Europese aanbesteding voor integrale ICT-dienstverlening heeft Opdrachtgever de Inschrijving van Opdrachtnemer op basis van de beste prijs-kwaliteitverhouding geselecteerd. Partijen leggen hieronder de specifieke afspraken voor de scholen en het bestuurskantoor vast. De ARBIT-2022 regelen de algemene contractvoorwaarden.</w:t>
      </w:r>
    </w:p>
    <w:p w14:paraId="7D9BBE06" w14:textId="77777777" w:rsidR="003636D4" w:rsidRDefault="007F3799">
      <w:pPr>
        <w:pStyle w:val="Kop1"/>
      </w:pPr>
      <w:r>
        <w:t>1 Onderwerp en opdrachtverlening</w:t>
      </w:r>
    </w:p>
    <w:p w14:paraId="5AD5EE8E" w14:textId="431AAC8D" w:rsidR="003636D4" w:rsidRDefault="007F3799">
      <w:r>
        <w:t>1.1  De Opdracht omvat uitsluitend de prestaties uit het Programma van Eisen, waaronder implementatie en migratie, werkplekbeheer, identity- en accessmanagement, de digitale leer- en werkomgeving, opgedragen Microsoft 365-beheer,</w:t>
      </w:r>
      <w:r w:rsidR="00BE034A">
        <w:t xml:space="preserve"> levering </w:t>
      </w:r>
      <w:r w:rsidR="00671D44">
        <w:t xml:space="preserve">en beheer </w:t>
      </w:r>
      <w:r w:rsidR="00BE034A">
        <w:t>van netwer</w:t>
      </w:r>
      <w:r w:rsidR="00AE3EF6">
        <w:t>kinfrastructuur,</w:t>
      </w:r>
      <w:r>
        <w:t xml:space="preserve"> netwerkbeveiliging, monitoring, gebruikersondersteuning en rapportage. Uitgangspunt zijn 34 schoollocaties en één bestuurskantoor; het contractuele locatieoverzicht bepaalt de omvang.</w:t>
      </w:r>
    </w:p>
    <w:p w14:paraId="72BF48F2" w14:textId="3A7A10A3" w:rsidR="001C6558" w:rsidRDefault="007F3799">
      <w:r>
        <w:t>1.2  Aanbestedingsstukken zijn de Aanbestedingsleidraad van 16 oktober 2026, projectnummer VLC/2603396, TenderNed-kenmerk TN614679, het Programma van Eisen, de bijlagen en Nota’s van Inlichtingen. Inschrijving is de definitieve, tijdig ingediende inschrijving, inclusief kwaliteitsantwoorden</w:t>
      </w:r>
      <w:r w:rsidR="00902345">
        <w:t>,</w:t>
      </w:r>
      <w:r w:rsidR="00A20BD0">
        <w:t xml:space="preserve"> </w:t>
      </w:r>
      <w:r w:rsidR="00902345">
        <w:t>concept-SLA</w:t>
      </w:r>
      <w:r w:rsidR="00A20BD0">
        <w:t>, concept DAP</w:t>
      </w:r>
      <w:r>
        <w:t xml:space="preserve"> en prijzenblad. De begrippen uit de ARBIT-2022 zijn van toepassing.</w:t>
      </w:r>
      <w:r w:rsidR="00843112">
        <w:t xml:space="preserve"> Waar de Arbit</w:t>
      </w:r>
      <w:r w:rsidR="009E1295">
        <w:t xml:space="preserve">-2022 spreekt van wederpartij </w:t>
      </w:r>
      <w:r w:rsidR="001C6558">
        <w:t xml:space="preserve">wordt opdrachtnemer bedoeld, en waar de Arbit-2022 verwijst naar de </w:t>
      </w:r>
      <w:r w:rsidR="00587D4B">
        <w:t>S</w:t>
      </w:r>
      <w:r w:rsidR="001C6558">
        <w:t>ta</w:t>
      </w:r>
      <w:r w:rsidR="00587D4B">
        <w:t>at of het Rijk wordt stichting TWijs bedoeld.</w:t>
      </w:r>
    </w:p>
    <w:p w14:paraId="09727F66" w14:textId="013882F6" w:rsidR="003636D4" w:rsidRDefault="007F3799">
      <w:r>
        <w:t>1.</w:t>
      </w:r>
      <w:r w:rsidR="001E3410">
        <w:t>3</w:t>
      </w:r>
      <w:r>
        <w:t xml:space="preserve">  Voor aanvullende opdrachten verstrekt Opdrachtnemer op verzoek kosteloos binnen vijf Werkdagen, of een vooraf overeengekomen passende termijn, een offerte met resultaat, planning en herleidbare prijsberekening. Werkzaamheden starten na schriftelijke opdracht van een bevoegde vertegenwoordiger; meldingen binnen reeds opgedragen dienstverlening vereisen geen nieuwe opdracht. Offertes wijzigen de contractvoorwaarden niet.</w:t>
      </w:r>
    </w:p>
    <w:p w14:paraId="4F3F3D00" w14:textId="77777777" w:rsidR="00E14BDE" w:rsidRDefault="00E14BDE"/>
    <w:p w14:paraId="43647C47" w14:textId="77777777" w:rsidR="00E14BDE" w:rsidRDefault="00E14BDE"/>
    <w:p w14:paraId="0B486D90" w14:textId="77777777" w:rsidR="00E14BDE" w:rsidRDefault="00E14BDE"/>
    <w:p w14:paraId="3645AE20" w14:textId="77777777" w:rsidR="00E14BDE" w:rsidRDefault="00E14BDE"/>
    <w:p w14:paraId="6BBBDDBB" w14:textId="77777777" w:rsidR="00E14BDE" w:rsidRDefault="00E14BDE"/>
    <w:p w14:paraId="3BF3FE8C" w14:textId="77777777" w:rsidR="00E14BDE" w:rsidRDefault="00E14BDE"/>
    <w:p w14:paraId="088E1E69" w14:textId="77777777" w:rsidR="003636D4" w:rsidRDefault="007F3799">
      <w:pPr>
        <w:pStyle w:val="Kop1"/>
      </w:pPr>
      <w:r>
        <w:lastRenderedPageBreak/>
        <w:t>2 Contractdocumenten en ARBIT</w:t>
      </w:r>
    </w:p>
    <w:p w14:paraId="4F315804" w14:textId="07A6B0CA" w:rsidR="003636D4" w:rsidRDefault="007F3799">
      <w:r>
        <w:t>2.1  De ARBIT-2022 zijn van toepassing op deze Raamovereenkomst</w:t>
      </w:r>
      <w:r w:rsidR="00B967C8">
        <w:t xml:space="preserve">, </w:t>
      </w:r>
      <w:r>
        <w:t xml:space="preserve">voorwaarden van Opdrachtnemer zijn uitgesloten. </w:t>
      </w:r>
    </w:p>
    <w:p w14:paraId="330A824C" w14:textId="043552C0" w:rsidR="003636D4" w:rsidRDefault="007F3799">
      <w:r>
        <w:t xml:space="preserve">2.2  Bij tegenstrijdigheid geldt de volgende rangorde: (1) Nota’s van Inlichtingen, waarbij de latere nota voor hetzelfde onderwerp voorgaat; (2) deze Raamovereenkomst; (3) het Programma van Eisen en bindende technische en privacybijlagen; (4) de Aanbestedingsleidraad; (5) ARBIT-2022; (6) de Inschrijving inclusief prijzenblad. Voor verwerking van persoonsgegevens gaat de Verwerkersovereenkomst voor. </w:t>
      </w:r>
    </w:p>
    <w:p w14:paraId="35356637" w14:textId="02F3138D" w:rsidR="003636D4" w:rsidRDefault="007F3799">
      <w:r>
        <w:t>2.3  Een concreet hoger prestatieniveau uit de Inschrijving is bindend wanneer dit verenigbaar is met hoger gerangschikte documenten. Demonstratietoelichtingen binden uitsluitend voor zover zij aantoonbaar op de schriftelijke Inschrijving zijn gebaseerd. Dienstverleningseisen volgen rechtstreeks uit het Programma van Eisen</w:t>
      </w:r>
      <w:r w:rsidR="00A94589">
        <w:t xml:space="preserve"> en</w:t>
      </w:r>
      <w:r>
        <w:t xml:space="preserve"> de Inschrijving en deze Raamovereenkomst.</w:t>
      </w:r>
    </w:p>
    <w:p w14:paraId="5C9F2631" w14:textId="77777777" w:rsidR="003636D4" w:rsidRDefault="007F3799">
      <w:r>
        <w:t>2.4  Voor onder meer garanties, intellectuele eigendom, geheimhouding, aansprakelijkheid, overmacht en verzekering gelden de ARBIT-2022, zonder herhaling daarvan in deze Raamovereenkomst. De specifieke aanvullingen en uitdrukkelijke afwijkingen hieronder blijven gelden. Uitvoeringsplannen mogen eisen, prijsgrondslagen of risicoverdeling niet wijzigen.</w:t>
      </w:r>
    </w:p>
    <w:p w14:paraId="60891A50" w14:textId="77777777" w:rsidR="003636D4" w:rsidRDefault="007F3799">
      <w:pPr>
        <w:pStyle w:val="Kop1"/>
      </w:pPr>
      <w:r>
        <w:t>3 Looptijd</w:t>
      </w:r>
    </w:p>
    <w:p w14:paraId="06C35A37" w14:textId="6AA301FD" w:rsidR="003636D4" w:rsidRDefault="007F3799">
      <w:r>
        <w:t xml:space="preserve">3.1  De Raamovereenkomst gaat in op de datum van de laatste rechtsgeldige ondertekening, beoogd op </w:t>
      </w:r>
      <w:r w:rsidR="00746C72">
        <w:t>1 maart 2027</w:t>
      </w:r>
      <w:r>
        <w:t>, en heeft een initiële looptijd van vier (4) jaar. Opdrachtgever heeft tweemaal de eenzijdige optie tot verlenging met twee (2) jaar. De maximale looptijd is daarmee acht (8) jaar. Een verlenging wordt uiterlijk drie (3) maanden vóór het einde van de lopende termijn schriftelijk meegedeeld. Zonder die mededeling eindigt de Raamovereenkomst van rechtswege. Er vindt geen stilzwijgende verlenging plaats.</w:t>
      </w:r>
    </w:p>
    <w:p w14:paraId="4973F22D" w14:textId="1450C19B" w:rsidR="0006013F" w:rsidRPr="0006013F" w:rsidRDefault="0006013F" w:rsidP="0006013F">
      <w:r>
        <w:t xml:space="preserve">3.2 </w:t>
      </w:r>
      <w:r w:rsidRPr="0006013F">
        <w:t>De voorbereidende werkzaamheden starten op 11 januari 2027 en omvatten de inventarisatie, het functioneel ontwerp, de overeengekomen centrale inrichting en de Proof of concept. Deze werkzaamheden maken onderdeel uit van de overeengekomen Opdracht. De brede implementatie op de schoollocaties start op 1 maart 2027, met uiterste oplevering op 28 mei 2027.</w:t>
      </w:r>
    </w:p>
    <w:p w14:paraId="001E717B" w14:textId="77777777" w:rsidR="0006013F" w:rsidRDefault="0006013F" w:rsidP="0006013F">
      <w:r w:rsidRPr="0006013F">
        <w:t>De voorwaarden van deze Overeenkomst zijn vanaf de start van de voorbereidende werkzaamheden van toepassing. Indien deze Overeenkomst op dat moment nog niet is ondertekend, leggen Partijen vóór aanvang de werkzaamheden, vergoeding, betalingsmomenten en toepasselijkheid van de contractvoorwaarden vast in een door beide Partijen ondertekende startovereenkomst. Werkzaamheden starten uitsluitend nadat definitieve gunning heeft plaatsgevonden en het sluiten van de overeenkomst aanbestedingsrechtelijk is toegestaan.</w:t>
      </w:r>
    </w:p>
    <w:p w14:paraId="76244B1C" w14:textId="01699AD0" w:rsidR="008F67FF" w:rsidRDefault="007F3799">
      <w:r>
        <w:t>3.</w:t>
      </w:r>
      <w:r w:rsidR="0006013F">
        <w:t>3</w:t>
      </w:r>
      <w:r>
        <w:t xml:space="preserve">  Verlenging geschiedt onder dezelfde voorwaarden, behoudens toegestane indexering</w:t>
      </w:r>
      <w:r w:rsidR="0080490F">
        <w:t>.</w:t>
      </w:r>
      <w:r>
        <w:t xml:space="preserve"> </w:t>
      </w:r>
    </w:p>
    <w:p w14:paraId="338370E1" w14:textId="77777777" w:rsidR="00E14BDE" w:rsidRDefault="00E14BDE"/>
    <w:p w14:paraId="7159B238" w14:textId="77777777" w:rsidR="00E14BDE" w:rsidRDefault="00E14BDE"/>
    <w:p w14:paraId="21B8E383" w14:textId="77777777" w:rsidR="00E14BDE" w:rsidRDefault="00E14BDE"/>
    <w:p w14:paraId="1B5E00A2" w14:textId="77777777" w:rsidR="00E14BDE" w:rsidRDefault="00E14BDE"/>
    <w:p w14:paraId="57AE9778" w14:textId="77777777" w:rsidR="00E14BDE" w:rsidRDefault="00E14BDE"/>
    <w:p w14:paraId="73B461E2" w14:textId="77777777" w:rsidR="00E14BDE" w:rsidRDefault="00E14BDE"/>
    <w:p w14:paraId="3ADDE1FD" w14:textId="77777777" w:rsidR="003636D4" w:rsidRDefault="007F3799">
      <w:pPr>
        <w:pStyle w:val="Kop1"/>
      </w:pPr>
      <w:r>
        <w:lastRenderedPageBreak/>
        <w:t>4 Prijzen en facturatie</w:t>
      </w:r>
    </w:p>
    <w:p w14:paraId="6D337EF3" w14:textId="789F3849" w:rsidR="003636D4" w:rsidRDefault="007F3799">
      <w:r>
        <w:t xml:space="preserve">4.1  De prijzen en prijseenheden volgen het contractuele prijzenblad. Bedragen zijn in euro </w:t>
      </w:r>
      <w:r w:rsidR="00FB1F2E">
        <w:t xml:space="preserve">en </w:t>
      </w:r>
      <w:r w:rsidR="00F0074E">
        <w:t>exc</w:t>
      </w:r>
      <w:r>
        <w:t>lusief btw. Tarieven omvatten alle kosten voor de betreffende Prestatie, inclusief reguliere coördinatie, reis- en verblijfskosten, documentatie en overeengekomen nazorg. Implementatie, structureel beheer, licenties en opties zijn afzonderlijk herkenbaar.</w:t>
      </w:r>
    </w:p>
    <w:p w14:paraId="5F456857" w14:textId="36FFF46D" w:rsidR="00D455B0" w:rsidRPr="00D455B0" w:rsidRDefault="00D455B0" w:rsidP="00D455B0">
      <w:pPr>
        <w:autoSpaceDE/>
        <w:autoSpaceDN/>
        <w:spacing w:before="100" w:beforeAutospacing="1" w:after="100" w:afterAutospacing="1" w:line="240" w:lineRule="auto"/>
        <w:rPr>
          <w:rFonts w:eastAsia="Times New Roman" w:cs="Calibri Light"/>
          <w:color w:val="auto"/>
          <w:lang w:eastAsia="nl-NL"/>
        </w:rPr>
      </w:pPr>
      <w:r w:rsidRPr="00D455B0">
        <w:rPr>
          <w:rFonts w:eastAsia="Times New Roman" w:cs="Calibri Light"/>
          <w:color w:val="auto"/>
          <w:lang w:eastAsia="nl-NL"/>
        </w:rPr>
        <w:t>4.2 De overeengekomen voorbereidende werkzaamheden mogen vóór 1 maart 2027 afzonderlijk worden gefactureerd, na voltooiing en schriftelijke acceptatie van de betreffende voorbereidingsmijlpaal door Opdrachtgever. De vergoeding en de verdeling daarvan over de mijlpalen worden vooraf vastgelegd op basis van het prijzenblad en de Inschrijving. Betaling vindt plaats binnen de overeengekomen betalingstermijn na ontvangst van een juiste factuur.</w:t>
      </w:r>
    </w:p>
    <w:p w14:paraId="12D4E6FC" w14:textId="047A8D84" w:rsidR="00D455B0" w:rsidRPr="00454513" w:rsidRDefault="00D455B0" w:rsidP="00454513">
      <w:pPr>
        <w:autoSpaceDE/>
        <w:autoSpaceDN/>
        <w:spacing w:before="100" w:beforeAutospacing="1" w:after="100" w:afterAutospacing="1" w:line="240" w:lineRule="auto"/>
        <w:rPr>
          <w:rFonts w:eastAsia="Times New Roman" w:cs="Calibri Light"/>
          <w:color w:val="auto"/>
          <w:lang w:eastAsia="nl-NL"/>
        </w:rPr>
      </w:pPr>
      <w:r w:rsidRPr="00D455B0">
        <w:rPr>
          <w:rFonts w:eastAsia="Times New Roman" w:cs="Calibri Light"/>
          <w:color w:val="auto"/>
          <w:lang w:eastAsia="nl-NL"/>
        </w:rPr>
        <w:t>Deze betalingen maken onderdeel uit van de totale overeengekomen implementatievergoeding en worden daarop in mindering gebracht. Dezelfde werkzaamheden mogen niet opnieuw bij de oplevering van een schoollocatie in rekening worden gebracht. De resterende implementatiekosten worden per schoollocatie gefactureerd na oplevering en schriftelijke acceptatie. Reguliere dienstverlening en abonnementen worden uitsluitend vanaf de daarvoor overeengekomen aanvangsdatum gefactureerd.</w:t>
      </w:r>
    </w:p>
    <w:p w14:paraId="6B9A1A86" w14:textId="4A4FCB57" w:rsidR="003636D4" w:rsidRDefault="007F3799">
      <w:r>
        <w:t>4.</w:t>
      </w:r>
      <w:r w:rsidR="00D455B0">
        <w:t>3</w:t>
      </w:r>
      <w:r>
        <w:t xml:space="preserve"> De gemiddelde aantallen leerlingen, medewerkers en devices in het prijzenblad dienen uitsluitend voor vergelijking van de Inschrijvingen en zijn geen gegarandeerde afname of aantallen per locatie. Afrekening geschiedt op basis van de opgedragen prestaties en werkelijke aantallen volgens de vooraf vastgelegde prijseenheden, telregels en peildata. Afwijkende aantallen wijzigen de eenheidsprijzen niet. </w:t>
      </w:r>
    </w:p>
    <w:p w14:paraId="11F87667" w14:textId="5A7E4BCA" w:rsidR="003636D4" w:rsidRDefault="007F3799">
      <w:r>
        <w:t>4.</w:t>
      </w:r>
      <w:r w:rsidR="00D455B0">
        <w:t>4</w:t>
      </w:r>
      <w:r>
        <w:t xml:space="preserve"> Tarieven zijn vast tot 1 januari 2028. Daarna is jaarlijkse indexering per 1 januari toegestaan volgens de vóór Inschrijving bekendgemaakte regeling in het Programma van Eisen en prijzenblad: maximaal de mutatie van de CBS-index Dienstenprijzen, commerciële dienstverlening en transport, over de twaalf maanden voorafgaand aan oktober van het voorgaande jaar. Positieve en negatieve mutaties worden toegepast en controleerbaar onderbouwd. Dubbele indexering of automatische doorbelasting van leveranciersverhogingen is uitgesloten. Een vooraf vastgelegde afzonderlijke prijsregeling voor een component vervangt voor die component de algemene indexering.</w:t>
      </w:r>
    </w:p>
    <w:p w14:paraId="03E2FA4E" w14:textId="02856EA8" w:rsidR="003636D4" w:rsidRDefault="007F3799">
      <w:r>
        <w:t>4.</w:t>
      </w:r>
      <w:r w:rsidR="00D455B0">
        <w:t>5</w:t>
      </w:r>
      <w:r>
        <w:t xml:space="preserve">  Reguliere dienstverlening, abonnementen en licenties worden</w:t>
      </w:r>
      <w:r w:rsidR="0078489D">
        <w:t xml:space="preserve"> per kwartaal vooraf</w:t>
      </w:r>
      <w:r>
        <w:t xml:space="preserve"> gefactureerd. Iedere factuur vermeldt opdracht, periode, schoollocatie, prijseenheid, aantallen, tarief, indexering, meerwerk, btw en totaal, met controleerbare onderbouwing. Voor betaling geldt artikel 15 ARBIT-2022.</w:t>
      </w:r>
    </w:p>
    <w:p w14:paraId="35A92E3F" w14:textId="22AF543F" w:rsidR="003636D4" w:rsidRDefault="007F3799">
      <w:r>
        <w:t>4.</w:t>
      </w:r>
      <w:r w:rsidR="00D455B0">
        <w:t>6</w:t>
      </w:r>
      <w:r>
        <w:t xml:space="preserve">  Implementatiekosten staan los van reguliere dienstverlening, abonnementen en andere periodieke kosten. Facturatie en betaling daarvan vinden uitsluitend plaats per schoollocatie na volledige, aantoonbare oplevering en schriftelijke Acceptatie door Opdrachtgever. Vooruitfacturatie en facturatie van nog niet geaccepteerde deelleveringen zijn uitgesloten. De aan het bestuurskantoor toe te rekenen implementatiekosten worden over de 34 schoollocaties verdeeld</w:t>
      </w:r>
      <w:r w:rsidR="00A14FAB">
        <w:t>.</w:t>
      </w:r>
      <w:r>
        <w:t xml:space="preserve"> De brede implementatie start op 1 maart 2027 en is uiterlijk 28 mei 2027 volledig afgerond.</w:t>
      </w:r>
    </w:p>
    <w:p w14:paraId="365FEB4C" w14:textId="15FF5461" w:rsidR="003636D4" w:rsidRDefault="007F3799">
      <w:r>
        <w:t>4.</w:t>
      </w:r>
      <w:r w:rsidR="00D455B0">
        <w:t>7</w:t>
      </w:r>
      <w:r>
        <w:t xml:space="preserve">  Meerwerk is uitsluitend vergoedbaar na voorafgaande schriftelijke opdracht van een bevoegde vertegenwoordiger. Herstel van eigen tekortkomingen, reeds inbegrepen werkzaamheden en eigen onjuiste inschattingen zijn geen meerwerk.</w:t>
      </w:r>
    </w:p>
    <w:p w14:paraId="50E64CD0" w14:textId="77777777" w:rsidR="00E14BDE" w:rsidRDefault="00E14BDE"/>
    <w:p w14:paraId="42415887" w14:textId="77777777" w:rsidR="00E14BDE" w:rsidRDefault="00E14BDE"/>
    <w:p w14:paraId="4C905355" w14:textId="77777777" w:rsidR="00E14BDE" w:rsidRDefault="00E14BDE"/>
    <w:p w14:paraId="18D2963B" w14:textId="77777777" w:rsidR="003636D4" w:rsidRDefault="007F3799">
      <w:pPr>
        <w:pStyle w:val="Kop1"/>
      </w:pPr>
      <w:r>
        <w:lastRenderedPageBreak/>
        <w:t>5 Dienstverlening en samenwerking</w:t>
      </w:r>
    </w:p>
    <w:p w14:paraId="61DA242E" w14:textId="5C6F479D" w:rsidR="003636D4" w:rsidRDefault="007F3799">
      <w:r>
        <w:t>5.1  Opdrachtnemer biedt één centraal aanspreekpunt, een vaste accountmanager en vervanger en voldoende gekwalificeerd personeel. Hij coördineert de samenwerking met de in het Programma van Eisen</w:t>
      </w:r>
      <w:r w:rsidR="00A91195">
        <w:t xml:space="preserve"> </w:t>
      </w:r>
      <w:r>
        <w:t>aangewezen partners voor onder meer Microsoft 365 en JAMF. Bestaande partnerdiensten blijven buiten zijn scope waar zij aan die partners zijn toegewezen. Hij blijft verantwoordelijk voor zijn eigen uitvoering, integratie en coördinatie; een partner van Opdrachtgever is niet automatisch zijn onderaannemer.</w:t>
      </w:r>
    </w:p>
    <w:p w14:paraId="218F2105" w14:textId="2C3C7865" w:rsidR="003636D4" w:rsidRDefault="007F3799">
      <w:r>
        <w:t>5.</w:t>
      </w:r>
      <w:r w:rsidR="00121726">
        <w:t>2</w:t>
      </w:r>
      <w:r>
        <w:t xml:space="preserve">  Het servicevenster is maandag tot en met vrijdag van 07.30 tot 17.30 uur, behalve algemeen erkende feestdagen. Aanvullende beschikbaarheid volgt het Programma van Eisen en prijzenblad. Interne overdracht of overdracht aan een onderaannemer herstart de tijdmeting niet. Onderhoud met beschikbaarheidsgevolgen wordt vooraf afgestemd; noodzakelijk noodonderhoud wordt zo spoedig mogelijk gemeld.</w:t>
      </w:r>
    </w:p>
    <w:p w14:paraId="0AF279F6" w14:textId="38053204" w:rsidR="003636D4" w:rsidRDefault="007F3799">
      <w:r>
        <w:t>5.</w:t>
      </w:r>
      <w:r w:rsidR="00121726">
        <w:t>3</w:t>
      </w:r>
      <w:r>
        <w:t xml:space="preserve"> Opdrachtnemer rapporteert en evalueert ten minste ieder kwartaal over prestaties, incidenten, verbeteringen, beveiliging, capaciteit, wijzigingen, CMDB en kosten. Bij tekortkomingen verstrekt hij onverwijld een herstelplan met verantwoordelijken en termijnen. Voor inzet en vervanging van personeel, onderaanneming en contractoverdracht gelden de ARBIT-2022 en de gepubliceerde aanbestedingseisen. </w:t>
      </w:r>
    </w:p>
    <w:p w14:paraId="133D8E3D" w14:textId="77777777" w:rsidR="003636D4" w:rsidRDefault="007F3799">
      <w:pPr>
        <w:pStyle w:val="Kop1"/>
      </w:pPr>
      <w:r>
        <w:t>6 Implementatie en acceptatie</w:t>
      </w:r>
    </w:p>
    <w:p w14:paraId="3B8672A8" w14:textId="77777777" w:rsidR="003636D4" w:rsidRDefault="007F3799">
      <w:r>
        <w:t>6.1  Opdrachtnemer stemt implementatie en overdracht af met de huidige beheerder en partners en beperkt verstoring van het onderwijs. Het implementatieplan bevat per locatie fasering, inzet, risico’s, communicatie, opleiding, testcriteria, terugvalscenario, nazorg en overgang naar beheer. Het plan concretiseert de eisen en Inschrijving en zwakt deze niet af.</w:t>
      </w:r>
    </w:p>
    <w:p w14:paraId="74ABE9A0" w14:textId="77777777" w:rsidR="00A34C98" w:rsidRDefault="007F3799">
      <w:r>
        <w:t>6.2  De mijlpalen zijn: start inventarisatie 11 januari 2027</w:t>
      </w:r>
      <w:r w:rsidR="00A14FAB">
        <w:t>,</w:t>
      </w:r>
      <w:r>
        <w:t xml:space="preserve"> functioneel ontwerp gereed 5 februari 2027</w:t>
      </w:r>
      <w:r w:rsidR="00A14FAB">
        <w:t xml:space="preserve">, </w:t>
      </w:r>
      <w:r>
        <w:t>Proof of concept en evaluatie op één school 15 februari 2027</w:t>
      </w:r>
      <w:r w:rsidR="00A14FAB">
        <w:t xml:space="preserve">, </w:t>
      </w:r>
      <w:r>
        <w:t>brede implementatie 1 maart 2027</w:t>
      </w:r>
      <w:r w:rsidR="00A14FAB">
        <w:t xml:space="preserve">, </w:t>
      </w:r>
      <w:r>
        <w:t>volledige oplevering van alle locaties uiterlijk 28 mei 2027. De laatste datum is een Fatale termijn. Voortzetting na de Proof of concept vereist een schriftelijk besluit en geldt niet als Acceptatie van andere locaties.</w:t>
      </w:r>
    </w:p>
    <w:p w14:paraId="295CAF88" w14:textId="5E11B04C" w:rsidR="003636D4" w:rsidRDefault="00A34C98">
      <w:r>
        <w:t>6.</w:t>
      </w:r>
      <w:r w:rsidR="002D0845">
        <w:t xml:space="preserve">3 </w:t>
      </w:r>
      <w:r w:rsidR="007F3799">
        <w:t>In aanvulling op en bij strijdigheid in afwijking van artikel 11 ARBIT-2022 vereist Acceptatie van de implementatie een schriftelijk besluit van Opdrachtgever. Gebruik, betaling of tijdsverloop geldt niet als stilzwijgende Acceptatie. Het testplan bevat de overeengekomen criteria en een redelijke beoordelingstermijn; bij uitblijven van een besluit wordt geëscaleerd. Afwijzing wordt gemotiveerd. Gebreken worden zonder meerprijs hersteld en opnieuw getest. Niet-blokkerende restpunten vereisen een schriftelijk overeengekomen hersteltermijn.</w:t>
      </w:r>
    </w:p>
    <w:p w14:paraId="73849981" w14:textId="77777777" w:rsidR="001B74EA" w:rsidRDefault="001B74EA"/>
    <w:p w14:paraId="63C6B55E" w14:textId="3DDA4179" w:rsidR="003636D4" w:rsidRDefault="007F3799">
      <w:r>
        <w:t>6.</w:t>
      </w:r>
      <w:r w:rsidR="002D0845">
        <w:t>4</w:t>
      </w:r>
      <w:r>
        <w:t xml:space="preserve"> Bij oplevering verstrekt Opdrachtnemer testresultaten, documentatie, configuraties, toegangs</w:t>
      </w:r>
      <w:r w:rsidR="009E2F3D">
        <w:t xml:space="preserve">- </w:t>
      </w:r>
      <w:r>
        <w:t>en CMDB</w:t>
      </w:r>
      <w:r w:rsidR="00A14FAB">
        <w:t xml:space="preserve"> </w:t>
      </w:r>
      <w:r>
        <w:t>gegevens en bewijs van beveiligings- en hersteltesten. Acceptatie laat garanties en verplichtingen voor verborgen gebreken, beveiliging en onderhoud onverlet. Start beheer en beheerfacturatie worden per locatie vastgelegd</w:t>
      </w:r>
      <w:r w:rsidR="00A14FAB">
        <w:t>,</w:t>
      </w:r>
      <w:r>
        <w:t xml:space="preserve"> overlap met de huidige beheerder leidt niet tot ongeautoriseerde dubbele facturatie. Vertraging of ontbrekende medewerking wordt direct met oorzaak, gevolgen en herstelvoorstel gemeld</w:t>
      </w:r>
      <w:r w:rsidR="00A14FAB">
        <w:t>,</w:t>
      </w:r>
      <w:r>
        <w:t xml:space="preserve"> termijn- of prijswijziging vereist een rechtsgeldig schriftelijk akkoord.</w:t>
      </w:r>
    </w:p>
    <w:p w14:paraId="55814256" w14:textId="77777777" w:rsidR="00E14BDE" w:rsidRDefault="00E14BDE"/>
    <w:p w14:paraId="154F3F8D" w14:textId="77777777" w:rsidR="00E14BDE" w:rsidRDefault="00E14BDE"/>
    <w:p w14:paraId="5928C37E" w14:textId="77777777" w:rsidR="003636D4" w:rsidRDefault="007F3799">
      <w:pPr>
        <w:pStyle w:val="Kop1"/>
      </w:pPr>
      <w:r>
        <w:lastRenderedPageBreak/>
        <w:t>7 Beveiliging gegevens en beheerrechten</w:t>
      </w:r>
    </w:p>
    <w:p w14:paraId="45257783" w14:textId="6CA00FF8" w:rsidR="003636D4" w:rsidRDefault="007F3799">
      <w:r>
        <w:t>7.</w:t>
      </w:r>
      <w:r w:rsidR="00A32F95">
        <w:t>1</w:t>
      </w:r>
      <w:r>
        <w:t xml:space="preserve"> Vóór verwerking wordt de als contractbijlage bekendgemaakte Verwerkersovereenkomst gesloten. Deze regelt onder meer subverwerkers, doorgiften, audits en vernietiging. Eigen gebruik van gegevens voor marketing, profilering, productontwikkeling of training van AI-modellen is verboden. Een vermoedelijk datalek of beveiligingsincident wordt onverwijld gemeld, ook buiten het servicevenster, zonder een volledig onderzoek af te wachten. Vóór ingebruikname worden noodcontact, escalatie en noodprocedure vastgelegd; Opdrachtnemer beperkt schade en ondersteunt onderzoek en wettelijke meldingen.</w:t>
      </w:r>
    </w:p>
    <w:p w14:paraId="4966BAA0" w14:textId="0FEE10BE" w:rsidR="003636D4" w:rsidRDefault="007F3799">
      <w:r>
        <w:t>7.</w:t>
      </w:r>
      <w:r w:rsidR="00A32F95">
        <w:t>2</w:t>
      </w:r>
      <w:r>
        <w:t xml:space="preserve">  Opdrachtgever behoudt zeggenschap over zijn gegevens, accounts, tenants, domeinen, configuraties en autorisaties. Registratie geschiedt waar technisch mogelijk op zijn naam. Hij beschikt over beveiligde noodtoegang en kan een opvolgende beheerder toegang geven. Opdrachtnemer houdt documentatie en CMDB actueel en beschikbaar. Licentieduur, overdraagbaarheid en beperkingen worden vooraf inzichtelijk gemaakt. Niet-bekendgemaakte beperkingen op overeengekomen gebruik, export of overdracht zijn niet toegestaan. Dreigende uitfasering wordt tijdig met een continuïteitsvoorstel gemeld.</w:t>
      </w:r>
    </w:p>
    <w:p w14:paraId="05126465" w14:textId="77777777" w:rsidR="003636D4" w:rsidRDefault="007F3799">
      <w:pPr>
        <w:pStyle w:val="Kop1"/>
      </w:pPr>
      <w:r>
        <w:t>8 Wijzigingen en wettelijke beperkingen</w:t>
      </w:r>
    </w:p>
    <w:p w14:paraId="2DA2291F" w14:textId="201A7A00" w:rsidR="003636D4" w:rsidRDefault="007F3799">
      <w:r>
        <w:t>8.1  Wijzigingen vereisen voorafgaande schriftelijke vastlegging door bevoegde vertegenwoordigers, inclusief gevolgen voor scope, prijs, planning, beveiliging</w:t>
      </w:r>
      <w:r w:rsidR="00E30C8C">
        <w:t xml:space="preserve"> en</w:t>
      </w:r>
      <w:r>
        <w:t xml:space="preserve"> verantwoordelijkheden. Zij zijn alleen toegestaan binnen gepubliceerde herzieningsclausules of een toepasselijke wettelijke wijzigingsgrond. Operationele werkafspraken geven geen recht op meerprijs of verlenging. Spoedmaatregelen tegen directe schade worden direct gemeld en gedocumenteerd.</w:t>
      </w:r>
    </w:p>
    <w:p w14:paraId="4110471B" w14:textId="77777777" w:rsidR="003636D4" w:rsidRDefault="007F3799">
      <w:r>
        <w:t>8.2  Partijen voldoen aan toepasselijke sanctieregels. Opdrachtnemer meldt relevante wijzigingen bij hemzelf en betrokken onderaannemers en leveranciers onverwijld. Wettelijk verboden uitvoering wordt niet voortgezet; vervanging en verdere maatregelen moeten wettelijk en aanbestedingsrechtelijk toelaatbaar zijn.</w:t>
      </w:r>
    </w:p>
    <w:p w14:paraId="28849D2B" w14:textId="77777777" w:rsidR="003636D4" w:rsidRDefault="007F3799">
      <w:pPr>
        <w:pStyle w:val="Kop1"/>
      </w:pPr>
      <w:r>
        <w:t>9 Beëindiging en overdracht</w:t>
      </w:r>
    </w:p>
    <w:p w14:paraId="028E439B" w14:textId="12AA4AAB" w:rsidR="003636D4" w:rsidRDefault="007F3799">
      <w:r>
        <w:t xml:space="preserve">9.1  Voor ontbinding, opzegging en financiële afwikkeling geldt artikel 30 ARBIT-2022. </w:t>
      </w:r>
    </w:p>
    <w:p w14:paraId="26C441A4" w14:textId="67CC94E0" w:rsidR="003636D4" w:rsidRDefault="007F3799">
      <w:r>
        <w:t xml:space="preserve">9.2  In aanvulling op artikel 32 ARBIT-2022 stelt Opdrachtnemer uiterlijk drie maanden na de start van de </w:t>
      </w:r>
      <w:r w:rsidR="007C6707">
        <w:t xml:space="preserve">overeenkomst </w:t>
      </w:r>
      <w:r>
        <w:t>een exitplan op, dat jaarlijks en bij aangekondigde beëindiging wordt geactualiseerd. Het beschrijft planning, verantwoordelijkheden, capaciteit, kennisoverdracht, gegevensformaten, toegang</w:t>
      </w:r>
      <w:r w:rsidR="007218CF">
        <w:t xml:space="preserve"> en </w:t>
      </w:r>
      <w:r>
        <w:t>licenties. Bij onverwachte beëindiging verstrekt hij binnen tien Werkdagen een uitvoerbaar overdrachtsplan en start noodzakelijke overdrachtsmaatregelen direct.</w:t>
      </w:r>
    </w:p>
    <w:p w14:paraId="5216EA20" w14:textId="6ECFD418" w:rsidR="003636D4" w:rsidRDefault="007F3799">
      <w:r>
        <w:t>9.3  Opdrachtnemer draagt gegevens, configuraties, documentatie, CMDB, procedures, relevante scripts en account- en autorisatieoverzichten bruik</w:t>
      </w:r>
      <w:r w:rsidR="00016164">
        <w:t xml:space="preserve"> </w:t>
      </w:r>
      <w:r>
        <w:t>baar en beveiligd over aan Opdrachtgever of diens opvolgende dienstverlener. Hij verzorgt kennisoverdracht, vermeldt vooraf bekende licentiebeperkingen en werkt mee aan verificatie. Niet-overdraagbare eigen tooling ontslaat hem niet van bruikbare export. Voltooiing van overdracht wordt schriftelijk vastgelegd, met eventuele restpunten en hersteltermijnen.</w:t>
      </w:r>
    </w:p>
    <w:p w14:paraId="5420AB49" w14:textId="77777777" w:rsidR="003636D4" w:rsidRDefault="007F3799">
      <w:r>
        <w:t>9.4  Voor transitiekosten geldt artikel 32.2 ARBIT-2022. Reguliere documentatie en actualisering zijn in de tarieven inbegrepen. Aanvullende betaalde exitwerkzaamheden vereisen vooraf een specificatie, contractuele tarieven en schriftelijk budget; deze afspraak beperkt de reeds bestaande exitverplichtingen niet. Kosten worden niet dubbel vergoed. Voortzetting van reguliere diensten na de einddatum vereist een bepaalde termijn, vergoeding en aanbestedingsrechtelijk toegestane grondslag en is geen automatische verlenging.</w:t>
      </w:r>
    </w:p>
    <w:p w14:paraId="5F7CC4E1" w14:textId="77777777" w:rsidR="00E14BDE" w:rsidRDefault="00E14BDE"/>
    <w:p w14:paraId="0457EB50" w14:textId="15782E2A" w:rsidR="003636D4" w:rsidRDefault="007F3799">
      <w:r>
        <w:lastRenderedPageBreak/>
        <w:t xml:space="preserve">9.5  Een betalingsgeschil rechtvaardigt geen blokkade of retentierecht op gegevens, eigen beheer- of noodtoegang van Opdrachtgever of de overeengekomen overdracht. Verwijdering vindt pas plaats na controleerbare overdracht en volgens instructie van Opdrachtgever, behoudens wettelijke bewaarplichten. Opdrachtnemer bevestigt vernietiging en resterende wettelijke bewaring; zijn beheerrechten worden na overdracht ingetrokken. </w:t>
      </w:r>
    </w:p>
    <w:p w14:paraId="006463E7" w14:textId="5741BD89" w:rsidR="003636D4" w:rsidRDefault="007F3799">
      <w:pPr>
        <w:pStyle w:val="Kop1"/>
      </w:pPr>
      <w:r>
        <w:t>1</w:t>
      </w:r>
      <w:r w:rsidR="00B42DD8">
        <w:t>0</w:t>
      </w:r>
      <w:r>
        <w:t xml:space="preserve"> Slotbepalingen en ondertekening</w:t>
      </w:r>
    </w:p>
    <w:p w14:paraId="265935AA" w14:textId="13979130" w:rsidR="003636D4" w:rsidRDefault="007F3799">
      <w:r>
        <w:t>1</w:t>
      </w:r>
      <w:r w:rsidR="003C6481">
        <w:t>0</w:t>
      </w:r>
      <w:r>
        <w:t>.1  In afwijking van artikel 37.1 ARBIT-2022 is de bevoegde rechter van de rechtbank Noord-Holland, locatie Haarlem, aangewezen, met inachtneming van wettelijke bevoegdheidsregels. Partijen escaleren geschillen eerst via contactpersonen en management, zonder spoedeisende of tijdgebonden rechtsmaatregelen te belemmeren. Alleen bevoegde vertegenwoordigers kunnen contractvoorwaarden wijzigen.</w:t>
      </w:r>
    </w:p>
    <w:p w14:paraId="476C7CB2" w14:textId="5C6F2E41" w:rsidR="003636D4" w:rsidRDefault="007F3799">
      <w:r>
        <w:t>1</w:t>
      </w:r>
      <w:r w:rsidR="003C6481">
        <w:t>0</w:t>
      </w:r>
      <w:r>
        <w:t>.2  Ondertekening vindt plaats na definitieve gunning en het verstrijken van de wettelijke opschortende termijn en eventuele rechterlijke beperkingen. Partijen aanvaarden deze Raamovereenkomst en de hieronder geïdentificeerde contractdocumenten.</w:t>
      </w:r>
    </w:p>
    <w:p w14:paraId="27F89AE6" w14:textId="77777777" w:rsidR="003636D4" w:rsidRDefault="007F3799">
      <w:r>
        <w:t>Aldus overeengekomen te [PLAATS] op [DATUM].</w:t>
      </w:r>
    </w:p>
    <w:p w14:paraId="075B220E" w14:textId="3ABD5BAE" w:rsidR="003636D4" w:rsidRDefault="007F3799">
      <w:r>
        <w:t xml:space="preserve">Namens Stichting TWijs: </w:t>
      </w:r>
      <w:r w:rsidR="00DE0033">
        <w:t>J. Rijlaarsdam (bestuurder)</w:t>
      </w:r>
      <w:r>
        <w:br/>
        <w:t>Handtekening: __________________________</w:t>
      </w:r>
    </w:p>
    <w:p w14:paraId="4E3624EA" w14:textId="77777777" w:rsidR="003636D4" w:rsidRDefault="007F3799">
      <w:r>
        <w:t>Namens Opdrachtnemer: [NAAM EN FUNCTIE]</w:t>
      </w:r>
      <w:r>
        <w:br/>
        <w:t>Handtekening: __________________________</w:t>
      </w:r>
    </w:p>
    <w:p w14:paraId="0E32F6D5" w14:textId="6FBBAD8B" w:rsidR="003636D4" w:rsidRDefault="003F4685">
      <w:pPr>
        <w:pStyle w:val="Kop1"/>
      </w:pPr>
      <w:r>
        <w:t>Bijlagen</w:t>
      </w:r>
    </w:p>
    <w:p w14:paraId="54340A57" w14:textId="0DFD9C9E" w:rsidR="003636D4" w:rsidRDefault="007F3799">
      <w:r>
        <w:t xml:space="preserve">Vóór ondertekening worden de definitieve versies en data ingevuld en bijgevoegd. </w:t>
      </w:r>
    </w:p>
    <w:p w14:paraId="6B7D97F3" w14:textId="77777777" w:rsidR="003636D4" w:rsidRDefault="007F3799">
      <w:r>
        <w:t>Nota’s van Inlichtingen: [NUMMERS EN DATA]</w:t>
      </w:r>
    </w:p>
    <w:p w14:paraId="4C3B3824" w14:textId="28BB5044" w:rsidR="003636D4" w:rsidRDefault="007F3799">
      <w:r>
        <w:t xml:space="preserve">Programma van Eisen inclusief </w:t>
      </w:r>
      <w:r w:rsidR="00DA1FD1">
        <w:t>Overzicht scholen en hardware</w:t>
      </w:r>
      <w:r>
        <w:t>: [VERSIE EN DATUM]</w:t>
      </w:r>
    </w:p>
    <w:p w14:paraId="16E5A874" w14:textId="77777777" w:rsidR="003636D4" w:rsidRDefault="007F3799">
      <w:r>
        <w:t>Verwerkersovereenkomst en bindende privacybijlagen: [VERSIE EN DATUM]</w:t>
      </w:r>
    </w:p>
    <w:p w14:paraId="037C28C9" w14:textId="57CA65B3" w:rsidR="003636D4" w:rsidRDefault="007F3799">
      <w:r>
        <w:t xml:space="preserve">Aanbestedingsleidraad: 16 oktober 2026, VLC/2603396, TN614679 </w:t>
      </w:r>
    </w:p>
    <w:p w14:paraId="4D3554CD" w14:textId="77777777" w:rsidR="003636D4" w:rsidRDefault="007F3799">
      <w:r>
        <w:t>ARBIT-2022</w:t>
      </w:r>
    </w:p>
    <w:p w14:paraId="120315A4" w14:textId="00576128" w:rsidR="003636D4" w:rsidRDefault="007F3799">
      <w:r>
        <w:t>Inschrijving inclusief kwaliteitsantwoorden</w:t>
      </w:r>
      <w:r w:rsidR="002E2AEB">
        <w:t>,</w:t>
      </w:r>
      <w:r>
        <w:t xml:space="preserve"> </w:t>
      </w:r>
      <w:r w:rsidR="002E2AEB">
        <w:t>concept-SLA en concept DAP</w:t>
      </w:r>
      <w:r>
        <w:t>: [DATUM]</w:t>
      </w:r>
    </w:p>
    <w:p w14:paraId="1B61EDE7" w14:textId="77777777" w:rsidR="003636D4" w:rsidRDefault="007F3799">
      <w:r>
        <w:t>Prijzenblad: [VERSIE EN DATUM]</w:t>
      </w:r>
    </w:p>
    <w:p w14:paraId="16F068AC" w14:textId="0AAC721A" w:rsidR="003636D4" w:rsidRDefault="003636D4"/>
    <w:sectPr w:rsidR="003636D4">
      <w:headerReference w:type="default" r:id="rId10"/>
      <w:footerReference w:type="default" r:id="rId11"/>
      <w:type w:val="continuous"/>
      <w:pgSz w:w="11910" w:h="16850"/>
      <w:pgMar w:top="1380" w:right="1304" w:bottom="1220" w:left="1304" w:header="0" w:footer="104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1C6C0" w14:textId="77777777" w:rsidR="00F36D61" w:rsidRDefault="00F36D61">
      <w:r>
        <w:separator/>
      </w:r>
    </w:p>
  </w:endnote>
  <w:endnote w:type="continuationSeparator" w:id="0">
    <w:p w14:paraId="3F8626DF" w14:textId="77777777" w:rsidR="00F36D61" w:rsidRDefault="00F36D61">
      <w:r>
        <w:continuationSeparator/>
      </w:r>
    </w:p>
  </w:endnote>
  <w:endnote w:type="continuationNotice" w:id="1">
    <w:p w14:paraId="1E283EDA" w14:textId="77777777" w:rsidR="00F36D61" w:rsidRDefault="00F36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3D05" w14:textId="77777777" w:rsidR="001D59F7" w:rsidRDefault="00A25C6C">
    <w:pPr>
      <w:pStyle w:val="Plattetekst"/>
      <w:spacing w:line="14" w:lineRule="auto"/>
      <w:rPr>
        <w:sz w:val="20"/>
      </w:rPr>
    </w:pPr>
    <w:r>
      <w:rPr>
        <w:noProof/>
      </w:rPr>
      <mc:AlternateContent>
        <mc:Choice Requires="wps">
          <w:drawing>
            <wp:anchor distT="0" distB="0" distL="0" distR="0" simplePos="0" relativeHeight="251655680" behindDoc="1" locked="0" layoutInCell="1" allowOverlap="1" wp14:anchorId="75B48B61" wp14:editId="5C8954BA">
              <wp:simplePos x="0" y="0"/>
              <wp:positionH relativeFrom="page">
                <wp:posOffset>885825</wp:posOffset>
              </wp:positionH>
              <wp:positionV relativeFrom="page">
                <wp:posOffset>9896475</wp:posOffset>
              </wp:positionV>
              <wp:extent cx="2209800" cy="2419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241935"/>
                      </a:xfrm>
                      <a:prstGeom prst="rect">
                        <a:avLst/>
                      </a:prstGeom>
                    </wps:spPr>
                    <wps:txbx>
                      <w:txbxContent>
                        <w:p w14:paraId="38BE3352" w14:textId="77777777" w:rsidR="001D59F7" w:rsidRDefault="00A25C6C">
                          <w:pPr>
                            <w:spacing w:before="19"/>
                            <w:ind w:left="20" w:right="18"/>
                            <w:rPr>
                              <w:rFonts w:ascii="Verdana" w:hAnsi="Verdana"/>
                              <w:spacing w:val="-12"/>
                              <w:sz w:val="14"/>
                            </w:rPr>
                          </w:pPr>
                          <w:r>
                            <w:rPr>
                              <w:rFonts w:ascii="Verdana" w:hAnsi="Verdana"/>
                              <w:sz w:val="14"/>
                            </w:rPr>
                            <w:t>Raamovereenkomst:</w:t>
                          </w:r>
                          <w:r>
                            <w:rPr>
                              <w:rFonts w:ascii="Verdana" w:hAnsi="Verdana"/>
                              <w:spacing w:val="-12"/>
                              <w:sz w:val="14"/>
                            </w:rPr>
                            <w:t xml:space="preserve"> </w:t>
                          </w:r>
                          <w:r w:rsidR="000A0FF7">
                            <w:rPr>
                              <w:rFonts w:ascii="Verdana" w:hAnsi="Verdana"/>
                              <w:spacing w:val="-12"/>
                              <w:sz w:val="14"/>
                            </w:rPr>
                            <w:t xml:space="preserve">integrale </w:t>
                          </w:r>
                          <w:r w:rsidR="004F6862">
                            <w:rPr>
                              <w:rFonts w:ascii="Verdana" w:hAnsi="Verdana"/>
                              <w:spacing w:val="-12"/>
                              <w:sz w:val="14"/>
                            </w:rPr>
                            <w:t>ICT-dienstverlening</w:t>
                          </w:r>
                          <w:r w:rsidR="00B262A0">
                            <w:rPr>
                              <w:rFonts w:ascii="Verdana" w:hAnsi="Verdana"/>
                              <w:spacing w:val="-12"/>
                              <w:sz w:val="14"/>
                            </w:rPr>
                            <w:t xml:space="preserve"> ….</w:t>
                          </w:r>
                        </w:p>
                        <w:p w14:paraId="73C39EF0" w14:textId="77777777" w:rsidR="00B262A0" w:rsidRDefault="00B262A0">
                          <w:pPr>
                            <w:spacing w:before="19"/>
                            <w:ind w:left="20" w:right="18"/>
                            <w:rPr>
                              <w:rFonts w:ascii="Verdana" w:hAnsi="Verdana"/>
                              <w:sz w:val="14"/>
                            </w:rPr>
                          </w:pPr>
                          <w:r>
                            <w:rPr>
                              <w:rFonts w:ascii="Verdana" w:hAnsi="Verdana"/>
                              <w:spacing w:val="-12"/>
                              <w:sz w:val="14"/>
                            </w:rPr>
                            <w:t>d.d. ….</w:t>
                          </w:r>
                        </w:p>
                      </w:txbxContent>
                    </wps:txbx>
                    <wps:bodyPr wrap="square" lIns="0" tIns="0" rIns="0" bIns="0" rtlCol="0">
                      <a:noAutofit/>
                    </wps:bodyPr>
                  </wps:wsp>
                </a:graphicData>
              </a:graphic>
              <wp14:sizeRelH relativeFrom="margin">
                <wp14:pctWidth>0</wp14:pctWidth>
              </wp14:sizeRelH>
            </wp:anchor>
          </w:drawing>
        </mc:Choice>
        <mc:Fallback>
          <w:pict>
            <v:shapetype w14:anchorId="75B48B61" id="_x0000_t202" coordsize="21600,21600" o:spt="202" path="m,l,21600r21600,l21600,xe">
              <v:stroke joinstyle="miter"/>
              <v:path gradientshapeok="t" o:connecttype="rect"/>
            </v:shapetype>
            <v:shape id="Textbox 1" o:spid="_x0000_s1026" type="#_x0000_t202" style="position:absolute;margin-left:69.75pt;margin-top:779.25pt;width:174pt;height:19.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" filled="f" stroked="f">
              <v:textbox inset="0,0,0,0">
                <w:txbxContent>
                  <w:p w14:paraId="38BE3352" w14:textId="77777777" w:rsidR="001D59F7" w:rsidRDefault="00A25C6C">
                    <w:pPr>
                      <w:spacing w:before="19"/>
                      <w:ind w:left="20" w:right="18"/>
                      <w:rPr>
                        <w:rFonts w:ascii="Verdana" w:hAnsi="Verdana"/>
                        <w:spacing w:val="-12"/>
                        <w:sz w:val="14"/>
                      </w:rPr>
                    </w:pPr>
                    <w:r>
                      <w:rPr>
                        <w:rFonts w:ascii="Verdana" w:hAnsi="Verdana"/>
                        <w:sz w:val="14"/>
                      </w:rPr>
                      <w:t>Raamovereenkomst:</w:t>
                    </w:r>
                    <w:r>
                      <w:rPr>
                        <w:rFonts w:ascii="Verdana" w:hAnsi="Verdana"/>
                        <w:spacing w:val="-12"/>
                        <w:sz w:val="14"/>
                      </w:rPr>
                      <w:t xml:space="preserve"> </w:t>
                    </w:r>
                    <w:r w:rsidR="000A0FF7">
                      <w:rPr>
                        <w:rFonts w:ascii="Verdana" w:hAnsi="Verdana"/>
                        <w:spacing w:val="-12"/>
                        <w:sz w:val="14"/>
                      </w:rPr>
                      <w:t xml:space="preserve">integrale </w:t>
                    </w:r>
                    <w:r w:rsidR="004F6862">
                      <w:rPr>
                        <w:rFonts w:ascii="Verdana" w:hAnsi="Verdana"/>
                        <w:spacing w:val="-12"/>
                        <w:sz w:val="14"/>
                      </w:rPr>
                      <w:t>ICT-dienstverlening</w:t>
                    </w:r>
                    <w:r w:rsidR="00B262A0">
                      <w:rPr>
                        <w:rFonts w:ascii="Verdana" w:hAnsi="Verdana"/>
                        <w:spacing w:val="-12"/>
                        <w:sz w:val="14"/>
                      </w:rPr>
                      <w:t xml:space="preserve"> ….</w:t>
                    </w:r>
                  </w:p>
                  <w:p w14:paraId="73C39EF0" w14:textId="77777777" w:rsidR="00B262A0" w:rsidRDefault="00B262A0">
                    <w:pPr>
                      <w:spacing w:before="19"/>
                      <w:ind w:left="20" w:right="18"/>
                      <w:rPr>
                        <w:rFonts w:ascii="Verdana" w:hAnsi="Verdana"/>
                        <w:sz w:val="14"/>
                      </w:rPr>
                    </w:pPr>
                    <w:r>
                      <w:rPr>
                        <w:rFonts w:ascii="Verdana" w:hAnsi="Verdana"/>
                        <w:spacing w:val="-12"/>
                        <w:sz w:val="14"/>
                      </w:rPr>
                      <w:t>d.d. ….</w:t>
                    </w:r>
                  </w:p>
                </w:txbxContent>
              </v:textbox>
              <w10:wrap anchorx="page" anchory="page"/>
            </v:shape>
          </w:pict>
        </mc:Fallback>
      </mc:AlternateContent>
    </w:r>
    <w:r>
      <w:rPr>
        <w:noProof/>
      </w:rPr>
      <mc:AlternateContent>
        <mc:Choice Requires="wps">
          <w:drawing>
            <wp:anchor distT="0" distB="0" distL="0" distR="0" simplePos="0" relativeHeight="251656704" behindDoc="1" locked="0" layoutInCell="1" allowOverlap="1" wp14:anchorId="75B48B63" wp14:editId="75B48B64">
              <wp:simplePos x="0" y="0"/>
              <wp:positionH relativeFrom="page">
                <wp:posOffset>4427601</wp:posOffset>
              </wp:positionH>
              <wp:positionV relativeFrom="page">
                <wp:posOffset>9894044</wp:posOffset>
              </wp:positionV>
              <wp:extent cx="1041400" cy="1333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400" cy="133350"/>
                      </a:xfrm>
                      <a:prstGeom prst="rect">
                        <a:avLst/>
                      </a:prstGeom>
                    </wps:spPr>
                    <wps:txbx>
                      <w:txbxContent>
                        <w:p w14:paraId="6FA4DB7D" w14:textId="77777777" w:rsidR="001D59F7" w:rsidRDefault="00A25C6C">
                          <w:pPr>
                            <w:spacing w:before="19"/>
                            <w:ind w:left="20"/>
                            <w:rPr>
                              <w:rFonts w:ascii="Verdana"/>
                              <w:sz w:val="14"/>
                            </w:rPr>
                          </w:pPr>
                          <w:r>
                            <w:rPr>
                              <w:rFonts w:ascii="Verdana"/>
                              <w:sz w:val="14"/>
                            </w:rPr>
                            <w:t>Paraaf</w:t>
                          </w:r>
                          <w:r>
                            <w:rPr>
                              <w:rFonts w:ascii="Verdana"/>
                              <w:spacing w:val="-7"/>
                              <w:sz w:val="14"/>
                            </w:rPr>
                            <w:t xml:space="preserve"> </w:t>
                          </w:r>
                          <w:r>
                            <w:rPr>
                              <w:rFonts w:ascii="Verdana"/>
                              <w:spacing w:val="-2"/>
                              <w:sz w:val="14"/>
                            </w:rPr>
                            <w:t>Opdrachtgever:</w:t>
                          </w:r>
                        </w:p>
                      </w:txbxContent>
                    </wps:txbx>
                    <wps:bodyPr wrap="square" lIns="0" tIns="0" rIns="0" bIns="0" rtlCol="0">
                      <a:noAutofit/>
                    </wps:bodyPr>
                  </wps:wsp>
                </a:graphicData>
              </a:graphic>
            </wp:anchor>
          </w:drawing>
        </mc:Choice>
        <mc:Fallback>
          <w:pict>
            <v:shape w14:anchorId="75B48B63" id="Textbox 2" o:spid="_x0000_s1027" type="#_x0000_t202" style="position:absolute;margin-left:348.65pt;margin-top:779.05pt;width:82pt;height:10.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" filled="f" stroked="f">
              <v:textbox inset="0,0,0,0">
                <w:txbxContent>
                  <w:p w14:paraId="6FA4DB7D" w14:textId="77777777" w:rsidR="001D59F7" w:rsidRDefault="00A25C6C">
                    <w:pPr>
                      <w:spacing w:before="19"/>
                      <w:ind w:left="20"/>
                      <w:rPr>
                        <w:rFonts w:ascii="Verdana"/>
                        <w:sz w:val="14"/>
                      </w:rPr>
                    </w:pPr>
                    <w:r>
                      <w:rPr>
                        <w:rFonts w:ascii="Verdana"/>
                        <w:sz w:val="14"/>
                      </w:rPr>
                      <w:t>Paraaf</w:t>
                    </w:r>
                    <w:r>
                      <w:rPr>
                        <w:rFonts w:ascii="Verdana"/>
                        <w:spacing w:val="-7"/>
                        <w:sz w:val="14"/>
                      </w:rPr>
                      <w:t xml:space="preserve"> </w:t>
                    </w:r>
                    <w:r>
                      <w:rPr>
                        <w:rFonts w:ascii="Verdana"/>
                        <w:spacing w:val="-2"/>
                        <w:sz w:val="14"/>
                      </w:rPr>
                      <w:t>Opdrachtgever:</w:t>
                    </w: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75B48B65" wp14:editId="75B48B66">
              <wp:simplePos x="0" y="0"/>
              <wp:positionH relativeFrom="page">
                <wp:posOffset>5599279</wp:posOffset>
              </wp:positionH>
              <wp:positionV relativeFrom="page">
                <wp:posOffset>9894044</wp:posOffset>
              </wp:positionV>
              <wp:extent cx="1075690" cy="1333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690" cy="133350"/>
                      </a:xfrm>
                      <a:prstGeom prst="rect">
                        <a:avLst/>
                      </a:prstGeom>
                    </wps:spPr>
                    <wps:txbx>
                      <w:txbxContent>
                        <w:p w14:paraId="6BE2F981" w14:textId="77777777" w:rsidR="001D59F7" w:rsidRDefault="00A25C6C">
                          <w:pPr>
                            <w:spacing w:before="19"/>
                            <w:ind w:left="20"/>
                            <w:rPr>
                              <w:rFonts w:ascii="Verdana"/>
                              <w:sz w:val="14"/>
                            </w:rPr>
                          </w:pPr>
                          <w:r>
                            <w:rPr>
                              <w:rFonts w:ascii="Verdana"/>
                              <w:sz w:val="14"/>
                            </w:rPr>
                            <w:t>Paraaf</w:t>
                          </w:r>
                          <w:r>
                            <w:rPr>
                              <w:rFonts w:ascii="Verdana"/>
                              <w:spacing w:val="-4"/>
                              <w:sz w:val="14"/>
                            </w:rPr>
                            <w:t xml:space="preserve"> </w:t>
                          </w:r>
                          <w:r>
                            <w:rPr>
                              <w:rFonts w:ascii="Verdana"/>
                              <w:spacing w:val="-2"/>
                              <w:sz w:val="14"/>
                            </w:rPr>
                            <w:t>Opdrachtnemer:</w:t>
                          </w:r>
                        </w:p>
                      </w:txbxContent>
                    </wps:txbx>
                    <wps:bodyPr wrap="square" lIns="0" tIns="0" rIns="0" bIns="0" rtlCol="0">
                      <a:noAutofit/>
                    </wps:bodyPr>
                  </wps:wsp>
                </a:graphicData>
              </a:graphic>
            </wp:anchor>
          </w:drawing>
        </mc:Choice>
        <mc:Fallback>
          <w:pict>
            <v:shape w14:anchorId="75B48B65" id="Textbox 3" o:spid="_x0000_s1028" type="#_x0000_t202" style="position:absolute;margin-left:440.9pt;margin-top:779.05pt;width:84.7pt;height:1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" filled="f" stroked="f">
              <v:textbox inset="0,0,0,0">
                <w:txbxContent>
                  <w:p w14:paraId="6BE2F981" w14:textId="77777777" w:rsidR="001D59F7" w:rsidRDefault="00A25C6C">
                    <w:pPr>
                      <w:spacing w:before="19"/>
                      <w:ind w:left="20"/>
                      <w:rPr>
                        <w:rFonts w:ascii="Verdana"/>
                        <w:sz w:val="14"/>
                      </w:rPr>
                    </w:pPr>
                    <w:r>
                      <w:rPr>
                        <w:rFonts w:ascii="Verdana"/>
                        <w:sz w:val="14"/>
                      </w:rPr>
                      <w:t>Paraaf</w:t>
                    </w:r>
                    <w:r>
                      <w:rPr>
                        <w:rFonts w:ascii="Verdana"/>
                        <w:spacing w:val="-4"/>
                        <w:sz w:val="14"/>
                      </w:rPr>
                      <w:t xml:space="preserve"> </w:t>
                    </w:r>
                    <w:r>
                      <w:rPr>
                        <w:rFonts w:ascii="Verdana"/>
                        <w:spacing w:val="-2"/>
                        <w:sz w:val="14"/>
                      </w:rPr>
                      <w:t>Opdrachtnemer:</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75B48B67" wp14:editId="75B48B68">
              <wp:simplePos x="0" y="0"/>
              <wp:positionH relativeFrom="page">
                <wp:posOffset>6560566</wp:posOffset>
              </wp:positionH>
              <wp:positionV relativeFrom="page">
                <wp:posOffset>10109158</wp:posOffset>
              </wp:positionV>
              <wp:extent cx="154305"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860"/>
                      </a:xfrm>
                      <a:prstGeom prst="rect">
                        <a:avLst/>
                      </a:prstGeom>
                    </wps:spPr>
                    <wps:txbx>
                      <w:txbxContent>
                        <w:p w14:paraId="4F5FEC8B" w14:textId="77777777" w:rsidR="001D59F7" w:rsidRDefault="00A25C6C">
                          <w:pPr>
                            <w:spacing w:before="21"/>
                            <w:ind w:left="60"/>
                            <w:rPr>
                              <w:rFonts w:ascii="Verdana"/>
                              <w:sz w:val="16"/>
                            </w:rPr>
                          </w:pPr>
                          <w:r>
                            <w:rPr>
                              <w:rFonts w:ascii="Verdana"/>
                              <w:spacing w:val="-10"/>
                              <w:sz w:val="16"/>
                            </w:rPr>
                            <w:fldChar w:fldCharType="begin"/>
                          </w:r>
                          <w:r>
                            <w:rPr>
                              <w:rFonts w:ascii="Verdana"/>
                              <w:spacing w:val="-10"/>
                              <w:sz w:val="16"/>
                            </w:rPr>
                            <w:instrText xml:space="preserve"> PAGE </w:instrText>
                          </w:r>
                          <w:r>
                            <w:rPr>
                              <w:rFonts w:ascii="Verdana"/>
                              <w:spacing w:val="-10"/>
                              <w:sz w:val="16"/>
                            </w:rPr>
                            <w:fldChar w:fldCharType="separate"/>
                          </w:r>
                          <w:r>
                            <w:rPr>
                              <w:rFonts w:ascii="Verdana"/>
                              <w:spacing w:val="-10"/>
                              <w:sz w:val="16"/>
                            </w:rPr>
                            <w:t>1</w:t>
                          </w:r>
                          <w:r>
                            <w:rPr>
                              <w:rFonts w:ascii="Verdana"/>
                              <w:spacing w:val="-10"/>
                              <w:sz w:val="16"/>
                            </w:rPr>
                            <w:fldChar w:fldCharType="end"/>
                          </w:r>
                        </w:p>
                      </w:txbxContent>
                    </wps:txbx>
                    <wps:bodyPr wrap="square" lIns="0" tIns="0" rIns="0" bIns="0" rtlCol="0">
                      <a:noAutofit/>
                    </wps:bodyPr>
                  </wps:wsp>
                </a:graphicData>
              </a:graphic>
            </wp:anchor>
          </w:drawing>
        </mc:Choice>
        <mc:Fallback>
          <w:pict>
            <v:shape w14:anchorId="75B48B67" id="Textbox 4" o:spid="_x0000_s1029" type="#_x0000_t202" style="position:absolute;margin-left:516.6pt;margin-top:796pt;width:12.15pt;height:11.8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" filled="f" stroked="f">
              <v:textbox inset="0,0,0,0">
                <w:txbxContent>
                  <w:p w14:paraId="4F5FEC8B" w14:textId="77777777" w:rsidR="001D59F7" w:rsidRDefault="00A25C6C">
                    <w:pPr>
                      <w:spacing w:before="21"/>
                      <w:ind w:left="60"/>
                      <w:rPr>
                        <w:rFonts w:ascii="Verdana"/>
                        <w:sz w:val="16"/>
                      </w:rPr>
                    </w:pPr>
                    <w:r>
                      <w:rPr>
                        <w:rFonts w:ascii="Verdana"/>
                        <w:spacing w:val="-10"/>
                        <w:sz w:val="16"/>
                      </w:rPr>
                      <w:fldChar w:fldCharType="begin"/>
                    </w:r>
                    <w:r>
                      <w:rPr>
                        <w:rFonts w:ascii="Verdana"/>
                        <w:spacing w:val="-10"/>
                        <w:sz w:val="16"/>
                      </w:rPr>
                      <w:instrText xml:space="preserve"> PAGE </w:instrText>
                    </w:r>
                    <w:r>
                      <w:rPr>
                        <w:rFonts w:ascii="Verdana"/>
                        <w:spacing w:val="-10"/>
                        <w:sz w:val="16"/>
                      </w:rPr>
                      <w:fldChar w:fldCharType="separate"/>
                    </w:r>
                    <w:r>
                      <w:rPr>
                        <w:rFonts w:ascii="Verdana"/>
                        <w:spacing w:val="-10"/>
                        <w:sz w:val="16"/>
                      </w:rPr>
                      <w:t>1</w:t>
                    </w:r>
                    <w:r>
                      <w:rPr>
                        <w:rFonts w:ascii="Verdana"/>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77706" w14:textId="77777777" w:rsidR="00F36D61" w:rsidRDefault="00F36D61">
      <w:r>
        <w:separator/>
      </w:r>
    </w:p>
  </w:footnote>
  <w:footnote w:type="continuationSeparator" w:id="0">
    <w:p w14:paraId="44770608" w14:textId="77777777" w:rsidR="00F36D61" w:rsidRDefault="00F36D61">
      <w:r>
        <w:continuationSeparator/>
      </w:r>
    </w:p>
  </w:footnote>
  <w:footnote w:type="continuationNotice" w:id="1">
    <w:p w14:paraId="22716617" w14:textId="77777777" w:rsidR="00F36D61" w:rsidRDefault="00F36D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609480"/>
      <w:docPartObj>
        <w:docPartGallery w:val="Watermarks"/>
        <w:docPartUnique/>
      </w:docPartObj>
    </w:sdtPr>
    <w:sdtContent>
      <w:p w14:paraId="10CCBA27" w14:textId="77777777" w:rsidR="00F62E97" w:rsidRDefault="00000000">
        <w:pPr>
          <w:pStyle w:val="Koptekst"/>
        </w:pPr>
        <w:r>
          <w:pict w14:anchorId="0B3F4F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1E0"/>
    <w:multiLevelType w:val="multilevel"/>
    <w:tmpl w:val="AB6CDF6C"/>
    <w:lvl w:ilvl="0">
      <w:start w:val="1"/>
      <w:numFmt w:val="decimal"/>
      <w:lvlText w:val="%1."/>
      <w:lvlJc w:val="left"/>
      <w:pPr>
        <w:ind w:left="845" w:hanging="567"/>
        <w:jc w:val="right"/>
      </w:pPr>
      <w:rPr>
        <w:rFonts w:ascii="Calibri" w:eastAsia="Calibri" w:hAnsi="Calibri" w:cs="Calibri" w:hint="default"/>
        <w:b/>
        <w:bCs/>
        <w:i w:val="0"/>
        <w:iCs w:val="0"/>
        <w:spacing w:val="0"/>
        <w:w w:val="100"/>
        <w:sz w:val="22"/>
        <w:szCs w:val="22"/>
        <w:lang w:val="nl-NL" w:eastAsia="en-US" w:bidi="ar-SA"/>
      </w:rPr>
    </w:lvl>
    <w:lvl w:ilvl="1">
      <w:start w:val="1"/>
      <w:numFmt w:val="decimal"/>
      <w:lvlText w:val="%1.%2"/>
      <w:lvlJc w:val="left"/>
      <w:pPr>
        <w:ind w:left="838" w:hanging="560"/>
      </w:pPr>
      <w:rPr>
        <w:rFonts w:ascii="Calibri" w:eastAsia="Calibri" w:hAnsi="Calibri" w:cs="Calibri" w:hint="default"/>
        <w:b w:val="0"/>
        <w:bCs w:val="0"/>
        <w:i w:val="0"/>
        <w:iCs w:val="0"/>
        <w:spacing w:val="0"/>
        <w:w w:val="100"/>
        <w:sz w:val="22"/>
        <w:szCs w:val="22"/>
        <w:lang w:val="nl-NL" w:eastAsia="en-US" w:bidi="ar-SA"/>
      </w:rPr>
    </w:lvl>
    <w:lvl w:ilvl="2">
      <w:numFmt w:val="bullet"/>
      <w:lvlText w:val="•"/>
      <w:lvlJc w:val="left"/>
      <w:pPr>
        <w:ind w:left="986" w:hanging="158"/>
      </w:pPr>
      <w:rPr>
        <w:rFonts w:ascii="Calibri" w:eastAsia="Calibri" w:hAnsi="Calibri" w:cs="Calibri" w:hint="default"/>
        <w:b w:val="0"/>
        <w:bCs w:val="0"/>
        <w:i w:val="0"/>
        <w:iCs w:val="0"/>
        <w:spacing w:val="0"/>
        <w:w w:val="100"/>
        <w:sz w:val="22"/>
        <w:szCs w:val="22"/>
        <w:lang w:val="nl-NL" w:eastAsia="en-US" w:bidi="ar-SA"/>
      </w:rPr>
    </w:lvl>
    <w:lvl w:ilvl="3">
      <w:numFmt w:val="bullet"/>
      <w:lvlText w:val="•"/>
      <w:lvlJc w:val="left"/>
      <w:pPr>
        <w:ind w:left="980" w:hanging="158"/>
      </w:pPr>
      <w:rPr>
        <w:rFonts w:hint="default"/>
        <w:lang w:val="nl-NL" w:eastAsia="en-US" w:bidi="ar-SA"/>
      </w:rPr>
    </w:lvl>
    <w:lvl w:ilvl="4">
      <w:numFmt w:val="bullet"/>
      <w:lvlText w:val="•"/>
      <w:lvlJc w:val="left"/>
      <w:pPr>
        <w:ind w:left="2189" w:hanging="158"/>
      </w:pPr>
      <w:rPr>
        <w:rFonts w:hint="default"/>
        <w:lang w:val="nl-NL" w:eastAsia="en-US" w:bidi="ar-SA"/>
      </w:rPr>
    </w:lvl>
    <w:lvl w:ilvl="5">
      <w:numFmt w:val="bullet"/>
      <w:lvlText w:val="•"/>
      <w:lvlJc w:val="left"/>
      <w:pPr>
        <w:ind w:left="3398" w:hanging="158"/>
      </w:pPr>
      <w:rPr>
        <w:rFonts w:hint="default"/>
        <w:lang w:val="nl-NL" w:eastAsia="en-US" w:bidi="ar-SA"/>
      </w:rPr>
    </w:lvl>
    <w:lvl w:ilvl="6">
      <w:numFmt w:val="bullet"/>
      <w:lvlText w:val="•"/>
      <w:lvlJc w:val="left"/>
      <w:pPr>
        <w:ind w:left="4608" w:hanging="158"/>
      </w:pPr>
      <w:rPr>
        <w:rFonts w:hint="default"/>
        <w:lang w:val="nl-NL" w:eastAsia="en-US" w:bidi="ar-SA"/>
      </w:rPr>
    </w:lvl>
    <w:lvl w:ilvl="7">
      <w:numFmt w:val="bullet"/>
      <w:lvlText w:val="•"/>
      <w:lvlJc w:val="left"/>
      <w:pPr>
        <w:ind w:left="5817" w:hanging="158"/>
      </w:pPr>
      <w:rPr>
        <w:rFonts w:hint="default"/>
        <w:lang w:val="nl-NL" w:eastAsia="en-US" w:bidi="ar-SA"/>
      </w:rPr>
    </w:lvl>
    <w:lvl w:ilvl="8">
      <w:numFmt w:val="bullet"/>
      <w:lvlText w:val="•"/>
      <w:lvlJc w:val="left"/>
      <w:pPr>
        <w:ind w:left="7027" w:hanging="158"/>
      </w:pPr>
      <w:rPr>
        <w:rFonts w:hint="default"/>
        <w:lang w:val="nl-NL" w:eastAsia="en-US" w:bidi="ar-SA"/>
      </w:rPr>
    </w:lvl>
  </w:abstractNum>
  <w:abstractNum w:abstractNumId="1" w15:restartNumberingAfterBreak="0">
    <w:nsid w:val="07224E8C"/>
    <w:multiLevelType w:val="hybridMultilevel"/>
    <w:tmpl w:val="A68A94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881DAF"/>
    <w:multiLevelType w:val="hybridMultilevel"/>
    <w:tmpl w:val="85CA3C7C"/>
    <w:lvl w:ilvl="0" w:tplc="FFFFFFFF">
      <w:start w:val="1"/>
      <w:numFmt w:val="decimal"/>
      <w:lvlText w:val="%1."/>
      <w:lvlJc w:val="left"/>
      <w:pPr>
        <w:ind w:left="986" w:hanging="708"/>
      </w:pPr>
      <w:rPr>
        <w:rFonts w:ascii="Calibri" w:eastAsia="Calibri" w:hAnsi="Calibri" w:cs="Calibri" w:hint="default"/>
        <w:b w:val="0"/>
        <w:bCs w:val="0"/>
        <w:i w:val="0"/>
        <w:iCs w:val="0"/>
        <w:spacing w:val="0"/>
        <w:w w:val="100"/>
        <w:sz w:val="22"/>
        <w:szCs w:val="22"/>
        <w:lang w:val="nl-NL" w:eastAsia="en-US" w:bidi="ar-SA"/>
      </w:rPr>
    </w:lvl>
    <w:lvl w:ilvl="1" w:tplc="FFFFFFFF">
      <w:numFmt w:val="bullet"/>
      <w:lvlText w:val="•"/>
      <w:lvlJc w:val="left"/>
      <w:pPr>
        <w:ind w:left="1826" w:hanging="708"/>
      </w:pPr>
      <w:rPr>
        <w:rFonts w:hint="default"/>
        <w:lang w:val="nl-NL" w:eastAsia="en-US" w:bidi="ar-SA"/>
      </w:rPr>
    </w:lvl>
    <w:lvl w:ilvl="2" w:tplc="FFFFFFFF">
      <w:numFmt w:val="bullet"/>
      <w:lvlText w:val="•"/>
      <w:lvlJc w:val="left"/>
      <w:pPr>
        <w:ind w:left="2673" w:hanging="708"/>
      </w:pPr>
      <w:rPr>
        <w:rFonts w:hint="default"/>
        <w:lang w:val="nl-NL" w:eastAsia="en-US" w:bidi="ar-SA"/>
      </w:rPr>
    </w:lvl>
    <w:lvl w:ilvl="3" w:tplc="FFFFFFFF">
      <w:numFmt w:val="bullet"/>
      <w:lvlText w:val="•"/>
      <w:lvlJc w:val="left"/>
      <w:pPr>
        <w:ind w:left="3519" w:hanging="708"/>
      </w:pPr>
      <w:rPr>
        <w:rFonts w:hint="default"/>
        <w:lang w:val="nl-NL" w:eastAsia="en-US" w:bidi="ar-SA"/>
      </w:rPr>
    </w:lvl>
    <w:lvl w:ilvl="4" w:tplc="FFFFFFFF">
      <w:numFmt w:val="bullet"/>
      <w:lvlText w:val="•"/>
      <w:lvlJc w:val="left"/>
      <w:pPr>
        <w:ind w:left="4366" w:hanging="708"/>
      </w:pPr>
      <w:rPr>
        <w:rFonts w:hint="default"/>
        <w:lang w:val="nl-NL" w:eastAsia="en-US" w:bidi="ar-SA"/>
      </w:rPr>
    </w:lvl>
    <w:lvl w:ilvl="5" w:tplc="FFFFFFFF">
      <w:numFmt w:val="bullet"/>
      <w:lvlText w:val="•"/>
      <w:lvlJc w:val="left"/>
      <w:pPr>
        <w:ind w:left="5213" w:hanging="708"/>
      </w:pPr>
      <w:rPr>
        <w:rFonts w:hint="default"/>
        <w:lang w:val="nl-NL" w:eastAsia="en-US" w:bidi="ar-SA"/>
      </w:rPr>
    </w:lvl>
    <w:lvl w:ilvl="6" w:tplc="FFFFFFFF">
      <w:numFmt w:val="bullet"/>
      <w:lvlText w:val="•"/>
      <w:lvlJc w:val="left"/>
      <w:pPr>
        <w:ind w:left="6059" w:hanging="708"/>
      </w:pPr>
      <w:rPr>
        <w:rFonts w:hint="default"/>
        <w:lang w:val="nl-NL" w:eastAsia="en-US" w:bidi="ar-SA"/>
      </w:rPr>
    </w:lvl>
    <w:lvl w:ilvl="7" w:tplc="FFFFFFFF">
      <w:numFmt w:val="bullet"/>
      <w:lvlText w:val="•"/>
      <w:lvlJc w:val="left"/>
      <w:pPr>
        <w:ind w:left="6906" w:hanging="708"/>
      </w:pPr>
      <w:rPr>
        <w:rFonts w:hint="default"/>
        <w:lang w:val="nl-NL" w:eastAsia="en-US" w:bidi="ar-SA"/>
      </w:rPr>
    </w:lvl>
    <w:lvl w:ilvl="8" w:tplc="FFFFFFFF">
      <w:numFmt w:val="bullet"/>
      <w:lvlText w:val="•"/>
      <w:lvlJc w:val="left"/>
      <w:pPr>
        <w:ind w:left="7753" w:hanging="708"/>
      </w:pPr>
      <w:rPr>
        <w:rFonts w:hint="default"/>
        <w:lang w:val="nl-NL" w:eastAsia="en-US" w:bidi="ar-SA"/>
      </w:rPr>
    </w:lvl>
  </w:abstractNum>
  <w:abstractNum w:abstractNumId="3" w15:restartNumberingAfterBreak="0">
    <w:nsid w:val="1A95771A"/>
    <w:multiLevelType w:val="hybridMultilevel"/>
    <w:tmpl w:val="E3642722"/>
    <w:lvl w:ilvl="0" w:tplc="C4405ACA">
      <w:start w:val="1"/>
      <w:numFmt w:val="lowerLetter"/>
      <w:lvlText w:val="%1."/>
      <w:lvlJc w:val="left"/>
      <w:pPr>
        <w:ind w:left="845" w:hanging="360"/>
      </w:pPr>
      <w:rPr>
        <w:rFonts w:ascii="Calibri" w:eastAsia="Calibri" w:hAnsi="Calibri" w:cs="Calibri" w:hint="default"/>
        <w:b w:val="0"/>
        <w:bCs w:val="0"/>
        <w:i w:val="0"/>
        <w:iCs w:val="0"/>
        <w:spacing w:val="-1"/>
        <w:w w:val="100"/>
        <w:sz w:val="22"/>
        <w:szCs w:val="22"/>
        <w:lang w:val="nl-NL" w:eastAsia="en-US" w:bidi="ar-SA"/>
      </w:rPr>
    </w:lvl>
    <w:lvl w:ilvl="1" w:tplc="7430FAFE">
      <w:numFmt w:val="bullet"/>
      <w:lvlText w:val="•"/>
      <w:lvlJc w:val="left"/>
      <w:pPr>
        <w:ind w:left="1700" w:hanging="360"/>
      </w:pPr>
      <w:rPr>
        <w:rFonts w:hint="default"/>
        <w:lang w:val="nl-NL" w:eastAsia="en-US" w:bidi="ar-SA"/>
      </w:rPr>
    </w:lvl>
    <w:lvl w:ilvl="2" w:tplc="92F67812">
      <w:numFmt w:val="bullet"/>
      <w:lvlText w:val="•"/>
      <w:lvlJc w:val="left"/>
      <w:pPr>
        <w:ind w:left="2561" w:hanging="360"/>
      </w:pPr>
      <w:rPr>
        <w:rFonts w:hint="default"/>
        <w:lang w:val="nl-NL" w:eastAsia="en-US" w:bidi="ar-SA"/>
      </w:rPr>
    </w:lvl>
    <w:lvl w:ilvl="3" w:tplc="A5A673C6">
      <w:numFmt w:val="bullet"/>
      <w:lvlText w:val="•"/>
      <w:lvlJc w:val="left"/>
      <w:pPr>
        <w:ind w:left="3421" w:hanging="360"/>
      </w:pPr>
      <w:rPr>
        <w:rFonts w:hint="default"/>
        <w:lang w:val="nl-NL" w:eastAsia="en-US" w:bidi="ar-SA"/>
      </w:rPr>
    </w:lvl>
    <w:lvl w:ilvl="4" w:tplc="E35864DA">
      <w:numFmt w:val="bullet"/>
      <w:lvlText w:val="•"/>
      <w:lvlJc w:val="left"/>
      <w:pPr>
        <w:ind w:left="4282" w:hanging="360"/>
      </w:pPr>
      <w:rPr>
        <w:rFonts w:hint="default"/>
        <w:lang w:val="nl-NL" w:eastAsia="en-US" w:bidi="ar-SA"/>
      </w:rPr>
    </w:lvl>
    <w:lvl w:ilvl="5" w:tplc="8A0210EA">
      <w:numFmt w:val="bullet"/>
      <w:lvlText w:val="•"/>
      <w:lvlJc w:val="left"/>
      <w:pPr>
        <w:ind w:left="5143" w:hanging="360"/>
      </w:pPr>
      <w:rPr>
        <w:rFonts w:hint="default"/>
        <w:lang w:val="nl-NL" w:eastAsia="en-US" w:bidi="ar-SA"/>
      </w:rPr>
    </w:lvl>
    <w:lvl w:ilvl="6" w:tplc="278A46B4">
      <w:numFmt w:val="bullet"/>
      <w:lvlText w:val="•"/>
      <w:lvlJc w:val="left"/>
      <w:pPr>
        <w:ind w:left="6003" w:hanging="360"/>
      </w:pPr>
      <w:rPr>
        <w:rFonts w:hint="default"/>
        <w:lang w:val="nl-NL" w:eastAsia="en-US" w:bidi="ar-SA"/>
      </w:rPr>
    </w:lvl>
    <w:lvl w:ilvl="7" w:tplc="B81A32A4">
      <w:numFmt w:val="bullet"/>
      <w:lvlText w:val="•"/>
      <w:lvlJc w:val="left"/>
      <w:pPr>
        <w:ind w:left="6864" w:hanging="360"/>
      </w:pPr>
      <w:rPr>
        <w:rFonts w:hint="default"/>
        <w:lang w:val="nl-NL" w:eastAsia="en-US" w:bidi="ar-SA"/>
      </w:rPr>
    </w:lvl>
    <w:lvl w:ilvl="8" w:tplc="3CD2C398">
      <w:numFmt w:val="bullet"/>
      <w:lvlText w:val="•"/>
      <w:lvlJc w:val="left"/>
      <w:pPr>
        <w:ind w:left="7725" w:hanging="360"/>
      </w:pPr>
      <w:rPr>
        <w:rFonts w:hint="default"/>
        <w:lang w:val="nl-NL" w:eastAsia="en-US" w:bidi="ar-SA"/>
      </w:rPr>
    </w:lvl>
  </w:abstractNum>
  <w:abstractNum w:abstractNumId="4" w15:restartNumberingAfterBreak="0">
    <w:nsid w:val="2A35633B"/>
    <w:multiLevelType w:val="multilevel"/>
    <w:tmpl w:val="51F23B5E"/>
    <w:lvl w:ilvl="0">
      <w:start w:val="11"/>
      <w:numFmt w:val="decimal"/>
      <w:lvlText w:val="%1."/>
      <w:lvlJc w:val="left"/>
      <w:pPr>
        <w:ind w:left="845" w:hanging="567"/>
      </w:pPr>
      <w:rPr>
        <w:rFonts w:ascii="Calibri" w:eastAsia="Calibri" w:hAnsi="Calibri" w:cs="Calibri" w:hint="default"/>
        <w:b/>
        <w:bCs/>
        <w:i w:val="0"/>
        <w:iCs w:val="0"/>
        <w:spacing w:val="-2"/>
        <w:w w:val="100"/>
        <w:sz w:val="22"/>
        <w:szCs w:val="22"/>
        <w:lang w:val="nl-NL" w:eastAsia="en-US" w:bidi="ar-SA"/>
      </w:rPr>
    </w:lvl>
    <w:lvl w:ilvl="1">
      <w:start w:val="1"/>
      <w:numFmt w:val="decimal"/>
      <w:lvlText w:val="%1.%2"/>
      <w:lvlJc w:val="left"/>
      <w:pPr>
        <w:ind w:left="845" w:hanging="567"/>
      </w:pPr>
      <w:rPr>
        <w:rFonts w:ascii="Calibri" w:eastAsia="Calibri" w:hAnsi="Calibri" w:cs="Calibri" w:hint="default"/>
        <w:b w:val="0"/>
        <w:bCs w:val="0"/>
        <w:i w:val="0"/>
        <w:iCs w:val="0"/>
        <w:spacing w:val="-1"/>
        <w:w w:val="100"/>
        <w:sz w:val="22"/>
        <w:szCs w:val="22"/>
        <w:lang w:val="nl-NL" w:eastAsia="en-US" w:bidi="ar-SA"/>
      </w:rPr>
    </w:lvl>
    <w:lvl w:ilvl="2">
      <w:numFmt w:val="bullet"/>
      <w:lvlText w:val="•"/>
      <w:lvlJc w:val="left"/>
      <w:pPr>
        <w:ind w:left="2561" w:hanging="567"/>
      </w:pPr>
      <w:rPr>
        <w:rFonts w:hint="default"/>
        <w:lang w:val="nl-NL" w:eastAsia="en-US" w:bidi="ar-SA"/>
      </w:rPr>
    </w:lvl>
    <w:lvl w:ilvl="3">
      <w:numFmt w:val="bullet"/>
      <w:lvlText w:val="•"/>
      <w:lvlJc w:val="left"/>
      <w:pPr>
        <w:ind w:left="3421" w:hanging="567"/>
      </w:pPr>
      <w:rPr>
        <w:rFonts w:hint="default"/>
        <w:lang w:val="nl-NL" w:eastAsia="en-US" w:bidi="ar-SA"/>
      </w:rPr>
    </w:lvl>
    <w:lvl w:ilvl="4">
      <w:numFmt w:val="bullet"/>
      <w:lvlText w:val="•"/>
      <w:lvlJc w:val="left"/>
      <w:pPr>
        <w:ind w:left="4282" w:hanging="567"/>
      </w:pPr>
      <w:rPr>
        <w:rFonts w:hint="default"/>
        <w:lang w:val="nl-NL" w:eastAsia="en-US" w:bidi="ar-SA"/>
      </w:rPr>
    </w:lvl>
    <w:lvl w:ilvl="5">
      <w:numFmt w:val="bullet"/>
      <w:lvlText w:val="•"/>
      <w:lvlJc w:val="left"/>
      <w:pPr>
        <w:ind w:left="5143" w:hanging="567"/>
      </w:pPr>
      <w:rPr>
        <w:rFonts w:hint="default"/>
        <w:lang w:val="nl-NL" w:eastAsia="en-US" w:bidi="ar-SA"/>
      </w:rPr>
    </w:lvl>
    <w:lvl w:ilvl="6">
      <w:numFmt w:val="bullet"/>
      <w:lvlText w:val="•"/>
      <w:lvlJc w:val="left"/>
      <w:pPr>
        <w:ind w:left="6003" w:hanging="567"/>
      </w:pPr>
      <w:rPr>
        <w:rFonts w:hint="default"/>
        <w:lang w:val="nl-NL" w:eastAsia="en-US" w:bidi="ar-SA"/>
      </w:rPr>
    </w:lvl>
    <w:lvl w:ilvl="7">
      <w:numFmt w:val="bullet"/>
      <w:lvlText w:val="•"/>
      <w:lvlJc w:val="left"/>
      <w:pPr>
        <w:ind w:left="6864" w:hanging="567"/>
      </w:pPr>
      <w:rPr>
        <w:rFonts w:hint="default"/>
        <w:lang w:val="nl-NL" w:eastAsia="en-US" w:bidi="ar-SA"/>
      </w:rPr>
    </w:lvl>
    <w:lvl w:ilvl="8">
      <w:numFmt w:val="bullet"/>
      <w:lvlText w:val="•"/>
      <w:lvlJc w:val="left"/>
      <w:pPr>
        <w:ind w:left="7725" w:hanging="567"/>
      </w:pPr>
      <w:rPr>
        <w:rFonts w:hint="default"/>
        <w:lang w:val="nl-NL" w:eastAsia="en-US" w:bidi="ar-SA"/>
      </w:rPr>
    </w:lvl>
  </w:abstractNum>
  <w:abstractNum w:abstractNumId="5" w15:restartNumberingAfterBreak="0">
    <w:nsid w:val="3F3933C1"/>
    <w:multiLevelType w:val="hybridMultilevel"/>
    <w:tmpl w:val="85CA3C7C"/>
    <w:lvl w:ilvl="0" w:tplc="D142754C">
      <w:start w:val="1"/>
      <w:numFmt w:val="decimal"/>
      <w:lvlText w:val="%1."/>
      <w:lvlJc w:val="left"/>
      <w:pPr>
        <w:ind w:left="986" w:hanging="708"/>
      </w:pPr>
      <w:rPr>
        <w:rFonts w:ascii="Calibri" w:eastAsia="Calibri" w:hAnsi="Calibri" w:cs="Calibri" w:hint="default"/>
        <w:b w:val="0"/>
        <w:bCs w:val="0"/>
        <w:i w:val="0"/>
        <w:iCs w:val="0"/>
        <w:spacing w:val="0"/>
        <w:w w:val="100"/>
        <w:sz w:val="22"/>
        <w:szCs w:val="22"/>
        <w:lang w:val="nl-NL" w:eastAsia="en-US" w:bidi="ar-SA"/>
      </w:rPr>
    </w:lvl>
    <w:lvl w:ilvl="1" w:tplc="587CF392">
      <w:numFmt w:val="bullet"/>
      <w:lvlText w:val="•"/>
      <w:lvlJc w:val="left"/>
      <w:pPr>
        <w:ind w:left="1826" w:hanging="708"/>
      </w:pPr>
      <w:rPr>
        <w:rFonts w:hint="default"/>
        <w:lang w:val="nl-NL" w:eastAsia="en-US" w:bidi="ar-SA"/>
      </w:rPr>
    </w:lvl>
    <w:lvl w:ilvl="2" w:tplc="CDA6D354">
      <w:numFmt w:val="bullet"/>
      <w:lvlText w:val="•"/>
      <w:lvlJc w:val="left"/>
      <w:pPr>
        <w:ind w:left="2673" w:hanging="708"/>
      </w:pPr>
      <w:rPr>
        <w:rFonts w:hint="default"/>
        <w:lang w:val="nl-NL" w:eastAsia="en-US" w:bidi="ar-SA"/>
      </w:rPr>
    </w:lvl>
    <w:lvl w:ilvl="3" w:tplc="C66A4F42">
      <w:numFmt w:val="bullet"/>
      <w:lvlText w:val="•"/>
      <w:lvlJc w:val="left"/>
      <w:pPr>
        <w:ind w:left="3519" w:hanging="708"/>
      </w:pPr>
      <w:rPr>
        <w:rFonts w:hint="default"/>
        <w:lang w:val="nl-NL" w:eastAsia="en-US" w:bidi="ar-SA"/>
      </w:rPr>
    </w:lvl>
    <w:lvl w:ilvl="4" w:tplc="F3D4B22A">
      <w:numFmt w:val="bullet"/>
      <w:lvlText w:val="•"/>
      <w:lvlJc w:val="left"/>
      <w:pPr>
        <w:ind w:left="4366" w:hanging="708"/>
      </w:pPr>
      <w:rPr>
        <w:rFonts w:hint="default"/>
        <w:lang w:val="nl-NL" w:eastAsia="en-US" w:bidi="ar-SA"/>
      </w:rPr>
    </w:lvl>
    <w:lvl w:ilvl="5" w:tplc="A0C414FC">
      <w:numFmt w:val="bullet"/>
      <w:lvlText w:val="•"/>
      <w:lvlJc w:val="left"/>
      <w:pPr>
        <w:ind w:left="5213" w:hanging="708"/>
      </w:pPr>
      <w:rPr>
        <w:rFonts w:hint="default"/>
        <w:lang w:val="nl-NL" w:eastAsia="en-US" w:bidi="ar-SA"/>
      </w:rPr>
    </w:lvl>
    <w:lvl w:ilvl="6" w:tplc="4D367684">
      <w:numFmt w:val="bullet"/>
      <w:lvlText w:val="•"/>
      <w:lvlJc w:val="left"/>
      <w:pPr>
        <w:ind w:left="6059" w:hanging="708"/>
      </w:pPr>
      <w:rPr>
        <w:rFonts w:hint="default"/>
        <w:lang w:val="nl-NL" w:eastAsia="en-US" w:bidi="ar-SA"/>
      </w:rPr>
    </w:lvl>
    <w:lvl w:ilvl="7" w:tplc="30D24046">
      <w:numFmt w:val="bullet"/>
      <w:lvlText w:val="•"/>
      <w:lvlJc w:val="left"/>
      <w:pPr>
        <w:ind w:left="6906" w:hanging="708"/>
      </w:pPr>
      <w:rPr>
        <w:rFonts w:hint="default"/>
        <w:lang w:val="nl-NL" w:eastAsia="en-US" w:bidi="ar-SA"/>
      </w:rPr>
    </w:lvl>
    <w:lvl w:ilvl="8" w:tplc="0AA83150">
      <w:numFmt w:val="bullet"/>
      <w:lvlText w:val="•"/>
      <w:lvlJc w:val="left"/>
      <w:pPr>
        <w:ind w:left="7753" w:hanging="708"/>
      </w:pPr>
      <w:rPr>
        <w:rFonts w:hint="default"/>
        <w:lang w:val="nl-NL" w:eastAsia="en-US" w:bidi="ar-SA"/>
      </w:rPr>
    </w:lvl>
  </w:abstractNum>
  <w:abstractNum w:abstractNumId="6" w15:restartNumberingAfterBreak="0">
    <w:nsid w:val="472357FB"/>
    <w:multiLevelType w:val="hybridMultilevel"/>
    <w:tmpl w:val="041AA156"/>
    <w:lvl w:ilvl="0" w:tplc="E5A47FFA">
      <w:start w:val="1"/>
      <w:numFmt w:val="decimal"/>
      <w:lvlText w:val="%1."/>
      <w:lvlJc w:val="left"/>
      <w:pPr>
        <w:ind w:left="845" w:hanging="567"/>
      </w:pPr>
      <w:rPr>
        <w:rFonts w:ascii="Calibri" w:eastAsia="Calibri" w:hAnsi="Calibri" w:cs="Calibri" w:hint="default"/>
        <w:b w:val="0"/>
        <w:bCs w:val="0"/>
        <w:i w:val="0"/>
        <w:iCs w:val="0"/>
        <w:spacing w:val="0"/>
        <w:w w:val="100"/>
        <w:sz w:val="22"/>
        <w:szCs w:val="22"/>
        <w:lang w:val="nl-NL" w:eastAsia="en-US" w:bidi="ar-SA"/>
      </w:rPr>
    </w:lvl>
    <w:lvl w:ilvl="1" w:tplc="4134C4EA">
      <w:numFmt w:val="bullet"/>
      <w:lvlText w:val="•"/>
      <w:lvlJc w:val="left"/>
      <w:pPr>
        <w:ind w:left="1700" w:hanging="567"/>
      </w:pPr>
      <w:rPr>
        <w:rFonts w:hint="default"/>
        <w:lang w:val="nl-NL" w:eastAsia="en-US" w:bidi="ar-SA"/>
      </w:rPr>
    </w:lvl>
    <w:lvl w:ilvl="2" w:tplc="DF3A6326">
      <w:numFmt w:val="bullet"/>
      <w:lvlText w:val="•"/>
      <w:lvlJc w:val="left"/>
      <w:pPr>
        <w:ind w:left="2561" w:hanging="567"/>
      </w:pPr>
      <w:rPr>
        <w:rFonts w:hint="default"/>
        <w:lang w:val="nl-NL" w:eastAsia="en-US" w:bidi="ar-SA"/>
      </w:rPr>
    </w:lvl>
    <w:lvl w:ilvl="3" w:tplc="0624F4BA">
      <w:numFmt w:val="bullet"/>
      <w:lvlText w:val="•"/>
      <w:lvlJc w:val="left"/>
      <w:pPr>
        <w:ind w:left="3421" w:hanging="567"/>
      </w:pPr>
      <w:rPr>
        <w:rFonts w:hint="default"/>
        <w:lang w:val="nl-NL" w:eastAsia="en-US" w:bidi="ar-SA"/>
      </w:rPr>
    </w:lvl>
    <w:lvl w:ilvl="4" w:tplc="3AEA89A2">
      <w:numFmt w:val="bullet"/>
      <w:lvlText w:val="•"/>
      <w:lvlJc w:val="left"/>
      <w:pPr>
        <w:ind w:left="4282" w:hanging="567"/>
      </w:pPr>
      <w:rPr>
        <w:rFonts w:hint="default"/>
        <w:lang w:val="nl-NL" w:eastAsia="en-US" w:bidi="ar-SA"/>
      </w:rPr>
    </w:lvl>
    <w:lvl w:ilvl="5" w:tplc="9F96DB1E">
      <w:numFmt w:val="bullet"/>
      <w:lvlText w:val="•"/>
      <w:lvlJc w:val="left"/>
      <w:pPr>
        <w:ind w:left="5143" w:hanging="567"/>
      </w:pPr>
      <w:rPr>
        <w:rFonts w:hint="default"/>
        <w:lang w:val="nl-NL" w:eastAsia="en-US" w:bidi="ar-SA"/>
      </w:rPr>
    </w:lvl>
    <w:lvl w:ilvl="6" w:tplc="D250C9AE">
      <w:numFmt w:val="bullet"/>
      <w:lvlText w:val="•"/>
      <w:lvlJc w:val="left"/>
      <w:pPr>
        <w:ind w:left="6003" w:hanging="567"/>
      </w:pPr>
      <w:rPr>
        <w:rFonts w:hint="default"/>
        <w:lang w:val="nl-NL" w:eastAsia="en-US" w:bidi="ar-SA"/>
      </w:rPr>
    </w:lvl>
    <w:lvl w:ilvl="7" w:tplc="C422D418">
      <w:numFmt w:val="bullet"/>
      <w:lvlText w:val="•"/>
      <w:lvlJc w:val="left"/>
      <w:pPr>
        <w:ind w:left="6864" w:hanging="567"/>
      </w:pPr>
      <w:rPr>
        <w:rFonts w:hint="default"/>
        <w:lang w:val="nl-NL" w:eastAsia="en-US" w:bidi="ar-SA"/>
      </w:rPr>
    </w:lvl>
    <w:lvl w:ilvl="8" w:tplc="2C44721E">
      <w:numFmt w:val="bullet"/>
      <w:lvlText w:val="•"/>
      <w:lvlJc w:val="left"/>
      <w:pPr>
        <w:ind w:left="7725" w:hanging="567"/>
      </w:pPr>
      <w:rPr>
        <w:rFonts w:hint="default"/>
        <w:lang w:val="nl-NL" w:eastAsia="en-US" w:bidi="ar-SA"/>
      </w:rPr>
    </w:lvl>
  </w:abstractNum>
  <w:abstractNum w:abstractNumId="7" w15:restartNumberingAfterBreak="0">
    <w:nsid w:val="5E8D08E7"/>
    <w:multiLevelType w:val="multilevel"/>
    <w:tmpl w:val="6762A922"/>
    <w:lvl w:ilvl="0">
      <w:start w:val="10"/>
      <w:numFmt w:val="decimal"/>
      <w:lvlText w:val="%1"/>
      <w:lvlJc w:val="left"/>
      <w:pPr>
        <w:ind w:left="830" w:hanging="411"/>
      </w:pPr>
      <w:rPr>
        <w:rFonts w:ascii="Calibri" w:eastAsia="Calibri" w:hAnsi="Calibri" w:cs="Calibri" w:hint="default"/>
        <w:b/>
        <w:bCs/>
        <w:i w:val="0"/>
        <w:iCs w:val="0"/>
        <w:spacing w:val="0"/>
        <w:w w:val="100"/>
        <w:sz w:val="22"/>
        <w:szCs w:val="22"/>
        <w:lang w:val="nl-NL" w:eastAsia="en-US" w:bidi="ar-SA"/>
      </w:rPr>
    </w:lvl>
    <w:lvl w:ilvl="1">
      <w:start w:val="1"/>
      <w:numFmt w:val="decimal"/>
      <w:lvlText w:val="%1.%2"/>
      <w:lvlJc w:val="left"/>
      <w:pPr>
        <w:ind w:left="706" w:hanging="442"/>
      </w:pPr>
      <w:rPr>
        <w:rFonts w:ascii="Calibri" w:eastAsia="Calibri" w:hAnsi="Calibri" w:cs="Calibri" w:hint="default"/>
        <w:b w:val="0"/>
        <w:bCs w:val="0"/>
        <w:i w:val="0"/>
        <w:iCs w:val="0"/>
        <w:spacing w:val="0"/>
        <w:w w:val="100"/>
        <w:sz w:val="22"/>
        <w:szCs w:val="22"/>
        <w:lang w:val="nl-NL" w:eastAsia="en-US" w:bidi="ar-SA"/>
      </w:rPr>
    </w:lvl>
    <w:lvl w:ilvl="2">
      <w:numFmt w:val="bullet"/>
      <w:lvlText w:val="•"/>
      <w:lvlJc w:val="left"/>
      <w:pPr>
        <w:ind w:left="1796" w:hanging="442"/>
      </w:pPr>
      <w:rPr>
        <w:rFonts w:hint="default"/>
        <w:lang w:val="nl-NL" w:eastAsia="en-US" w:bidi="ar-SA"/>
      </w:rPr>
    </w:lvl>
    <w:lvl w:ilvl="3">
      <w:numFmt w:val="bullet"/>
      <w:lvlText w:val="•"/>
      <w:lvlJc w:val="left"/>
      <w:pPr>
        <w:ind w:left="2752" w:hanging="442"/>
      </w:pPr>
      <w:rPr>
        <w:rFonts w:hint="default"/>
        <w:lang w:val="nl-NL" w:eastAsia="en-US" w:bidi="ar-SA"/>
      </w:rPr>
    </w:lvl>
    <w:lvl w:ilvl="4">
      <w:numFmt w:val="bullet"/>
      <w:lvlText w:val="•"/>
      <w:lvlJc w:val="left"/>
      <w:pPr>
        <w:ind w:left="3708" w:hanging="442"/>
      </w:pPr>
      <w:rPr>
        <w:rFonts w:hint="default"/>
        <w:lang w:val="nl-NL" w:eastAsia="en-US" w:bidi="ar-SA"/>
      </w:rPr>
    </w:lvl>
    <w:lvl w:ilvl="5">
      <w:numFmt w:val="bullet"/>
      <w:lvlText w:val="•"/>
      <w:lvlJc w:val="left"/>
      <w:pPr>
        <w:ind w:left="4665" w:hanging="442"/>
      </w:pPr>
      <w:rPr>
        <w:rFonts w:hint="default"/>
        <w:lang w:val="nl-NL" w:eastAsia="en-US" w:bidi="ar-SA"/>
      </w:rPr>
    </w:lvl>
    <w:lvl w:ilvl="6">
      <w:numFmt w:val="bullet"/>
      <w:lvlText w:val="•"/>
      <w:lvlJc w:val="left"/>
      <w:pPr>
        <w:ind w:left="5621" w:hanging="442"/>
      </w:pPr>
      <w:rPr>
        <w:rFonts w:hint="default"/>
        <w:lang w:val="nl-NL" w:eastAsia="en-US" w:bidi="ar-SA"/>
      </w:rPr>
    </w:lvl>
    <w:lvl w:ilvl="7">
      <w:numFmt w:val="bullet"/>
      <w:lvlText w:val="•"/>
      <w:lvlJc w:val="left"/>
      <w:pPr>
        <w:ind w:left="6577" w:hanging="442"/>
      </w:pPr>
      <w:rPr>
        <w:rFonts w:hint="default"/>
        <w:lang w:val="nl-NL" w:eastAsia="en-US" w:bidi="ar-SA"/>
      </w:rPr>
    </w:lvl>
    <w:lvl w:ilvl="8">
      <w:numFmt w:val="bullet"/>
      <w:lvlText w:val="•"/>
      <w:lvlJc w:val="left"/>
      <w:pPr>
        <w:ind w:left="7533" w:hanging="442"/>
      </w:pPr>
      <w:rPr>
        <w:rFonts w:hint="default"/>
        <w:lang w:val="nl-NL" w:eastAsia="en-US" w:bidi="ar-SA"/>
      </w:rPr>
    </w:lvl>
  </w:abstractNum>
  <w:abstractNum w:abstractNumId="8" w15:restartNumberingAfterBreak="0">
    <w:nsid w:val="6AAE63E0"/>
    <w:multiLevelType w:val="multilevel"/>
    <w:tmpl w:val="8708C7D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A630459"/>
    <w:multiLevelType w:val="hybridMultilevel"/>
    <w:tmpl w:val="09F42BF6"/>
    <w:lvl w:ilvl="0" w:tplc="0218AAB8">
      <w:start w:val="1"/>
      <w:numFmt w:val="decimal"/>
      <w:lvlText w:val="%1."/>
      <w:lvlJc w:val="left"/>
      <w:pPr>
        <w:ind w:left="278" w:hanging="219"/>
      </w:pPr>
      <w:rPr>
        <w:rFonts w:ascii="Calibri" w:eastAsia="Calibri" w:hAnsi="Calibri" w:cs="Calibri" w:hint="default"/>
        <w:b w:val="0"/>
        <w:bCs w:val="0"/>
        <w:i w:val="0"/>
        <w:iCs w:val="0"/>
        <w:spacing w:val="0"/>
        <w:w w:val="100"/>
        <w:sz w:val="22"/>
        <w:szCs w:val="22"/>
        <w:lang w:val="nl-NL" w:eastAsia="en-US" w:bidi="ar-SA"/>
      </w:rPr>
    </w:lvl>
    <w:lvl w:ilvl="1" w:tplc="EB4A3076">
      <w:numFmt w:val="bullet"/>
      <w:lvlText w:val="•"/>
      <w:lvlJc w:val="left"/>
      <w:pPr>
        <w:ind w:left="1196" w:hanging="219"/>
      </w:pPr>
      <w:rPr>
        <w:rFonts w:hint="default"/>
        <w:lang w:val="nl-NL" w:eastAsia="en-US" w:bidi="ar-SA"/>
      </w:rPr>
    </w:lvl>
    <w:lvl w:ilvl="2" w:tplc="6490495A">
      <w:numFmt w:val="bullet"/>
      <w:lvlText w:val="•"/>
      <w:lvlJc w:val="left"/>
      <w:pPr>
        <w:ind w:left="2113" w:hanging="219"/>
      </w:pPr>
      <w:rPr>
        <w:rFonts w:hint="default"/>
        <w:lang w:val="nl-NL" w:eastAsia="en-US" w:bidi="ar-SA"/>
      </w:rPr>
    </w:lvl>
    <w:lvl w:ilvl="3" w:tplc="892253BA">
      <w:numFmt w:val="bullet"/>
      <w:lvlText w:val="•"/>
      <w:lvlJc w:val="left"/>
      <w:pPr>
        <w:ind w:left="3029" w:hanging="219"/>
      </w:pPr>
      <w:rPr>
        <w:rFonts w:hint="default"/>
        <w:lang w:val="nl-NL" w:eastAsia="en-US" w:bidi="ar-SA"/>
      </w:rPr>
    </w:lvl>
    <w:lvl w:ilvl="4" w:tplc="8F8099A8">
      <w:numFmt w:val="bullet"/>
      <w:lvlText w:val="•"/>
      <w:lvlJc w:val="left"/>
      <w:pPr>
        <w:ind w:left="3946" w:hanging="219"/>
      </w:pPr>
      <w:rPr>
        <w:rFonts w:hint="default"/>
        <w:lang w:val="nl-NL" w:eastAsia="en-US" w:bidi="ar-SA"/>
      </w:rPr>
    </w:lvl>
    <w:lvl w:ilvl="5" w:tplc="4E662266">
      <w:numFmt w:val="bullet"/>
      <w:lvlText w:val="•"/>
      <w:lvlJc w:val="left"/>
      <w:pPr>
        <w:ind w:left="4863" w:hanging="219"/>
      </w:pPr>
      <w:rPr>
        <w:rFonts w:hint="default"/>
        <w:lang w:val="nl-NL" w:eastAsia="en-US" w:bidi="ar-SA"/>
      </w:rPr>
    </w:lvl>
    <w:lvl w:ilvl="6" w:tplc="E7568AD4">
      <w:numFmt w:val="bullet"/>
      <w:lvlText w:val="•"/>
      <w:lvlJc w:val="left"/>
      <w:pPr>
        <w:ind w:left="5779" w:hanging="219"/>
      </w:pPr>
      <w:rPr>
        <w:rFonts w:hint="default"/>
        <w:lang w:val="nl-NL" w:eastAsia="en-US" w:bidi="ar-SA"/>
      </w:rPr>
    </w:lvl>
    <w:lvl w:ilvl="7" w:tplc="88FA63D6">
      <w:numFmt w:val="bullet"/>
      <w:lvlText w:val="•"/>
      <w:lvlJc w:val="left"/>
      <w:pPr>
        <w:ind w:left="6696" w:hanging="219"/>
      </w:pPr>
      <w:rPr>
        <w:rFonts w:hint="default"/>
        <w:lang w:val="nl-NL" w:eastAsia="en-US" w:bidi="ar-SA"/>
      </w:rPr>
    </w:lvl>
    <w:lvl w:ilvl="8" w:tplc="78189A50">
      <w:numFmt w:val="bullet"/>
      <w:lvlText w:val="•"/>
      <w:lvlJc w:val="left"/>
      <w:pPr>
        <w:ind w:left="7613" w:hanging="219"/>
      </w:pPr>
      <w:rPr>
        <w:rFonts w:hint="default"/>
        <w:lang w:val="nl-NL" w:eastAsia="en-US" w:bidi="ar-SA"/>
      </w:rPr>
    </w:lvl>
  </w:abstractNum>
  <w:num w:numId="1" w16cid:durableId="716397086">
    <w:abstractNumId w:val="4"/>
  </w:num>
  <w:num w:numId="2" w16cid:durableId="2106875034">
    <w:abstractNumId w:val="7"/>
  </w:num>
  <w:num w:numId="3" w16cid:durableId="1041248949">
    <w:abstractNumId w:val="3"/>
  </w:num>
  <w:num w:numId="4" w16cid:durableId="2080983999">
    <w:abstractNumId w:val="5"/>
  </w:num>
  <w:num w:numId="5" w16cid:durableId="1935432911">
    <w:abstractNumId w:val="0"/>
  </w:num>
  <w:num w:numId="6" w16cid:durableId="1168983632">
    <w:abstractNumId w:val="6"/>
  </w:num>
  <w:num w:numId="7" w16cid:durableId="573273766">
    <w:abstractNumId w:val="9"/>
  </w:num>
  <w:num w:numId="8" w16cid:durableId="128087307">
    <w:abstractNumId w:val="2"/>
  </w:num>
  <w:num w:numId="9" w16cid:durableId="275254430">
    <w:abstractNumId w:val="1"/>
  </w:num>
  <w:num w:numId="10" w16cid:durableId="886530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F7"/>
    <w:rsid w:val="00001EC2"/>
    <w:rsid w:val="000070FD"/>
    <w:rsid w:val="00010FFB"/>
    <w:rsid w:val="00012C3F"/>
    <w:rsid w:val="00016164"/>
    <w:rsid w:val="000240DB"/>
    <w:rsid w:val="0002499F"/>
    <w:rsid w:val="00024BCF"/>
    <w:rsid w:val="0002534D"/>
    <w:rsid w:val="00025BC1"/>
    <w:rsid w:val="0002783A"/>
    <w:rsid w:val="0003562C"/>
    <w:rsid w:val="00036585"/>
    <w:rsid w:val="00041904"/>
    <w:rsid w:val="00043CB1"/>
    <w:rsid w:val="000447AF"/>
    <w:rsid w:val="000453EB"/>
    <w:rsid w:val="0004654E"/>
    <w:rsid w:val="0005080D"/>
    <w:rsid w:val="00053CF8"/>
    <w:rsid w:val="00054F86"/>
    <w:rsid w:val="0006013F"/>
    <w:rsid w:val="00061CCF"/>
    <w:rsid w:val="000701A5"/>
    <w:rsid w:val="00076F04"/>
    <w:rsid w:val="000802EE"/>
    <w:rsid w:val="00081ACD"/>
    <w:rsid w:val="00086856"/>
    <w:rsid w:val="00097ED6"/>
    <w:rsid w:val="000A0FF7"/>
    <w:rsid w:val="000A32FF"/>
    <w:rsid w:val="000A5DB2"/>
    <w:rsid w:val="000B1AC9"/>
    <w:rsid w:val="000B6885"/>
    <w:rsid w:val="000B6C13"/>
    <w:rsid w:val="000B77A4"/>
    <w:rsid w:val="000C24A2"/>
    <w:rsid w:val="000C29CF"/>
    <w:rsid w:val="000C3E78"/>
    <w:rsid w:val="000D0756"/>
    <w:rsid w:val="000D0EDE"/>
    <w:rsid w:val="000D247A"/>
    <w:rsid w:val="000D2E7B"/>
    <w:rsid w:val="000D4FBC"/>
    <w:rsid w:val="000D565F"/>
    <w:rsid w:val="000D6E51"/>
    <w:rsid w:val="000D7134"/>
    <w:rsid w:val="000E14F0"/>
    <w:rsid w:val="000E7F5B"/>
    <w:rsid w:val="000F028F"/>
    <w:rsid w:val="000F539C"/>
    <w:rsid w:val="000F54BA"/>
    <w:rsid w:val="000F766B"/>
    <w:rsid w:val="0010560A"/>
    <w:rsid w:val="00106AEE"/>
    <w:rsid w:val="00107736"/>
    <w:rsid w:val="00111BCD"/>
    <w:rsid w:val="001122B3"/>
    <w:rsid w:val="00112AAF"/>
    <w:rsid w:val="00112C15"/>
    <w:rsid w:val="00113F0F"/>
    <w:rsid w:val="00114055"/>
    <w:rsid w:val="00114C46"/>
    <w:rsid w:val="001151A5"/>
    <w:rsid w:val="00116CD6"/>
    <w:rsid w:val="00117289"/>
    <w:rsid w:val="00121726"/>
    <w:rsid w:val="0012553D"/>
    <w:rsid w:val="0012776C"/>
    <w:rsid w:val="001278A8"/>
    <w:rsid w:val="00133361"/>
    <w:rsid w:val="00136842"/>
    <w:rsid w:val="001621A2"/>
    <w:rsid w:val="001637F2"/>
    <w:rsid w:val="00164BBA"/>
    <w:rsid w:val="00165F80"/>
    <w:rsid w:val="00171E6C"/>
    <w:rsid w:val="00174E07"/>
    <w:rsid w:val="00177C04"/>
    <w:rsid w:val="0018006C"/>
    <w:rsid w:val="00185CC2"/>
    <w:rsid w:val="0019567D"/>
    <w:rsid w:val="001A29EC"/>
    <w:rsid w:val="001A64AA"/>
    <w:rsid w:val="001B1AE0"/>
    <w:rsid w:val="001B74EA"/>
    <w:rsid w:val="001C0229"/>
    <w:rsid w:val="001C5390"/>
    <w:rsid w:val="001C60A0"/>
    <w:rsid w:val="001C6558"/>
    <w:rsid w:val="001C7219"/>
    <w:rsid w:val="001D4EBE"/>
    <w:rsid w:val="001D5204"/>
    <w:rsid w:val="001D59F7"/>
    <w:rsid w:val="001D747B"/>
    <w:rsid w:val="001E3410"/>
    <w:rsid w:val="001E468E"/>
    <w:rsid w:val="001F2733"/>
    <w:rsid w:val="001F4D4A"/>
    <w:rsid w:val="001F53C4"/>
    <w:rsid w:val="001F544B"/>
    <w:rsid w:val="002000CC"/>
    <w:rsid w:val="0020028D"/>
    <w:rsid w:val="00202620"/>
    <w:rsid w:val="00204407"/>
    <w:rsid w:val="002060E9"/>
    <w:rsid w:val="00212E58"/>
    <w:rsid w:val="0022087F"/>
    <w:rsid w:val="0022139A"/>
    <w:rsid w:val="00226B77"/>
    <w:rsid w:val="00230D48"/>
    <w:rsid w:val="00231231"/>
    <w:rsid w:val="00231C13"/>
    <w:rsid w:val="00231EDA"/>
    <w:rsid w:val="00237877"/>
    <w:rsid w:val="00241DA1"/>
    <w:rsid w:val="00241DE1"/>
    <w:rsid w:val="00247554"/>
    <w:rsid w:val="00253BF4"/>
    <w:rsid w:val="00253F0F"/>
    <w:rsid w:val="00254028"/>
    <w:rsid w:val="002566D8"/>
    <w:rsid w:val="002625E0"/>
    <w:rsid w:val="00263B6D"/>
    <w:rsid w:val="0029005B"/>
    <w:rsid w:val="00290060"/>
    <w:rsid w:val="00291D28"/>
    <w:rsid w:val="002A527E"/>
    <w:rsid w:val="002A5826"/>
    <w:rsid w:val="002A742A"/>
    <w:rsid w:val="002B7326"/>
    <w:rsid w:val="002D0845"/>
    <w:rsid w:val="002E2AEB"/>
    <w:rsid w:val="002E57FA"/>
    <w:rsid w:val="002F2DCA"/>
    <w:rsid w:val="00301927"/>
    <w:rsid w:val="003100EA"/>
    <w:rsid w:val="00314E1A"/>
    <w:rsid w:val="00316332"/>
    <w:rsid w:val="00317562"/>
    <w:rsid w:val="0032295B"/>
    <w:rsid w:val="00324D2B"/>
    <w:rsid w:val="003408CD"/>
    <w:rsid w:val="003415A3"/>
    <w:rsid w:val="00346DEF"/>
    <w:rsid w:val="003636D4"/>
    <w:rsid w:val="00364112"/>
    <w:rsid w:val="0037572A"/>
    <w:rsid w:val="00376B76"/>
    <w:rsid w:val="00392F7F"/>
    <w:rsid w:val="00395EB8"/>
    <w:rsid w:val="003A255B"/>
    <w:rsid w:val="003A56A2"/>
    <w:rsid w:val="003A5900"/>
    <w:rsid w:val="003B390A"/>
    <w:rsid w:val="003B4ACC"/>
    <w:rsid w:val="003C0F02"/>
    <w:rsid w:val="003C6481"/>
    <w:rsid w:val="003C7EA6"/>
    <w:rsid w:val="003D167F"/>
    <w:rsid w:val="003D1FEB"/>
    <w:rsid w:val="003D2D96"/>
    <w:rsid w:val="003D6AC0"/>
    <w:rsid w:val="003F2D35"/>
    <w:rsid w:val="003F31FF"/>
    <w:rsid w:val="003F4685"/>
    <w:rsid w:val="003F5EF8"/>
    <w:rsid w:val="003F7E52"/>
    <w:rsid w:val="00400F8E"/>
    <w:rsid w:val="004049DA"/>
    <w:rsid w:val="00413559"/>
    <w:rsid w:val="00413588"/>
    <w:rsid w:val="0041381F"/>
    <w:rsid w:val="00417329"/>
    <w:rsid w:val="00426AB3"/>
    <w:rsid w:val="004426F9"/>
    <w:rsid w:val="00443F69"/>
    <w:rsid w:val="0044469F"/>
    <w:rsid w:val="004478F7"/>
    <w:rsid w:val="00453AD6"/>
    <w:rsid w:val="00454513"/>
    <w:rsid w:val="00462FCA"/>
    <w:rsid w:val="00464538"/>
    <w:rsid w:val="00464C71"/>
    <w:rsid w:val="00467529"/>
    <w:rsid w:val="0047027F"/>
    <w:rsid w:val="00481708"/>
    <w:rsid w:val="00481BEA"/>
    <w:rsid w:val="004920E1"/>
    <w:rsid w:val="00494588"/>
    <w:rsid w:val="004A10AA"/>
    <w:rsid w:val="004A4908"/>
    <w:rsid w:val="004B114D"/>
    <w:rsid w:val="004B3C5D"/>
    <w:rsid w:val="004B6CE4"/>
    <w:rsid w:val="004C14EC"/>
    <w:rsid w:val="004C3133"/>
    <w:rsid w:val="004D1773"/>
    <w:rsid w:val="004D3516"/>
    <w:rsid w:val="004D700A"/>
    <w:rsid w:val="004E430B"/>
    <w:rsid w:val="004E5EE6"/>
    <w:rsid w:val="004E79BC"/>
    <w:rsid w:val="004F006E"/>
    <w:rsid w:val="004F33B5"/>
    <w:rsid w:val="004F6862"/>
    <w:rsid w:val="005132D4"/>
    <w:rsid w:val="00516A6E"/>
    <w:rsid w:val="00520363"/>
    <w:rsid w:val="00532F46"/>
    <w:rsid w:val="0053641D"/>
    <w:rsid w:val="005367BC"/>
    <w:rsid w:val="005400AA"/>
    <w:rsid w:val="005417A6"/>
    <w:rsid w:val="0054305E"/>
    <w:rsid w:val="0054553B"/>
    <w:rsid w:val="00545CC6"/>
    <w:rsid w:val="00552E57"/>
    <w:rsid w:val="005662D0"/>
    <w:rsid w:val="00573408"/>
    <w:rsid w:val="00576BDD"/>
    <w:rsid w:val="00584FF8"/>
    <w:rsid w:val="005875CB"/>
    <w:rsid w:val="00587D4B"/>
    <w:rsid w:val="00591EBB"/>
    <w:rsid w:val="00595D43"/>
    <w:rsid w:val="005969FC"/>
    <w:rsid w:val="0059737A"/>
    <w:rsid w:val="00597C34"/>
    <w:rsid w:val="005A5B7F"/>
    <w:rsid w:val="005B2C18"/>
    <w:rsid w:val="005B3244"/>
    <w:rsid w:val="005B3AB0"/>
    <w:rsid w:val="005B4A8B"/>
    <w:rsid w:val="005C12EF"/>
    <w:rsid w:val="005C1C44"/>
    <w:rsid w:val="005C392D"/>
    <w:rsid w:val="005C4AD6"/>
    <w:rsid w:val="005C63C6"/>
    <w:rsid w:val="005D2E1B"/>
    <w:rsid w:val="005D4AA4"/>
    <w:rsid w:val="005D64EF"/>
    <w:rsid w:val="005D6CED"/>
    <w:rsid w:val="005F12FC"/>
    <w:rsid w:val="005F5720"/>
    <w:rsid w:val="005F5C1C"/>
    <w:rsid w:val="00600307"/>
    <w:rsid w:val="006014A6"/>
    <w:rsid w:val="00606FEE"/>
    <w:rsid w:val="00610F8F"/>
    <w:rsid w:val="0061177E"/>
    <w:rsid w:val="00622051"/>
    <w:rsid w:val="00622150"/>
    <w:rsid w:val="00626F35"/>
    <w:rsid w:val="00627FE1"/>
    <w:rsid w:val="00631815"/>
    <w:rsid w:val="00634516"/>
    <w:rsid w:val="006355D4"/>
    <w:rsid w:val="00646995"/>
    <w:rsid w:val="00646E45"/>
    <w:rsid w:val="00655363"/>
    <w:rsid w:val="0066060A"/>
    <w:rsid w:val="006629C8"/>
    <w:rsid w:val="00666A34"/>
    <w:rsid w:val="00671D44"/>
    <w:rsid w:val="006754C3"/>
    <w:rsid w:val="00677849"/>
    <w:rsid w:val="006811EB"/>
    <w:rsid w:val="00681851"/>
    <w:rsid w:val="006871F7"/>
    <w:rsid w:val="00690844"/>
    <w:rsid w:val="006A1B89"/>
    <w:rsid w:val="006A279B"/>
    <w:rsid w:val="006A3E95"/>
    <w:rsid w:val="006B22DD"/>
    <w:rsid w:val="006B4ACB"/>
    <w:rsid w:val="006C28DE"/>
    <w:rsid w:val="006C2BE5"/>
    <w:rsid w:val="006C3557"/>
    <w:rsid w:val="006C52C2"/>
    <w:rsid w:val="006C77F9"/>
    <w:rsid w:val="006D27BC"/>
    <w:rsid w:val="006D4411"/>
    <w:rsid w:val="006D75A0"/>
    <w:rsid w:val="006E58CD"/>
    <w:rsid w:val="006E738E"/>
    <w:rsid w:val="006F4548"/>
    <w:rsid w:val="006F7F8E"/>
    <w:rsid w:val="00700ABF"/>
    <w:rsid w:val="00720566"/>
    <w:rsid w:val="007218CF"/>
    <w:rsid w:val="00725178"/>
    <w:rsid w:val="00741661"/>
    <w:rsid w:val="00743F38"/>
    <w:rsid w:val="00746C72"/>
    <w:rsid w:val="00747086"/>
    <w:rsid w:val="00750AB8"/>
    <w:rsid w:val="00752141"/>
    <w:rsid w:val="00752EF1"/>
    <w:rsid w:val="00755316"/>
    <w:rsid w:val="00755709"/>
    <w:rsid w:val="00760503"/>
    <w:rsid w:val="00761F96"/>
    <w:rsid w:val="00775AE9"/>
    <w:rsid w:val="007770EE"/>
    <w:rsid w:val="0078489D"/>
    <w:rsid w:val="00785403"/>
    <w:rsid w:val="007873A8"/>
    <w:rsid w:val="007936E9"/>
    <w:rsid w:val="007A794E"/>
    <w:rsid w:val="007B00CE"/>
    <w:rsid w:val="007C151F"/>
    <w:rsid w:val="007C5EA2"/>
    <w:rsid w:val="007C6707"/>
    <w:rsid w:val="007D26F9"/>
    <w:rsid w:val="007D2B42"/>
    <w:rsid w:val="007D552A"/>
    <w:rsid w:val="007D7B2C"/>
    <w:rsid w:val="007F11AC"/>
    <w:rsid w:val="007F3799"/>
    <w:rsid w:val="007F70D9"/>
    <w:rsid w:val="007F770C"/>
    <w:rsid w:val="0080221D"/>
    <w:rsid w:val="0080490F"/>
    <w:rsid w:val="00804EED"/>
    <w:rsid w:val="0080775B"/>
    <w:rsid w:val="00810788"/>
    <w:rsid w:val="008146A8"/>
    <w:rsid w:val="00831F6D"/>
    <w:rsid w:val="008410BE"/>
    <w:rsid w:val="00843112"/>
    <w:rsid w:val="00843A46"/>
    <w:rsid w:val="00853723"/>
    <w:rsid w:val="008545AB"/>
    <w:rsid w:val="00855569"/>
    <w:rsid w:val="008562A1"/>
    <w:rsid w:val="0086108A"/>
    <w:rsid w:val="00862AFB"/>
    <w:rsid w:val="00862B7B"/>
    <w:rsid w:val="00863273"/>
    <w:rsid w:val="008657D8"/>
    <w:rsid w:val="00871CD0"/>
    <w:rsid w:val="0087288D"/>
    <w:rsid w:val="0087725E"/>
    <w:rsid w:val="00882F5D"/>
    <w:rsid w:val="008A4C99"/>
    <w:rsid w:val="008B248B"/>
    <w:rsid w:val="008B3CEF"/>
    <w:rsid w:val="008B4BC5"/>
    <w:rsid w:val="008C2997"/>
    <w:rsid w:val="008C42C3"/>
    <w:rsid w:val="008C6C66"/>
    <w:rsid w:val="008D2C28"/>
    <w:rsid w:val="008E4EC7"/>
    <w:rsid w:val="008E7BD6"/>
    <w:rsid w:val="008F0B04"/>
    <w:rsid w:val="008F5E23"/>
    <w:rsid w:val="008F67FF"/>
    <w:rsid w:val="008F68E1"/>
    <w:rsid w:val="00902345"/>
    <w:rsid w:val="00903454"/>
    <w:rsid w:val="00904F20"/>
    <w:rsid w:val="00905E22"/>
    <w:rsid w:val="00906EAD"/>
    <w:rsid w:val="0091128A"/>
    <w:rsid w:val="009123AB"/>
    <w:rsid w:val="00920639"/>
    <w:rsid w:val="009211A6"/>
    <w:rsid w:val="0092463E"/>
    <w:rsid w:val="009247F9"/>
    <w:rsid w:val="00925207"/>
    <w:rsid w:val="0092784C"/>
    <w:rsid w:val="009278E4"/>
    <w:rsid w:val="00930F1F"/>
    <w:rsid w:val="0093373A"/>
    <w:rsid w:val="00943718"/>
    <w:rsid w:val="009534BB"/>
    <w:rsid w:val="00956147"/>
    <w:rsid w:val="00960678"/>
    <w:rsid w:val="00965B5C"/>
    <w:rsid w:val="00973AB2"/>
    <w:rsid w:val="009826F4"/>
    <w:rsid w:val="00985DE4"/>
    <w:rsid w:val="009907F5"/>
    <w:rsid w:val="00991E48"/>
    <w:rsid w:val="00992F3E"/>
    <w:rsid w:val="009A5192"/>
    <w:rsid w:val="009C1F7A"/>
    <w:rsid w:val="009C29BA"/>
    <w:rsid w:val="009C2C87"/>
    <w:rsid w:val="009C317B"/>
    <w:rsid w:val="009E0368"/>
    <w:rsid w:val="009E1295"/>
    <w:rsid w:val="009E21EF"/>
    <w:rsid w:val="009E2F3D"/>
    <w:rsid w:val="009F3FA0"/>
    <w:rsid w:val="009F4A54"/>
    <w:rsid w:val="00A01DFE"/>
    <w:rsid w:val="00A033C7"/>
    <w:rsid w:val="00A04793"/>
    <w:rsid w:val="00A063DF"/>
    <w:rsid w:val="00A06610"/>
    <w:rsid w:val="00A11DDE"/>
    <w:rsid w:val="00A1276D"/>
    <w:rsid w:val="00A12D86"/>
    <w:rsid w:val="00A14FAB"/>
    <w:rsid w:val="00A20BD0"/>
    <w:rsid w:val="00A25C6C"/>
    <w:rsid w:val="00A27340"/>
    <w:rsid w:val="00A32F95"/>
    <w:rsid w:val="00A33D8B"/>
    <w:rsid w:val="00A34C69"/>
    <w:rsid w:val="00A34C98"/>
    <w:rsid w:val="00A35862"/>
    <w:rsid w:val="00A40BFB"/>
    <w:rsid w:val="00A451BC"/>
    <w:rsid w:val="00A576BA"/>
    <w:rsid w:val="00A6005A"/>
    <w:rsid w:val="00A65513"/>
    <w:rsid w:val="00A73134"/>
    <w:rsid w:val="00A76E00"/>
    <w:rsid w:val="00A91195"/>
    <w:rsid w:val="00A94589"/>
    <w:rsid w:val="00A96874"/>
    <w:rsid w:val="00A9768F"/>
    <w:rsid w:val="00AA31E1"/>
    <w:rsid w:val="00AC06D6"/>
    <w:rsid w:val="00AC3419"/>
    <w:rsid w:val="00AC3BEB"/>
    <w:rsid w:val="00AD0253"/>
    <w:rsid w:val="00AD1BE3"/>
    <w:rsid w:val="00AD1ED3"/>
    <w:rsid w:val="00AD6E60"/>
    <w:rsid w:val="00AE17E1"/>
    <w:rsid w:val="00AE3EF6"/>
    <w:rsid w:val="00AE3FF7"/>
    <w:rsid w:val="00AF14D8"/>
    <w:rsid w:val="00AF3462"/>
    <w:rsid w:val="00AF7873"/>
    <w:rsid w:val="00B10961"/>
    <w:rsid w:val="00B16954"/>
    <w:rsid w:val="00B17389"/>
    <w:rsid w:val="00B24B5B"/>
    <w:rsid w:val="00B252CE"/>
    <w:rsid w:val="00B262A0"/>
    <w:rsid w:val="00B402FD"/>
    <w:rsid w:val="00B42DD8"/>
    <w:rsid w:val="00B42F14"/>
    <w:rsid w:val="00B4498E"/>
    <w:rsid w:val="00B46216"/>
    <w:rsid w:val="00B46C37"/>
    <w:rsid w:val="00B5305D"/>
    <w:rsid w:val="00B57895"/>
    <w:rsid w:val="00B657A9"/>
    <w:rsid w:val="00B65875"/>
    <w:rsid w:val="00B75204"/>
    <w:rsid w:val="00B778F8"/>
    <w:rsid w:val="00B807B0"/>
    <w:rsid w:val="00B90F5E"/>
    <w:rsid w:val="00B940C4"/>
    <w:rsid w:val="00B94926"/>
    <w:rsid w:val="00B967C8"/>
    <w:rsid w:val="00B96C9C"/>
    <w:rsid w:val="00BA25F1"/>
    <w:rsid w:val="00BA548E"/>
    <w:rsid w:val="00BB3C79"/>
    <w:rsid w:val="00BC3175"/>
    <w:rsid w:val="00BC35B0"/>
    <w:rsid w:val="00BC4213"/>
    <w:rsid w:val="00BD4895"/>
    <w:rsid w:val="00BE034A"/>
    <w:rsid w:val="00BE5D4F"/>
    <w:rsid w:val="00BE5E82"/>
    <w:rsid w:val="00BF6F0D"/>
    <w:rsid w:val="00C0338D"/>
    <w:rsid w:val="00C07D30"/>
    <w:rsid w:val="00C11CA6"/>
    <w:rsid w:val="00C123CD"/>
    <w:rsid w:val="00C13263"/>
    <w:rsid w:val="00C16DF8"/>
    <w:rsid w:val="00C1766F"/>
    <w:rsid w:val="00C17B1E"/>
    <w:rsid w:val="00C22829"/>
    <w:rsid w:val="00C22937"/>
    <w:rsid w:val="00C25E0B"/>
    <w:rsid w:val="00C26937"/>
    <w:rsid w:val="00C27F0C"/>
    <w:rsid w:val="00C3073A"/>
    <w:rsid w:val="00C4155A"/>
    <w:rsid w:val="00C41646"/>
    <w:rsid w:val="00C51AC3"/>
    <w:rsid w:val="00C530A0"/>
    <w:rsid w:val="00C60C23"/>
    <w:rsid w:val="00C6680C"/>
    <w:rsid w:val="00C66AA8"/>
    <w:rsid w:val="00C73099"/>
    <w:rsid w:val="00C73E39"/>
    <w:rsid w:val="00C85001"/>
    <w:rsid w:val="00C86E2D"/>
    <w:rsid w:val="00C87406"/>
    <w:rsid w:val="00C87B96"/>
    <w:rsid w:val="00C931F2"/>
    <w:rsid w:val="00C9384C"/>
    <w:rsid w:val="00C93CFD"/>
    <w:rsid w:val="00CA7F0E"/>
    <w:rsid w:val="00CA7FAB"/>
    <w:rsid w:val="00CC5D85"/>
    <w:rsid w:val="00CC7B70"/>
    <w:rsid w:val="00CD4365"/>
    <w:rsid w:val="00CD453D"/>
    <w:rsid w:val="00CE12E8"/>
    <w:rsid w:val="00CE3C5F"/>
    <w:rsid w:val="00CE4CB1"/>
    <w:rsid w:val="00CE5FEC"/>
    <w:rsid w:val="00CF198D"/>
    <w:rsid w:val="00CF600A"/>
    <w:rsid w:val="00CF76CD"/>
    <w:rsid w:val="00D07590"/>
    <w:rsid w:val="00D15A7E"/>
    <w:rsid w:val="00D21038"/>
    <w:rsid w:val="00D21604"/>
    <w:rsid w:val="00D23EAE"/>
    <w:rsid w:val="00D43CE9"/>
    <w:rsid w:val="00D455B0"/>
    <w:rsid w:val="00D50227"/>
    <w:rsid w:val="00D537A4"/>
    <w:rsid w:val="00D57EA9"/>
    <w:rsid w:val="00D646CB"/>
    <w:rsid w:val="00D75190"/>
    <w:rsid w:val="00D80D10"/>
    <w:rsid w:val="00D85EE5"/>
    <w:rsid w:val="00DA0F77"/>
    <w:rsid w:val="00DA138A"/>
    <w:rsid w:val="00DA1E8E"/>
    <w:rsid w:val="00DA1FD1"/>
    <w:rsid w:val="00DB1166"/>
    <w:rsid w:val="00DB20DA"/>
    <w:rsid w:val="00DD036A"/>
    <w:rsid w:val="00DD132D"/>
    <w:rsid w:val="00DD32D0"/>
    <w:rsid w:val="00DE0033"/>
    <w:rsid w:val="00DE2463"/>
    <w:rsid w:val="00DE3E29"/>
    <w:rsid w:val="00DE54B3"/>
    <w:rsid w:val="00DF17B9"/>
    <w:rsid w:val="00DF18FD"/>
    <w:rsid w:val="00DF1D48"/>
    <w:rsid w:val="00E02525"/>
    <w:rsid w:val="00E027BA"/>
    <w:rsid w:val="00E037F2"/>
    <w:rsid w:val="00E1217D"/>
    <w:rsid w:val="00E14BDE"/>
    <w:rsid w:val="00E176E5"/>
    <w:rsid w:val="00E2132E"/>
    <w:rsid w:val="00E21C4E"/>
    <w:rsid w:val="00E26E80"/>
    <w:rsid w:val="00E30C8C"/>
    <w:rsid w:val="00E43E03"/>
    <w:rsid w:val="00E55798"/>
    <w:rsid w:val="00E576E3"/>
    <w:rsid w:val="00E57AFB"/>
    <w:rsid w:val="00E63EDB"/>
    <w:rsid w:val="00E64F12"/>
    <w:rsid w:val="00E6549A"/>
    <w:rsid w:val="00E65DC0"/>
    <w:rsid w:val="00E7107C"/>
    <w:rsid w:val="00E735A8"/>
    <w:rsid w:val="00E74518"/>
    <w:rsid w:val="00E76E56"/>
    <w:rsid w:val="00E86417"/>
    <w:rsid w:val="00E87157"/>
    <w:rsid w:val="00E92B5B"/>
    <w:rsid w:val="00E95FDD"/>
    <w:rsid w:val="00EA02C5"/>
    <w:rsid w:val="00EA24FA"/>
    <w:rsid w:val="00EA595A"/>
    <w:rsid w:val="00EA73A3"/>
    <w:rsid w:val="00EC6BEB"/>
    <w:rsid w:val="00ED452D"/>
    <w:rsid w:val="00ED501E"/>
    <w:rsid w:val="00ED7E30"/>
    <w:rsid w:val="00EE4F11"/>
    <w:rsid w:val="00EE6B7C"/>
    <w:rsid w:val="00F0074E"/>
    <w:rsid w:val="00F05110"/>
    <w:rsid w:val="00F119E1"/>
    <w:rsid w:val="00F221D9"/>
    <w:rsid w:val="00F2726F"/>
    <w:rsid w:val="00F27883"/>
    <w:rsid w:val="00F31C53"/>
    <w:rsid w:val="00F31F03"/>
    <w:rsid w:val="00F32D9C"/>
    <w:rsid w:val="00F357F4"/>
    <w:rsid w:val="00F36D61"/>
    <w:rsid w:val="00F471D4"/>
    <w:rsid w:val="00F47245"/>
    <w:rsid w:val="00F50502"/>
    <w:rsid w:val="00F516C9"/>
    <w:rsid w:val="00F558D0"/>
    <w:rsid w:val="00F60203"/>
    <w:rsid w:val="00F62E97"/>
    <w:rsid w:val="00F64117"/>
    <w:rsid w:val="00F6747D"/>
    <w:rsid w:val="00F71E4D"/>
    <w:rsid w:val="00F75BC8"/>
    <w:rsid w:val="00F92E33"/>
    <w:rsid w:val="00FA154A"/>
    <w:rsid w:val="00FA1C08"/>
    <w:rsid w:val="00FA6D86"/>
    <w:rsid w:val="00FB1F2E"/>
    <w:rsid w:val="00FC2F89"/>
    <w:rsid w:val="00FC370B"/>
    <w:rsid w:val="00FC5F89"/>
    <w:rsid w:val="00FC5F99"/>
    <w:rsid w:val="00FC6A3F"/>
    <w:rsid w:val="00FD4A04"/>
    <w:rsid w:val="00FD751F"/>
    <w:rsid w:val="00FE0232"/>
    <w:rsid w:val="00FE28C4"/>
    <w:rsid w:val="00FE540F"/>
    <w:rsid w:val="00FF3742"/>
    <w:rsid w:val="00FF4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A27C2"/>
  <w15:docId w15:val="{7D43A69C-95BF-4724-90AB-04758752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spacing w:after="120" w:line="254" w:lineRule="auto"/>
    </w:pPr>
    <w:rPr>
      <w:rFonts w:ascii="Calibri Light" w:eastAsia="Calibri" w:hAnsi="Calibri Light" w:cs="Calibri"/>
      <w:color w:val="000000"/>
      <w:lang w:val="nl-NL"/>
    </w:rPr>
  </w:style>
  <w:style w:type="paragraph" w:styleId="Kop1">
    <w:name w:val="heading 1"/>
    <w:basedOn w:val="Standaard"/>
    <w:link w:val="Kop1Char"/>
    <w:uiPriority w:val="9"/>
    <w:qFormat/>
    <w:pPr>
      <w:keepNext/>
      <w:spacing w:before="240"/>
      <w:outlineLvl w:val="0"/>
    </w:pPr>
    <w:rPr>
      <w:b/>
      <w:bCs/>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263B6D"/>
    <w:pPr>
      <w:tabs>
        <w:tab w:val="center" w:pos="4536"/>
        <w:tab w:val="right" w:pos="9072"/>
      </w:tabs>
    </w:pPr>
  </w:style>
  <w:style w:type="character" w:customStyle="1" w:styleId="KoptekstChar">
    <w:name w:val="Koptekst Char"/>
    <w:basedOn w:val="Standaardalinea-lettertype"/>
    <w:link w:val="Koptekst"/>
    <w:uiPriority w:val="99"/>
    <w:rsid w:val="00263B6D"/>
    <w:rPr>
      <w:rFonts w:ascii="Calibri" w:eastAsia="Calibri" w:hAnsi="Calibri" w:cs="Calibri"/>
      <w:lang w:val="nl-NL"/>
    </w:rPr>
  </w:style>
  <w:style w:type="paragraph" w:styleId="Voettekst">
    <w:name w:val="footer"/>
    <w:basedOn w:val="Standaard"/>
    <w:link w:val="VoettekstChar"/>
    <w:uiPriority w:val="99"/>
    <w:unhideWhenUsed/>
    <w:rsid w:val="00263B6D"/>
    <w:pPr>
      <w:tabs>
        <w:tab w:val="center" w:pos="4536"/>
        <w:tab w:val="right" w:pos="9072"/>
      </w:tabs>
    </w:pPr>
  </w:style>
  <w:style w:type="character" w:customStyle="1" w:styleId="VoettekstChar">
    <w:name w:val="Voettekst Char"/>
    <w:basedOn w:val="Standaardalinea-lettertype"/>
    <w:link w:val="Voettekst"/>
    <w:uiPriority w:val="99"/>
    <w:rsid w:val="00263B6D"/>
    <w:rPr>
      <w:rFonts w:ascii="Calibri" w:eastAsia="Calibri" w:hAnsi="Calibri" w:cs="Calibri"/>
      <w:lang w:val="nl-NL"/>
    </w:rPr>
  </w:style>
  <w:style w:type="table" w:customStyle="1" w:styleId="TableNormal1">
    <w:name w:val="Table Normal1"/>
    <w:uiPriority w:val="2"/>
    <w:semiHidden/>
    <w:unhideWhenUsed/>
    <w:qFormat/>
    <w:rsid w:val="000D565F"/>
    <w:tblPr>
      <w:tblInd w:w="0" w:type="dxa"/>
      <w:tblCellMar>
        <w:top w:w="0" w:type="dxa"/>
        <w:left w:w="0" w:type="dxa"/>
        <w:bottom w:w="0" w:type="dxa"/>
        <w:right w:w="0" w:type="dxa"/>
      </w:tblCellMar>
    </w:tblPr>
  </w:style>
  <w:style w:type="paragraph" w:styleId="Geenafstand">
    <w:name w:val="No Spacing"/>
    <w:uiPriority w:val="1"/>
    <w:qFormat/>
    <w:rsid w:val="006355D4"/>
    <w:rPr>
      <w:rFonts w:ascii="Calibri" w:eastAsia="Calibri" w:hAnsi="Calibri" w:cs="Calibri"/>
      <w:lang w:val="nl-NL"/>
    </w:rPr>
  </w:style>
  <w:style w:type="character" w:customStyle="1" w:styleId="Kop1Char">
    <w:name w:val="Kop 1 Char"/>
    <w:basedOn w:val="Standaardalinea-lettertype"/>
    <w:link w:val="Kop1"/>
    <w:uiPriority w:val="9"/>
    <w:rsid w:val="00BC4213"/>
    <w:rPr>
      <w:rFonts w:ascii="Calibri" w:eastAsia="Calibri" w:hAnsi="Calibri" w:cs="Calibri"/>
      <w:b/>
      <w:bCs/>
      <w:lang w:val="nl-NL"/>
    </w:rPr>
  </w:style>
  <w:style w:type="character" w:customStyle="1" w:styleId="PlattetekstChar">
    <w:name w:val="Platte tekst Char"/>
    <w:basedOn w:val="Standaardalinea-lettertype"/>
    <w:link w:val="Plattetekst"/>
    <w:uiPriority w:val="1"/>
    <w:rsid w:val="00BC4213"/>
    <w:rPr>
      <w:rFonts w:ascii="Calibri" w:eastAsia="Calibri" w:hAnsi="Calibri" w:cs="Calibri"/>
      <w:lang w:val="nl-NL"/>
    </w:rPr>
  </w:style>
  <w:style w:type="paragraph" w:customStyle="1" w:styleId="Kop21">
    <w:name w:val="Kop 21"/>
    <w:pPr>
      <w:spacing w:after="120" w:line="254" w:lineRule="auto"/>
    </w:pPr>
    <w:rPr>
      <w:rFonts w:ascii="Calibri Light" w:hAnsi="Calibri Light"/>
      <w:color w:val="000000"/>
    </w:rPr>
  </w:style>
  <w:style w:type="paragraph" w:customStyle="1" w:styleId="Titel1">
    <w:name w:val="Titel1"/>
    <w:pPr>
      <w:spacing w:after="120" w:line="254" w:lineRule="auto"/>
    </w:pPr>
    <w:rPr>
      <w:rFonts w:ascii="Calibri Light" w:hAnsi="Calibri Light"/>
      <w:color w:val="000000"/>
      <w:sz w:val="40"/>
    </w:rPr>
  </w:style>
  <w:style w:type="paragraph" w:styleId="Normaalweb">
    <w:name w:val="Normal (Web)"/>
    <w:basedOn w:val="Standaard"/>
    <w:uiPriority w:val="99"/>
    <w:semiHidden/>
    <w:unhideWhenUsed/>
    <w:rsid w:val="000601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64a039-09f6-49fb-9a8b-f84d78f06f59" xsi:nil="true"/>
    <lcf76f155ced4ddcb4097134ff3c332f xmlns="91ff7e1f-25c0-49b7-b5f8-223776c1b1e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99E2FC12FCE94E8016D9F15143869F" ma:contentTypeVersion="17" ma:contentTypeDescription="Een nieuw document maken." ma:contentTypeScope="" ma:versionID="6201986302aeb83997fc4d25af6583fb">
  <xsd:schema xmlns:xsd="http://www.w3.org/2001/XMLSchema" xmlns:xs="http://www.w3.org/2001/XMLSchema" xmlns:p="http://schemas.microsoft.com/office/2006/metadata/properties" xmlns:ns2="91ff7e1f-25c0-49b7-b5f8-223776c1b1e8" xmlns:ns3="4364a039-09f6-49fb-9a8b-f84d78f06f59" targetNamespace="http://schemas.microsoft.com/office/2006/metadata/properties" ma:root="true" ma:fieldsID="b3476db19682a5d46c31dc8c78bce79f" ns2:_="" ns3:_="">
    <xsd:import namespace="91ff7e1f-25c0-49b7-b5f8-223776c1b1e8"/>
    <xsd:import namespace="4364a039-09f6-49fb-9a8b-f84d78f06f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f7e1f-25c0-49b7-b5f8-223776c1b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7aebe9b-c068-4299-ac7b-db279763fd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64a039-09f6-49fb-9a8b-f84d78f06f5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26c3870b-409e-4702-a74d-d06addf5ccf1}" ma:internalName="TaxCatchAll" ma:showField="CatchAllData" ma:web="4364a039-09f6-49fb-9a8b-f84d78f06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152CD2-3CA7-431D-A045-A66A9314679B}">
  <ds:schemaRefs>
    <ds:schemaRef ds:uri="http://schemas.microsoft.com/office/2006/metadata/properties"/>
    <ds:schemaRef ds:uri="http://schemas.microsoft.com/office/infopath/2007/PartnerControls"/>
    <ds:schemaRef ds:uri="4364a039-09f6-49fb-9a8b-f84d78f06f59"/>
    <ds:schemaRef ds:uri="91ff7e1f-25c0-49b7-b5f8-223776c1b1e8"/>
  </ds:schemaRefs>
</ds:datastoreItem>
</file>

<file path=customXml/itemProps2.xml><?xml version="1.0" encoding="utf-8"?>
<ds:datastoreItem xmlns:ds="http://schemas.openxmlformats.org/officeDocument/2006/customXml" ds:itemID="{B7DAB483-B42B-4CBD-B8B7-A8A3E88D82DF}">
  <ds:schemaRefs>
    <ds:schemaRef ds:uri="http://schemas.microsoft.com/sharepoint/v3/contenttype/forms"/>
  </ds:schemaRefs>
</ds:datastoreItem>
</file>

<file path=customXml/itemProps3.xml><?xml version="1.0" encoding="utf-8"?>
<ds:datastoreItem xmlns:ds="http://schemas.openxmlformats.org/officeDocument/2006/customXml" ds:itemID="{E7D0CF71-754F-4A88-8669-36F72936D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f7e1f-25c0-49b7-b5f8-223776c1b1e8"/>
    <ds:schemaRef ds:uri="4364a039-09f6-49fb-9a8b-f84d78f06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2688</Words>
  <Characters>14790</Characters>
  <Application>Microsoft Office Word</Application>
  <DocSecurity>0</DocSecurity>
  <Lines>123</Lines>
  <Paragraphs>34</Paragraphs>
  <ScaleCrop>false</ScaleCrop>
  <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VLC</dc:creator>
  <cp:keywords/>
  <cp:lastModifiedBy>Marcel van Leen | VLC Haarlem</cp:lastModifiedBy>
  <cp:revision>76</cp:revision>
  <cp:lastPrinted>2026-03-24T15:49:00Z</cp:lastPrinted>
  <dcterms:created xsi:type="dcterms:W3CDTF">2026-10-09T13:28:00Z</dcterms:created>
  <dcterms:modified xsi:type="dcterms:W3CDTF">2026-10-16T07:14:00Z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2023-12-18T00:00:00Z</vt:filetime>
  </property>
  <property fmtid="{D5CDD505-2E9C-101B-9397-08002B2CF9AE}" pid="3" name="Creator">
    <vt:lpwstr>Microsoft® Word voor Microsoft 365</vt:lpwstr>
  </property>
  <property fmtid="{D5CDD505-2E9C-101B-9397-08002B2CF9AE}" pid="4" name="LastSaved">
    <vt:filetime>2024-12-04T00:00:00Z</vt:filetime>
  </property>
  <property fmtid="{D5CDD505-2E9C-101B-9397-08002B2CF9AE}" pid="5" name="Producer">
    <vt:lpwstr>Microsoft® Word voor Microsoft 365</vt:lpwstr>
  </property>
  <property fmtid="{D5CDD505-2E9C-101B-9397-08002B2CF9AE}" pid="6" name="ContentTypeId">
    <vt:lpwstr>0x0101005699E2FC12FCE94E8016D9F15143869F</vt:lpwstr>
  </property>
  <property fmtid="{D5CDD505-2E9C-101B-9397-08002B2CF9AE}" pid="7" name="MediaServiceImageTags">
    <vt:lpwstr/>
  </property>
</Properties>
</file>