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199" w:before="199" w:line="240" w:lineRule="auto"/>
        <w:rPr>
          <w:rFonts w:ascii="Verdana" w:cs="Verdana" w:eastAsia="Verdana" w:hAnsi="Verdana"/>
          <w:b w:val="0"/>
          <w:bCs w:val="0"/>
          <w:sz w:val="22"/>
          <w:szCs w:val="22"/>
        </w:rPr>
      </w:pPr>
      <w:r w:rsidDel="00000000" w:rsidR="00000000" w:rsidRPr="00000000">
        <w:rPr>
          <w:rFonts w:ascii="Verdana" w:cs="Verdana" w:eastAsia="Verdana" w:hAnsi="Verdana"/>
          <w:b w:val="0"/>
          <w:bCs w:val="0"/>
          <w:i w:val="1"/>
          <w:iCs w:val="1"/>
          <w:sz w:val="22"/>
          <w:szCs w:val="22"/>
          <w:rtl w:val="0"/>
        </w:rPr>
        <w:t xml:space="preserve">Overeenkomst ten behoeve van levering en onderhoud Multifunctionals voor Stichting VierTaal</w:t>
      </w:r>
      <w:r w:rsidDel="00000000" w:rsidR="00000000" w:rsidRPr="00000000">
        <w:rPr>
          <w:rtl w:val="0"/>
        </w:rPr>
      </w:r>
    </w:p>
    <w:p w:rsidR="00000000" w:rsidDel="00000000" w:rsidP="00000000" w:rsidRDefault="00000000" w:rsidRPr="00000000" w14:paraId="00000002">
      <w:pPr>
        <w:spacing w:after="239" w:before="239" w:line="240" w:lineRule="auto"/>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03">
      <w:pPr>
        <w:spacing w:after="239" w:before="239" w:line="240" w:lineRule="auto"/>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Ondergetekenden</w:t>
      </w:r>
      <w:r w:rsidDel="00000000" w:rsidR="00000000" w:rsidRPr="00000000">
        <w:rPr>
          <w:rtl w:val="0"/>
        </w:rPr>
      </w:r>
    </w:p>
    <w:p w:rsidR="00000000" w:rsidDel="00000000" w:rsidP="00000000" w:rsidRDefault="00000000" w:rsidRPr="00000000" w14:paraId="00000004">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De publiekrechtelijke rechtspersoon </w:t>
      </w:r>
      <w:r w:rsidDel="00000000" w:rsidR="00000000" w:rsidRPr="00000000">
        <w:rPr>
          <w:rFonts w:ascii="Verdana" w:cs="Verdana" w:eastAsia="Verdana" w:hAnsi="Verdana"/>
          <w:i w:val="1"/>
          <w:iCs w:val="1"/>
          <w:sz w:val="18"/>
          <w:szCs w:val="18"/>
          <w:rtl w:val="0"/>
        </w:rPr>
        <w:t xml:space="preserve">Stichting VierTaal</w:t>
      </w:r>
      <w:r w:rsidDel="00000000" w:rsidR="00000000" w:rsidRPr="00000000">
        <w:rPr>
          <w:rFonts w:ascii="Verdana" w:cs="Verdana" w:eastAsia="Verdana" w:hAnsi="Verdana"/>
          <w:sz w:val="18"/>
          <w:szCs w:val="18"/>
          <w:rtl w:val="0"/>
        </w:rPr>
        <w:t xml:space="preserve">, te dezen rechtsgeldig vertegenwoordigd door &lt;naam&gt;, &lt;functie&gt;, hierna te noemen "</w:t>
      </w:r>
      <w:r w:rsidDel="00000000" w:rsidR="00000000" w:rsidRPr="00000000">
        <w:rPr>
          <w:rFonts w:ascii="Verdana" w:cs="Verdana" w:eastAsia="Verdana" w:hAnsi="Verdana"/>
          <w:b w:val="1"/>
          <w:bCs w:val="1"/>
          <w:sz w:val="18"/>
          <w:szCs w:val="18"/>
          <w:rtl w:val="0"/>
        </w:rPr>
        <w:t xml:space="preserve">Opdrachtgever</w:t>
      </w:r>
      <w:r w:rsidDel="00000000" w:rsidR="00000000" w:rsidRPr="00000000">
        <w:rPr>
          <w:rFonts w:ascii="Verdana" w:cs="Verdana" w:eastAsia="Verdana" w:hAnsi="Verdana"/>
          <w:sz w:val="18"/>
          <w:szCs w:val="18"/>
          <w:rtl w:val="0"/>
        </w:rPr>
        <w:t xml:space="preserve">";</w:t>
      </w:r>
      <w:r w:rsidDel="00000000" w:rsidR="00000000" w:rsidRPr="00000000">
        <w:rPr>
          <w:rtl w:val="0"/>
        </w:rPr>
      </w:r>
    </w:p>
    <w:p w:rsidR="00000000" w:rsidDel="00000000" w:rsidP="00000000" w:rsidRDefault="00000000" w:rsidRPr="00000000" w14:paraId="00000005">
      <w:pPr>
        <w:spacing w:after="239" w:before="239" w:line="240" w:lineRule="auto"/>
        <w:rPr>
          <w:rFonts w:ascii="Verdana" w:cs="Verdana" w:eastAsia="Verdana" w:hAnsi="Verdana"/>
          <w:sz w:val="18"/>
          <w:szCs w:val="18"/>
        </w:rPr>
      </w:pPr>
      <w:r w:rsidDel="00000000" w:rsidR="00000000" w:rsidRPr="00000000">
        <w:rPr>
          <w:rFonts w:ascii="Verdana" w:cs="Verdana" w:eastAsia="Verdana" w:hAnsi="Verdana"/>
          <w:i w:val="1"/>
          <w:iCs w:val="1"/>
          <w:sz w:val="18"/>
          <w:szCs w:val="18"/>
          <w:rtl w:val="0"/>
        </w:rPr>
        <w:t xml:space="preserve">en</w:t>
      </w:r>
      <w:r w:rsidDel="00000000" w:rsidR="00000000" w:rsidRPr="00000000">
        <w:rPr>
          <w:rtl w:val="0"/>
        </w:rPr>
      </w:r>
    </w:p>
    <w:p w:rsidR="00000000" w:rsidDel="00000000" w:rsidP="00000000" w:rsidRDefault="00000000" w:rsidRPr="00000000" w14:paraId="00000006">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&lt;naam leverancier&gt; met Kamer van Koophandel nummer &lt;kvk-nummer&gt; gevestigd en kantoorhoudende te &lt;plaats&gt; aan de </w:t>
      </w:r>
      <w:r w:rsidDel="00000000" w:rsidR="00000000" w:rsidRPr="00000000">
        <w:rPr>
          <w:rFonts w:ascii="Verdana" w:cs="Verdana" w:eastAsia="Verdana" w:hAnsi="Verdana"/>
          <w:i w:val="1"/>
          <w:iCs w:val="1"/>
          <w:sz w:val="18"/>
          <w:szCs w:val="18"/>
          <w:rtl w:val="0"/>
        </w:rPr>
        <w:t xml:space="preserve">&lt;adres&gt;</w:t>
      </w:r>
      <w:r w:rsidDel="00000000" w:rsidR="00000000" w:rsidRPr="00000000">
        <w:rPr>
          <w:rFonts w:ascii="Verdana" w:cs="Verdana" w:eastAsia="Verdana" w:hAnsi="Verdana"/>
          <w:sz w:val="18"/>
          <w:szCs w:val="18"/>
          <w:rtl w:val="0"/>
        </w:rPr>
        <w:t xml:space="preserve">, te dezen rechtsgeldig vertegenwoordigd door &lt;naam vertegenwoordiger&gt;, &lt;functie&gt; hierna te noemen "</w:t>
      </w:r>
      <w:r w:rsidDel="00000000" w:rsidR="00000000" w:rsidRPr="00000000">
        <w:rPr>
          <w:rFonts w:ascii="Verdana" w:cs="Verdana" w:eastAsia="Verdana" w:hAnsi="Verdana"/>
          <w:b w:val="1"/>
          <w:bCs w:val="1"/>
          <w:sz w:val="18"/>
          <w:szCs w:val="18"/>
          <w:rtl w:val="0"/>
        </w:rPr>
        <w:t xml:space="preserve">Leverancier</w:t>
      </w:r>
      <w:r w:rsidDel="00000000" w:rsidR="00000000" w:rsidRPr="00000000">
        <w:rPr>
          <w:rFonts w:ascii="Verdana" w:cs="Verdana" w:eastAsia="Verdana" w:hAnsi="Verdana"/>
          <w:sz w:val="18"/>
          <w:szCs w:val="18"/>
          <w:rtl w:val="0"/>
        </w:rPr>
        <w:t xml:space="preserve">";</w:t>
      </w:r>
      <w:r w:rsidDel="00000000" w:rsidR="00000000" w:rsidRPr="00000000">
        <w:rPr>
          <w:rtl w:val="0"/>
        </w:rPr>
      </w:r>
    </w:p>
    <w:p w:rsidR="00000000" w:rsidDel="00000000" w:rsidP="00000000" w:rsidRDefault="00000000" w:rsidRPr="00000000" w14:paraId="00000007">
      <w:pPr>
        <w:spacing w:after="239" w:before="239" w:line="240" w:lineRule="auto"/>
        <w:rPr>
          <w:rFonts w:ascii="Verdana" w:cs="Verdana" w:eastAsia="Verdana" w:hAnsi="Verdana"/>
          <w:sz w:val="18"/>
          <w:szCs w:val="18"/>
        </w:rPr>
      </w:pPr>
      <w:r w:rsidDel="00000000" w:rsidR="00000000" w:rsidRPr="00000000">
        <w:rPr>
          <w:rFonts w:ascii="Verdana" w:cs="Verdana" w:eastAsia="Verdana" w:hAnsi="Verdana"/>
          <w:i w:val="1"/>
          <w:iCs w:val="1"/>
          <w:sz w:val="18"/>
          <w:szCs w:val="18"/>
          <w:rtl w:val="0"/>
        </w:rPr>
        <w:t xml:space="preserve">tezamen hierna verder aan te duiden als "partijen" dan wel afzonderlijk als "partij",</w:t>
      </w:r>
      <w:r w:rsidDel="00000000" w:rsidR="00000000" w:rsidRPr="00000000">
        <w:rPr>
          <w:rtl w:val="0"/>
        </w:rPr>
      </w:r>
    </w:p>
    <w:p w:rsidR="00000000" w:rsidDel="00000000" w:rsidP="00000000" w:rsidRDefault="00000000" w:rsidRPr="00000000" w14:paraId="00000008">
      <w:pPr>
        <w:spacing w:after="239" w:before="239" w:line="240" w:lineRule="auto"/>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overwegende dat:</w:t>
      </w:r>
      <w:r w:rsidDel="00000000" w:rsidR="00000000" w:rsidRPr="00000000">
        <w:rPr>
          <w:rtl w:val="0"/>
        </w:rPr>
      </w:r>
    </w:p>
    <w:p w:rsidR="00000000" w:rsidDel="00000000" w:rsidP="00000000" w:rsidRDefault="00000000" w:rsidRPr="00000000" w14:paraId="00000009">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een en ander voor zover dat gebruik in onderhavige Overeenkomst niet uitdrukkelijk is uitgesloten of beperkt;</w:t>
      </w:r>
    </w:p>
    <w:p w:rsidR="00000000" w:rsidDel="00000000" w:rsidP="00000000" w:rsidRDefault="00000000" w:rsidRPr="00000000" w14:paraId="0000000A">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Opdrachtgever in verband met hetgeen hiervoor is overwogen, tot </w:t>
      </w:r>
      <w:r w:rsidDel="00000000" w:rsidR="00000000" w:rsidRPr="00000000">
        <w:rPr>
          <w:rFonts w:ascii="Verdana" w:cs="Verdana" w:eastAsia="Verdana" w:hAnsi="Verdana"/>
          <w:i w:val="1"/>
          <w:iCs w:val="1"/>
          <w:sz w:val="18"/>
          <w:szCs w:val="18"/>
          <w:rtl w:val="0"/>
        </w:rPr>
        <w:t xml:space="preserve">Europese aanbesteding</w:t>
      </w:r>
      <w:r w:rsidDel="00000000" w:rsidR="00000000" w:rsidRPr="00000000">
        <w:rPr>
          <w:rFonts w:ascii="Verdana" w:cs="Verdana" w:eastAsia="Verdana" w:hAnsi="Verdana"/>
          <w:sz w:val="18"/>
          <w:szCs w:val="18"/>
          <w:rtl w:val="0"/>
        </w:rPr>
        <w:t xml:space="preserve"> van de ICT Prestatie is overgegaan;</w:t>
      </w:r>
    </w:p>
    <w:p w:rsidR="00000000" w:rsidDel="00000000" w:rsidP="00000000" w:rsidRDefault="00000000" w:rsidRPr="00000000" w14:paraId="0000000B">
      <w:pPr>
        <w:numPr>
          <w:ilvl w:val="0"/>
          <w:numId w:val="3"/>
        </w:numPr>
        <w:spacing w:line="240" w:lineRule="auto"/>
        <w:ind w:left="720" w:hanging="360"/>
        <w:rPr>
          <w:sz w:val="18"/>
          <w:szCs w:val="18"/>
        </w:rPr>
      </w:pPr>
      <w:r w:rsidDel="00000000" w:rsidR="00000000" w:rsidRPr="00000000">
        <w:rPr>
          <w:rFonts w:ascii="Verdana" w:cs="Verdana" w:eastAsia="Verdana" w:hAnsi="Verdana"/>
          <w:i w:val="1"/>
          <w:iCs w:val="1"/>
          <w:sz w:val="18"/>
          <w:szCs w:val="18"/>
          <w:rtl w:val="0"/>
        </w:rPr>
        <w:t xml:space="preserve">Opdrachtgever de opdracht heeft gegund aan Leverancier;</w:t>
      </w:r>
      <w:r w:rsidDel="00000000" w:rsidR="00000000" w:rsidRPr="00000000">
        <w:rPr>
          <w:rtl w:val="0"/>
        </w:rPr>
      </w:r>
    </w:p>
    <w:p w:rsidR="00000000" w:rsidDel="00000000" w:rsidP="00000000" w:rsidRDefault="00000000" w:rsidRPr="00000000" w14:paraId="0000000C">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Partijen de uit het bovenstaande voortvloeiende rechtsverhouding schriftelijk wensen vast te leggen;</w:t>
      </w:r>
    </w:p>
    <w:p w:rsidR="00000000" w:rsidDel="00000000" w:rsidP="00000000" w:rsidRDefault="00000000" w:rsidRPr="00000000" w14:paraId="0000000D">
      <w:pPr>
        <w:spacing w:after="239" w:before="239" w:line="240" w:lineRule="auto"/>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zijn als volgt overeengekomen:</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Voorwerp van de Overeenkomst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Leverancier verplicht zich tot het leveren van de ICT Prestatie zoals beschreven in:</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Nota van Inlichtingen;</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Offerteaanvraag, inclusief </w:t>
      </w:r>
      <w:r w:rsidDel="00000000" w:rsidR="00000000" w:rsidRPr="00000000">
        <w:rPr>
          <w:rFonts w:ascii="Verdana" w:cs="Verdana" w:eastAsia="Verdana" w:hAnsi="Verdana"/>
          <w:sz w:val="18"/>
          <w:szCs w:val="18"/>
          <w:rtl w:val="0"/>
        </w:rPr>
        <w:t xml:space="preserve">Programma</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 van Eisen;</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Offerte van de Leverancier;</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sz w:val="18"/>
          <w:szCs w:val="18"/>
          <w:rtl w:val="0"/>
        </w:rPr>
        <w:t xml:space="preserve">Inkoopvoorwaarden Stichting VierTaal</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Bovengenoemde bijlagen zijn opgenomen als bijlage en reeds eerder verstrekt aan Leverancier (tijdens de aanbestedingsprocedure) en derhalve in diens bezit.</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Specificaties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Tot het Overeengekomen gebruik behoort dat de ICT Prestatie voldoet aan hetgeen beschreven is in de in artikel 1.1. genoemde documenten.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39" w:before="239" w:line="240" w:lineRule="auto"/>
        <w:ind w:left="0" w:right="0" w:firstLine="0"/>
        <w:jc w:val="left"/>
        <w:rPr>
          <w:rFonts w:ascii="Verdana" w:cs="Verdana" w:eastAsia="Verdana" w:hAnsi="Verdana"/>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39" w:before="239"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Looptijd</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Overeenkomst treedt in werking op </w:t>
      </w:r>
      <w:r w:rsidDel="00000000" w:rsidR="00000000" w:rsidRPr="00000000">
        <w:rPr>
          <w:rFonts w:ascii="Verdana" w:cs="Verdana" w:eastAsia="Verdana" w:hAnsi="Verdana"/>
          <w:i w:val="1"/>
          <w:iCs w:val="1"/>
          <w:sz w:val="18"/>
          <w:szCs w:val="18"/>
          <w:rtl w:val="0"/>
        </w:rPr>
        <w:t xml:space="preserve">x-xx-</w:t>
      </w: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202</w:t>
      </w:r>
      <w:r w:rsidDel="00000000" w:rsidR="00000000" w:rsidRPr="00000000">
        <w:rPr>
          <w:rFonts w:ascii="Verdana" w:cs="Verdana" w:eastAsia="Verdana" w:hAnsi="Verdana"/>
          <w:i w:val="1"/>
          <w:iCs w:val="1"/>
          <w:sz w:val="18"/>
          <w:szCs w:val="18"/>
          <w:rtl w:val="0"/>
        </w:rPr>
        <w:t xml:space="preserve">7</w:t>
      </w: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 en heeft een looptijd van 4 jaar met einddatum </w:t>
      </w:r>
      <w:r w:rsidDel="00000000" w:rsidR="00000000" w:rsidRPr="00000000">
        <w:rPr>
          <w:rFonts w:ascii="Verdana" w:cs="Verdana" w:eastAsia="Verdana" w:hAnsi="Verdana"/>
          <w:i w:val="1"/>
          <w:iCs w:val="1"/>
          <w:sz w:val="18"/>
          <w:szCs w:val="18"/>
          <w:rtl w:val="0"/>
        </w:rPr>
        <w:t xml:space="preserve">xx-xx-</w:t>
      </w: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202</w:t>
      </w:r>
      <w:r w:rsidDel="00000000" w:rsidR="00000000" w:rsidRPr="00000000">
        <w:rPr>
          <w:rFonts w:ascii="Verdana" w:cs="Verdana" w:eastAsia="Verdana" w:hAnsi="Verdana"/>
          <w:i w:val="1"/>
          <w:iCs w:val="1"/>
          <w:sz w:val="18"/>
          <w:szCs w:val="18"/>
          <w:rtl w:val="0"/>
        </w:rPr>
        <w:t xml:space="preserve">X</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De Overeenkomst kan na </w:t>
      </w:r>
      <w:r w:rsidDel="00000000" w:rsidR="00000000" w:rsidRPr="00000000">
        <w:rPr>
          <w:rFonts w:ascii="Verdana" w:cs="Verdana" w:eastAsia="Verdana" w:hAnsi="Verdana"/>
          <w:i w:val="1"/>
          <w:iCs w:val="1"/>
          <w:sz w:val="18"/>
          <w:szCs w:val="18"/>
          <w:rtl w:val="0"/>
        </w:rPr>
        <w:t xml:space="preserve">afloop</w:t>
      </w: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 van voornoemde looptijd </w:t>
      </w:r>
      <w:r w:rsidDel="00000000" w:rsidR="00000000" w:rsidRPr="00000000">
        <w:rPr>
          <w:rFonts w:ascii="Verdana" w:cs="Verdana" w:eastAsia="Verdana" w:hAnsi="Verdana"/>
          <w:i w:val="1"/>
          <w:iCs w:val="1"/>
          <w:sz w:val="18"/>
          <w:szCs w:val="18"/>
          <w:rtl w:val="0"/>
        </w:rPr>
        <w:t xml:space="preserve">met maximaal 2x 1 jaar worden verlengd</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Onderhoud</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Het Onderhoud wordt verricht overeenkomstig:</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Een nader op te stellen service level agreement</w:t>
      </w:r>
      <w:r w:rsidDel="00000000" w:rsidR="00000000" w:rsidRPr="00000000">
        <w:rPr>
          <w:rFonts w:ascii="Verdana" w:cs="Verdana" w:eastAsia="Verdana" w:hAnsi="Verdana"/>
          <w:i w:val="1"/>
          <w:iCs w:val="1"/>
          <w:sz w:val="18"/>
          <w:szCs w:val="18"/>
          <w:rtl w:val="0"/>
        </w:rPr>
        <w:t xml:space="preserve"> conform het gestelde in de Offerteaanvraag.</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Verwerking van persoonsgegevens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Leverancier handelt als verwerker in de zin van de Algemene verordening gegevensbescherming.</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Verwerkersovereenkomst is opgenomen als bijlage (modelverwerkersovereenkomst 4.0 van het </w:t>
      </w:r>
      <w:r w:rsidDel="00000000" w:rsidR="00000000" w:rsidRPr="00000000">
        <w:rPr>
          <w:rFonts w:ascii="Verdana" w:cs="Verdana" w:eastAsia="Verdana" w:hAnsi="Verdana"/>
          <w:sz w:val="18"/>
          <w:szCs w:val="18"/>
          <w:rtl w:val="0"/>
        </w:rPr>
        <w:t xml:space="preserve">P</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rivacy Con</w:t>
      </w:r>
      <w:r w:rsidDel="00000000" w:rsidR="00000000" w:rsidRPr="00000000">
        <w:rPr>
          <w:rFonts w:ascii="Verdana" w:cs="Verdana" w:eastAsia="Verdana" w:hAnsi="Verdana"/>
          <w:sz w:val="18"/>
          <w:szCs w:val="18"/>
          <w:rtl w:val="0"/>
        </w:rPr>
        <w:t xml:space="preserve">venant)</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danwel vernietigen op de wijze als door de Opdrachtgever bepaald. De vernietiging moet, binnen nader overeen te komen termijn, uitgevoerd worden en hiervan wordt een verslag gemaakt.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Leverancier zal alle subverwerkers die betrokken zijn bij de verwerking van de persoonsgegevens op de hoogte stellen van de beëindiging van de overeenkomst en zal waarborgen dat alle subverwerkers de persoonsgegevens retourneren, verwijderen danwel (laten) vernietigen, zoals in het vorige lid bepaald.</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Vergoedingen</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De vergoeding van het Onderhoud is nader gespecificeerd in</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 </w:t>
      </w:r>
      <w:r w:rsidDel="00000000" w:rsidR="00000000" w:rsidRPr="00000000">
        <w:rPr>
          <w:rFonts w:ascii="Verdana" w:cs="Verdana" w:eastAsia="Verdana" w:hAnsi="Verdana"/>
          <w:i w:val="1"/>
          <w:iCs w:val="1"/>
          <w:smallCaps w:val="0"/>
          <w:strike w:val="0"/>
          <w:color w:val="000000"/>
          <w:sz w:val="18"/>
          <w:szCs w:val="18"/>
          <w:u w:val="none"/>
          <w:shd w:fill="auto" w:val="clear"/>
          <w:vertAlign w:val="baseline"/>
          <w:rtl w:val="0"/>
        </w:rPr>
        <w:t xml:space="preserve">de offerte van Leverancier</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Het exit-plan maakt onderdeel uit van de dienstverlening en daarom is er geen aanvullende vergoeding verschuldigd.</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Leverancier verzendt de gespecificeerde factuur (conform het gestelde in het </w:t>
      </w:r>
      <w:r w:rsidDel="00000000" w:rsidR="00000000" w:rsidRPr="00000000">
        <w:rPr>
          <w:rFonts w:ascii="Verdana" w:cs="Verdana" w:eastAsia="Verdana" w:hAnsi="Verdana"/>
          <w:sz w:val="18"/>
          <w:szCs w:val="18"/>
          <w:rtl w:val="0"/>
        </w:rPr>
        <w:t xml:space="preserve">P</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rogramma van </w:t>
      </w:r>
      <w:r w:rsidDel="00000000" w:rsidR="00000000" w:rsidRPr="00000000">
        <w:rPr>
          <w:rFonts w:ascii="Verdana" w:cs="Verdana" w:eastAsia="Verdana" w:hAnsi="Verdana"/>
          <w:sz w:val="18"/>
          <w:szCs w:val="18"/>
          <w:rtl w:val="0"/>
        </w:rPr>
        <w:t xml:space="preserve">E</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isen)aan Opdrachtgever elektronisch als 1 (</w:t>
      </w:r>
      <w:r w:rsidDel="00000000" w:rsidR="00000000" w:rsidRPr="00000000">
        <w:rPr>
          <w:rFonts w:ascii="Verdana" w:cs="Verdana" w:eastAsia="Verdana" w:hAnsi="Verdana"/>
          <w:sz w:val="18"/>
          <w:szCs w:val="18"/>
          <w:rtl w:val="0"/>
        </w:rPr>
        <w:t xml:space="preserve">een) (incl. specificatie) </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PDF-bestand naar </w:t>
      </w:r>
      <w:r w:rsidDel="00000000" w:rsidR="00000000" w:rsidRPr="00000000">
        <w:rPr>
          <w:rFonts w:ascii="Verdana" w:cs="Verdana" w:eastAsia="Verdana" w:hAnsi="Verdana"/>
          <w:color w:val="0b57d0"/>
          <w:sz w:val="18"/>
          <w:szCs w:val="18"/>
          <w:u w:val="single"/>
          <w:rtl w:val="0"/>
        </w:rPr>
        <w:t xml:space="preserve">21679@onderwijsbureau-meppel.nl</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Contactpersonen en bevoegdheden</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Partijen wijzen de in een bijlage gespecificeerde personen aan als contactpersoon namens hun organisatie gedurende de looptijd van de Overeenkomst.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Tenzij vooraf door de ene partij uitdrukkelijk schriftelijk aan de andere partij van het tegendeel mededeling wordt gedaan, </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zijn de bedoelde contactpersonen bevoegd de partij die hen heeft aangewezen, in het kader van de uitvoering van deze Overeenkomst en de nadere overeenkomsten te vertegenwoordigen, en in dat kader aanvullende of afwijkende afspraken te maken.</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Een partij mag haar contactpersonen wijzigen middels schriftelijke mededeling aan de andere partij. De wijziging zal minimaal een week van tevoren worden gemeld, behoudens in spoedgevallen</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39" w:before="239"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39" w:before="239" w:line="240" w:lineRule="auto"/>
        <w:ind w:left="0"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Evaluatie</w:t>
      </w: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sz w:val="18"/>
          <w:szCs w:val="18"/>
          <w:rtl w:val="0"/>
        </w:rPr>
        <w:t xml:space="preserve">Opdrachtgever evalueert minimaal twee (2) maal per jaar de uitvoering van de opdracht en het resultaat van de ICT Prestatie.</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0">
      <w:pPr>
        <w:numPr>
          <w:ilvl w:val="1"/>
          <w:numId w:val="1"/>
        </w:numPr>
        <w:spacing w:after="239" w:before="239" w:line="240" w:lineRule="auto"/>
        <w:ind w:left="720" w:hanging="360"/>
        <w:rPr>
          <w:rFonts w:ascii="Verdana" w:cs="Verdana" w:eastAsia="Verdana" w:hAnsi="Verdana"/>
        </w:rPr>
      </w:pPr>
      <w:r w:rsidDel="00000000" w:rsidR="00000000" w:rsidRPr="00000000">
        <w:rPr>
          <w:rFonts w:ascii="Verdana" w:cs="Verdana" w:eastAsia="Verdana" w:hAnsi="Verdana"/>
          <w:sz w:val="18"/>
          <w:szCs w:val="18"/>
          <w:rtl w:val="0"/>
        </w:rPr>
        <w:t xml:space="preserve">Verder worden de tussen Partijen gesloten contract bijlagen minimaal één (1) maal per jaar, of op verzoek van de Partijen, geëvalueerd. Partijen kunnen voorstellen doen om de betreffende Overeenkomst aan te passen. Aanpassingen op de documenten worden door Leverancier verwerkt. Tijdens deze evaluatie wordt het document in ieder geval getoetst op de bruikbaarheid in de achterliggende periode van het document, contactpersonen en hun functie, scope van de dienstverlening of de lopende procedures. Indien nodig, kunnen additionele onderwerpen voor de evaluatie uiterlijk twee (2) weken voor het evaluatieoverleg ingediend worden. </w:t>
      </w:r>
    </w:p>
    <w:p w:rsidR="00000000" w:rsidDel="00000000" w:rsidP="00000000" w:rsidRDefault="00000000" w:rsidRPr="00000000" w14:paraId="00000031">
      <w:pPr>
        <w:numPr>
          <w:ilvl w:val="0"/>
          <w:numId w:val="1"/>
        </w:numPr>
        <w:spacing w:after="239" w:before="239" w:line="240" w:lineRule="auto"/>
        <w:ind w:left="36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Boetebeding</w:t>
      </w:r>
    </w:p>
    <w:p w:rsidR="00000000" w:rsidDel="00000000" w:rsidP="00000000" w:rsidRDefault="00000000" w:rsidRPr="00000000" w14:paraId="00000032">
      <w:pPr>
        <w:numPr>
          <w:ilvl w:val="1"/>
          <w:numId w:val="1"/>
        </w:numPr>
        <w:spacing w:after="180" w:line="240" w:lineRule="auto"/>
        <w:ind w:left="720" w:hanging="360"/>
        <w:rPr>
          <w:rFonts w:ascii="Verdana" w:cs="Verdana" w:eastAsia="Verdana" w:hAnsi="Verdana"/>
        </w:rPr>
      </w:pPr>
      <w:r w:rsidDel="00000000" w:rsidR="00000000" w:rsidRPr="00000000">
        <w:rPr>
          <w:rFonts w:ascii="Verdana" w:cs="Verdana" w:eastAsia="Verdana" w:hAnsi="Verdana"/>
          <w:sz w:val="18"/>
          <w:szCs w:val="18"/>
          <w:rtl w:val="0"/>
        </w:rPr>
        <w:t xml:space="preserve">Leverancier garandeert dat de geleverde ICT Prestatie minimaal voldoen aan de beschikbaarheidseisen zoals die zijn vastgelegd in het Programma van Eisen en de op te stellen SLA.</w:t>
      </w:r>
    </w:p>
    <w:p w:rsidR="00000000" w:rsidDel="00000000" w:rsidP="00000000" w:rsidRDefault="00000000" w:rsidRPr="00000000" w14:paraId="00000033">
      <w:pPr>
        <w:numPr>
          <w:ilvl w:val="1"/>
          <w:numId w:val="1"/>
        </w:numPr>
        <w:spacing w:after="180" w:line="240" w:lineRule="auto"/>
        <w:ind w:left="720" w:hanging="360"/>
        <w:rPr>
          <w:rFonts w:ascii="Verdana" w:cs="Verdana" w:eastAsia="Verdana" w:hAnsi="Verdana"/>
        </w:rPr>
      </w:pPr>
      <w:r w:rsidDel="00000000" w:rsidR="00000000" w:rsidRPr="00000000">
        <w:rPr>
          <w:rFonts w:ascii="Verdana" w:cs="Verdana" w:eastAsia="Verdana" w:hAnsi="Verdana"/>
          <w:sz w:val="18"/>
          <w:szCs w:val="18"/>
          <w:rtl w:val="0"/>
        </w:rPr>
        <w:t xml:space="preserve">De beschikbaarheid van de ICT Prestatie wordt jaarlijks achteraf vastgesteld over de periode van één kalenderjaar. Indien de beschikbaarheid in een kalenderjaar niet is behaald, is Leverancier direct en zonder dat een voorafgaande ingebrekestelling of aanmaning nodig is, in verzuim.</w:t>
      </w:r>
    </w:p>
    <w:p w:rsidR="00000000" w:rsidDel="00000000" w:rsidP="00000000" w:rsidRDefault="00000000" w:rsidRPr="00000000" w14:paraId="00000034">
      <w:pPr>
        <w:numPr>
          <w:ilvl w:val="1"/>
          <w:numId w:val="1"/>
        </w:numPr>
        <w:spacing w:after="180" w:line="240" w:lineRule="auto"/>
        <w:ind w:left="720" w:hanging="360"/>
        <w:rPr>
          <w:rFonts w:ascii="Verdana" w:cs="Verdana" w:eastAsia="Verdana" w:hAnsi="Verdana"/>
        </w:rPr>
      </w:pPr>
      <w:r w:rsidDel="00000000" w:rsidR="00000000" w:rsidRPr="00000000">
        <w:rPr>
          <w:rFonts w:ascii="Verdana" w:cs="Verdana" w:eastAsia="Verdana" w:hAnsi="Verdana"/>
          <w:b w:val="1"/>
          <w:bCs w:val="1"/>
          <w:sz w:val="18"/>
          <w:szCs w:val="18"/>
          <w:rtl w:val="0"/>
        </w:rPr>
        <w:t xml:space="preserve"> </w:t>
      </w:r>
      <w:r w:rsidDel="00000000" w:rsidR="00000000" w:rsidRPr="00000000">
        <w:rPr>
          <w:rFonts w:ascii="Verdana" w:cs="Verdana" w:eastAsia="Verdana" w:hAnsi="Verdana"/>
          <w:sz w:val="18"/>
          <w:szCs w:val="18"/>
          <w:rtl w:val="0"/>
        </w:rPr>
        <w:t xml:space="preserve">Bij een overtreding zoals bedoeld in 9.2, verbeurt Leverancier aan Opdrachtgever een direct opeisbare boete van € 10.000,-</w:t>
      </w:r>
      <w:r w:rsidDel="00000000" w:rsidR="00000000" w:rsidRPr="00000000">
        <w:rPr>
          <w:rFonts w:ascii="Verdana" w:cs="Verdana" w:eastAsia="Verdana" w:hAnsi="Verdana"/>
          <w:b w:val="1"/>
          <w:bCs w:val="1"/>
          <w:sz w:val="18"/>
          <w:szCs w:val="18"/>
          <w:rtl w:val="0"/>
        </w:rPr>
        <w:t xml:space="preserve"> </w:t>
      </w:r>
      <w:r w:rsidDel="00000000" w:rsidR="00000000" w:rsidRPr="00000000">
        <w:rPr>
          <w:rFonts w:ascii="Verdana" w:cs="Verdana" w:eastAsia="Verdana" w:hAnsi="Verdana"/>
          <w:sz w:val="18"/>
          <w:szCs w:val="18"/>
          <w:rtl w:val="0"/>
        </w:rPr>
        <w:t xml:space="preserve">per kalenderjaar dat de eisen niet zijn gehaald. </w:t>
      </w:r>
      <w:r w:rsidDel="00000000" w:rsidR="00000000" w:rsidRPr="00000000">
        <w:rPr>
          <w:rtl w:val="0"/>
        </w:rPr>
      </w:r>
    </w:p>
    <w:p w:rsidR="00000000" w:rsidDel="00000000" w:rsidP="00000000" w:rsidRDefault="00000000" w:rsidRPr="00000000" w14:paraId="00000035">
      <w:pPr>
        <w:numPr>
          <w:ilvl w:val="1"/>
          <w:numId w:val="1"/>
        </w:numPr>
        <w:spacing w:after="180" w:line="240" w:lineRule="auto"/>
        <w:ind w:left="720" w:hanging="360"/>
        <w:rPr>
          <w:rFonts w:ascii="Verdana" w:cs="Verdana" w:eastAsia="Verdana" w:hAnsi="Verdana"/>
        </w:rPr>
      </w:pPr>
      <w:r w:rsidDel="00000000" w:rsidR="00000000" w:rsidRPr="00000000">
        <w:rPr>
          <w:rFonts w:ascii="Verdana" w:cs="Verdana" w:eastAsia="Verdana" w:hAnsi="Verdana"/>
          <w:sz w:val="18"/>
          <w:szCs w:val="18"/>
          <w:rtl w:val="0"/>
        </w:rPr>
        <w:t xml:space="preserve">De in dit artikel genoemde boete treedt in de plaats van een wettelijke schadevergoeding. Opdrachtgever behoudt echter het recht om, in plaats van de boete, volledige schadevergoeding te eisen indien de werkelijke geleden schade hoger is dan het boetebedrag.</w:t>
      </w:r>
    </w:p>
    <w:p w:rsidR="00000000" w:rsidDel="00000000" w:rsidP="00000000" w:rsidRDefault="00000000" w:rsidRPr="00000000" w14:paraId="00000036">
      <w:pPr>
        <w:numPr>
          <w:ilvl w:val="1"/>
          <w:numId w:val="1"/>
        </w:numPr>
        <w:spacing w:after="180" w:line="240" w:lineRule="auto"/>
        <w:ind w:left="720" w:hanging="360"/>
        <w:rPr>
          <w:rFonts w:ascii="Verdana" w:cs="Verdana" w:eastAsia="Verdana" w:hAnsi="Verdana"/>
        </w:rPr>
      </w:pPr>
      <w:r w:rsidDel="00000000" w:rsidR="00000000" w:rsidRPr="00000000">
        <w:rPr>
          <w:rFonts w:ascii="Verdana" w:cs="Verdana" w:eastAsia="Verdana" w:hAnsi="Verdana"/>
          <w:sz w:val="18"/>
          <w:szCs w:val="18"/>
          <w:rtl w:val="0"/>
        </w:rPr>
        <w:t xml:space="preserve">Opdrachtgever is gerechtigd de verschuldigde boetebedragen te verrekenen met de door Opdrachtgever aan Leverancier verschuldigde (maandelijkse) termijnen of openstaande facturen.</w:t>
      </w:r>
    </w:p>
    <w:p w:rsidR="00000000" w:rsidDel="00000000" w:rsidP="00000000" w:rsidRDefault="00000000" w:rsidRPr="00000000" w14:paraId="00000037">
      <w:pPr>
        <w:spacing w:after="239" w:before="239" w:line="240" w:lineRule="auto"/>
        <w:ind w:left="0" w:firstLine="0"/>
        <w:rPr>
          <w:rFonts w:ascii="Verdana" w:cs="Verdana" w:eastAsia="Verdana" w:hAnsi="Verdana"/>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after="239" w:before="239" w:line="240" w:lineRule="auto"/>
        <w:ind w:left="0"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39" w:before="239" w:line="240" w:lineRule="auto"/>
        <w:ind w:left="360" w:right="0" w:hanging="360"/>
        <w:jc w:val="left"/>
        <w:rPr>
          <w:rFonts w:ascii="Verdana" w:cs="Verdana" w:eastAsia="Verdana" w:hAnsi="Verdana"/>
          <w:sz w:val="18"/>
          <w:szCs w:val="18"/>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Voorwaarden en overige afspraken</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Op deze Overeenkomst </w:t>
      </w:r>
      <w:r w:rsidDel="00000000" w:rsidR="00000000" w:rsidRPr="00000000">
        <w:rPr>
          <w:rFonts w:ascii="Verdana" w:cs="Verdana" w:eastAsia="Verdana" w:hAnsi="Verdana"/>
          <w:sz w:val="18"/>
          <w:szCs w:val="18"/>
          <w:rtl w:val="0"/>
        </w:rPr>
        <w:t xml:space="preserve">zijn de Inkoopvoorwaarden van Stichting VierTaal </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van toepassing, zoals bijgesloten als bijlage.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Eventuele leveringsvoorwaarden van Leverancier zijn uitdrukkelijk niet van toepassing.</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39" w:before="239" w:line="240" w:lineRule="auto"/>
        <w:ind w:left="720" w:right="0" w:hanging="360"/>
        <w:jc w:val="left"/>
        <w:rPr>
          <w:rFonts w:ascii="Verdana" w:cs="Verdana" w:eastAsia="Verdana" w:hAnsi="Verdana"/>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navolgende stukken vormen gezamenlijk de Overeenkomst. Voor zover deze stukken met elkaar in tegenspraak zijn, prevaleert het eerder genoemde stuk boven het later genoemde:</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Het onderhavige document;</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verwerkersovereenkomst;</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39" w:before="239" w:line="240" w:lineRule="auto"/>
        <w:ind w:left="1778" w:right="0" w:hanging="360"/>
        <w:jc w:val="left"/>
        <w:rPr>
          <w:sz w:val="18"/>
          <w:szCs w:val="18"/>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De in artikel 1.1. genoemde documenten (in de daar genoemde volgorde).</w:t>
      </w:r>
      <w:r w:rsidDel="00000000" w:rsidR="00000000" w:rsidRPr="00000000">
        <w:rPr>
          <w:rtl w:val="0"/>
        </w:rPr>
      </w:r>
    </w:p>
    <w:tbl>
      <w:tblPr>
        <w:tblStyle w:val="Table1"/>
        <w:tblW w:w="9026.0" w:type="dxa"/>
        <w:jc w:val="left"/>
        <w:tblLayout w:type="fixed"/>
        <w:tblLook w:val="0400"/>
      </w:tblPr>
      <w:tblGrid>
        <w:gridCol w:w="4309"/>
        <w:gridCol w:w="408"/>
        <w:gridCol w:w="4309"/>
        <w:tblGridChange w:id="0">
          <w:tblGrid>
            <w:gridCol w:w="4309"/>
            <w:gridCol w:w="408"/>
            <w:gridCol w:w="4309"/>
          </w:tblGrid>
        </w:tblGridChange>
      </w:tblGrid>
      <w:tr>
        <w:trPr>
          <w:cantSplit w:val="1"/>
          <w:tblHeader w:val="0"/>
        </w:trPr>
        <w:tc>
          <w:tcPr>
            <w:gridSpan w:val="3"/>
          </w:tcPr>
          <w:p w:rsidR="00000000" w:rsidDel="00000000" w:rsidP="00000000" w:rsidRDefault="00000000" w:rsidRPr="00000000" w14:paraId="00000040">
            <w:pPr>
              <w:widowControl w:val="0"/>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Aldus overeengekomen en ondertekend in tweevoud door:</w:t>
            </w:r>
            <w:r w:rsidDel="00000000" w:rsidR="00000000" w:rsidRPr="00000000">
              <w:rPr>
                <w:rtl w:val="0"/>
              </w:rPr>
            </w:r>
          </w:p>
        </w:tc>
      </w:tr>
      <w:tr>
        <w:trPr>
          <w:cantSplit w:val="1"/>
          <w:tblHeader w:val="0"/>
        </w:trPr>
        <w:tc>
          <w:tcPr>
            <w:tcMar>
              <w:top w:w="150.0" w:type="dxa"/>
              <w:left w:w="238.0" w:type="dxa"/>
            </w:tcMar>
          </w:tcPr>
          <w:p w:rsidR="00000000" w:rsidDel="00000000" w:rsidP="00000000" w:rsidRDefault="00000000" w:rsidRPr="00000000" w14:paraId="00000043">
            <w:pPr>
              <w:widowControl w:val="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Namens Opdrachtgever:</w:t>
            </w:r>
            <w:r w:rsidDel="00000000" w:rsidR="00000000" w:rsidRPr="00000000">
              <w:rPr>
                <w:rFonts w:ascii="Verdana" w:cs="Verdana" w:eastAsia="Verdana" w:hAnsi="Verdana"/>
                <w:sz w:val="18"/>
                <w:szCs w:val="18"/>
                <w:rtl w:val="0"/>
              </w:rPr>
              <w:br w:type="textWrapping"/>
              <w:br w:type="textWrapping"/>
              <w:t xml:space="preserve">Naam:</w:t>
              <w:br w:type="textWrapping"/>
              <w:t xml:space="preserve">Functie:</w:t>
              <w:br w:type="textWrapping"/>
              <w:t xml:space="preserve">Datum:</w:t>
            </w:r>
          </w:p>
        </w:tc>
        <w:tc>
          <w:tcPr>
            <w:tcMar>
              <w:top w:w="150.0" w:type="dxa"/>
              <w:left w:w="238.0" w:type="dxa"/>
            </w:tcMar>
          </w:tcPr>
          <w:p w:rsidR="00000000" w:rsidDel="00000000" w:rsidP="00000000" w:rsidRDefault="00000000" w:rsidRPr="00000000" w14:paraId="00000044">
            <w:pPr>
              <w:rPr>
                <w:rFonts w:ascii="Verdana" w:cs="Verdana" w:eastAsia="Verdana" w:hAnsi="Verdana"/>
                <w:sz w:val="18"/>
                <w:szCs w:val="18"/>
              </w:rPr>
            </w:pPr>
            <w:r w:rsidDel="00000000" w:rsidR="00000000" w:rsidRPr="00000000">
              <w:rPr>
                <w:rtl w:val="0"/>
              </w:rPr>
            </w:r>
          </w:p>
        </w:tc>
        <w:tc>
          <w:tcPr>
            <w:tcMar>
              <w:top w:w="150.0" w:type="dxa"/>
              <w:left w:w="238.0" w:type="dxa"/>
            </w:tcMar>
          </w:tcPr>
          <w:p w:rsidR="00000000" w:rsidDel="00000000" w:rsidP="00000000" w:rsidRDefault="00000000" w:rsidRPr="00000000" w14:paraId="00000045">
            <w:pPr>
              <w:widowControl w:val="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Namens Leverancier:</w:t>
            </w:r>
            <w:r w:rsidDel="00000000" w:rsidR="00000000" w:rsidRPr="00000000">
              <w:rPr>
                <w:rFonts w:ascii="Verdana" w:cs="Verdana" w:eastAsia="Verdana" w:hAnsi="Verdana"/>
                <w:sz w:val="18"/>
                <w:szCs w:val="18"/>
                <w:rtl w:val="0"/>
              </w:rPr>
              <w:br w:type="textWrapping"/>
              <w:br w:type="textWrapping"/>
              <w:t xml:space="preserve">Naam:</w:t>
              <w:br w:type="textWrapping"/>
              <w:t xml:space="preserve">Functie:</w:t>
              <w:br w:type="textWrapping"/>
              <w:t xml:space="preserve">Datum:</w:t>
            </w:r>
          </w:p>
        </w:tc>
      </w:tr>
      <w:tr>
        <w:trPr>
          <w:cantSplit w:val="1"/>
          <w:tblHeader w:val="0"/>
        </w:trPr>
        <w:tc>
          <w:tcPr>
            <w:tcMar>
              <w:top w:w="150.0" w:type="dxa"/>
              <w:left w:w="238.0" w:type="dxa"/>
            </w:tcMar>
          </w:tcPr>
          <w:p w:rsidR="00000000" w:rsidDel="00000000" w:rsidP="00000000" w:rsidRDefault="00000000" w:rsidRPr="00000000" w14:paraId="00000046">
            <w:pPr>
              <w:widowControl w:val="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Handtekening</w:t>
              <w:br w:type="textWrapping"/>
              <w:br w:type="textWrapping"/>
              <w:br w:type="textWrapping"/>
              <w:br w:type="textWrapping"/>
              <w:t xml:space="preserve">......................................................</w:t>
            </w:r>
          </w:p>
        </w:tc>
        <w:tc>
          <w:tcPr>
            <w:tcMar>
              <w:top w:w="150.0" w:type="dxa"/>
              <w:left w:w="238.0" w:type="dxa"/>
            </w:tcMar>
          </w:tcPr>
          <w:p w:rsidR="00000000" w:rsidDel="00000000" w:rsidP="00000000" w:rsidRDefault="00000000" w:rsidRPr="00000000" w14:paraId="00000047">
            <w:pPr>
              <w:rPr>
                <w:rFonts w:ascii="Verdana" w:cs="Verdana" w:eastAsia="Verdana" w:hAnsi="Verdana"/>
                <w:sz w:val="18"/>
                <w:szCs w:val="18"/>
              </w:rPr>
            </w:pPr>
            <w:r w:rsidDel="00000000" w:rsidR="00000000" w:rsidRPr="00000000">
              <w:rPr>
                <w:rtl w:val="0"/>
              </w:rPr>
            </w:r>
          </w:p>
        </w:tc>
        <w:tc>
          <w:tcPr>
            <w:tcMar>
              <w:top w:w="150.0" w:type="dxa"/>
              <w:left w:w="238.0" w:type="dxa"/>
            </w:tcMar>
          </w:tcPr>
          <w:p w:rsidR="00000000" w:rsidDel="00000000" w:rsidP="00000000" w:rsidRDefault="00000000" w:rsidRPr="00000000" w14:paraId="00000048">
            <w:pPr>
              <w:widowControl w:val="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Handtekening</w:t>
              <w:br w:type="textWrapping"/>
              <w:br w:type="textWrapping"/>
              <w:br w:type="textWrapping"/>
              <w:br w:type="textWrapping"/>
              <w:t xml:space="preserve">......................................................</w:t>
            </w:r>
          </w:p>
        </w:tc>
      </w:tr>
    </w:tbl>
    <w:p w:rsidR="00000000" w:rsidDel="00000000" w:rsidP="00000000" w:rsidRDefault="00000000" w:rsidRPr="00000000" w14:paraId="00000049">
      <w:pPr>
        <w:pStyle w:val="Heading2"/>
        <w:spacing w:after="199" w:before="199"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OVERZICHT BIJLAGEN</w:t>
      </w:r>
    </w:p>
    <w:p w:rsidR="00000000" w:rsidDel="00000000" w:rsidP="00000000" w:rsidRDefault="00000000" w:rsidRPr="00000000" w14:paraId="0000004A">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Verwerkersovereenkomst;</w:t>
      </w:r>
    </w:p>
    <w:p w:rsidR="00000000" w:rsidDel="00000000" w:rsidP="00000000" w:rsidRDefault="00000000" w:rsidRPr="00000000" w14:paraId="0000004B">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De Nota van Inlichtingen;</w:t>
      </w:r>
    </w:p>
    <w:p w:rsidR="00000000" w:rsidDel="00000000" w:rsidP="00000000" w:rsidRDefault="00000000" w:rsidRPr="00000000" w14:paraId="0000004C">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Offerteaanvraag;</w:t>
      </w:r>
    </w:p>
    <w:p w:rsidR="00000000" w:rsidDel="00000000" w:rsidP="00000000" w:rsidRDefault="00000000" w:rsidRPr="00000000" w14:paraId="0000004D">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De Offerte van de Leverancier;</w:t>
      </w:r>
    </w:p>
    <w:p w:rsidR="00000000" w:rsidDel="00000000" w:rsidP="00000000" w:rsidRDefault="00000000" w:rsidRPr="00000000" w14:paraId="0000004E">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Inkoopvoorwaarden Stichting Viertaal</w:t>
      </w:r>
    </w:p>
    <w:p w:rsidR="00000000" w:rsidDel="00000000" w:rsidP="00000000" w:rsidRDefault="00000000" w:rsidRPr="00000000" w14:paraId="0000004F">
      <w:pPr>
        <w:numPr>
          <w:ilvl w:val="0"/>
          <w:numId w:val="3"/>
        </w:numPr>
        <w:spacing w:line="240" w:lineRule="auto"/>
        <w:ind w:left="720" w:hanging="360"/>
        <w:rPr>
          <w:sz w:val="18"/>
          <w:szCs w:val="18"/>
        </w:rPr>
      </w:pPr>
      <w:r w:rsidDel="00000000" w:rsidR="00000000" w:rsidRPr="00000000">
        <w:rPr>
          <w:rFonts w:ascii="Verdana" w:cs="Verdana" w:eastAsia="Verdana" w:hAnsi="Verdana"/>
          <w:sz w:val="18"/>
          <w:szCs w:val="18"/>
          <w:rtl w:val="0"/>
        </w:rPr>
        <w:t xml:space="preserve">Contactpersonen Opdrachtgever en Leverancier.</w:t>
      </w:r>
    </w:p>
    <w:sectPr>
      <w:headerReference r:id="rId7" w:type="default"/>
      <w:footerReference r:id="rId8" w:type="default"/>
      <w:pgSz w:h="16838" w:w="11906" w:orient="portrait"/>
      <w:pgMar w:bottom="1440" w:top="1440" w:left="1440" w:right="1440"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902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i w:val="1"/>
        <w:iCs w:val="1"/>
        <w:color w:val="cccccc"/>
        <w:sz w:val="16"/>
        <w:szCs w:val="16"/>
        <w:rtl w:val="0"/>
      </w:rPr>
      <w:t xml:space="preserve">© Expanding Visions - Stichting Viertaal,</w:t>
    </w:r>
    <w:r w:rsidDel="00000000" w:rsidR="00000000" w:rsidRPr="00000000">
      <w:rPr>
        <w:rFonts w:ascii="Verdana" w:cs="Verdana" w:eastAsia="Verdana" w:hAnsi="Verdana"/>
        <w:sz w:val="18"/>
        <w:szCs w:val="18"/>
        <w:rtl w:val="0"/>
      </w:rPr>
      <w:t xml:space="preserve"> </w:t>
    </w:r>
    <w:r w:rsidDel="00000000" w:rsidR="00000000" w:rsidRPr="00000000">
      <w:rPr>
        <w:rFonts w:ascii="Verdana" w:cs="Verdana" w:eastAsia="Verdana" w:hAnsi="Verdana"/>
        <w:i w:val="1"/>
        <w:iCs w:val="1"/>
        <w:color w:val="cccccc"/>
        <w:sz w:val="16"/>
        <w:szCs w:val="16"/>
        <w:rtl w:val="0"/>
      </w:rPr>
      <w:t xml:space="preserve">14 september 2026, versie 1.0</w:t>
      <w:tab/>
      <w:t xml:space="preserve">Pagina </w:t>
    </w:r>
    <w:r w:rsidDel="00000000" w:rsidR="00000000" w:rsidRPr="00000000">
      <w:rPr>
        <w:rFonts w:ascii="Verdana" w:cs="Verdana" w:eastAsia="Verdana" w:hAnsi="Verdana"/>
        <w:i w:val="1"/>
        <w:iCs w:val="1"/>
        <w:color w:val="cccccc"/>
        <w:sz w:val="16"/>
        <w:szCs w:val="16"/>
      </w:rPr>
      <w:fldChar w:fldCharType="begin"/>
      <w:instrText xml:space="preserve">PAGE</w:instrText>
      <w:fldChar w:fldCharType="separate"/>
      <w:fldChar w:fldCharType="end"/>
    </w:r>
    <w:r w:rsidDel="00000000" w:rsidR="00000000" w:rsidRPr="00000000">
      <w:rPr>
        <w:rFonts w:ascii="Verdana" w:cs="Verdana" w:eastAsia="Verdana" w:hAnsi="Verdana"/>
        <w:i w:val="1"/>
        <w:iCs w:val="1"/>
        <w:color w:val="cccccc"/>
        <w:sz w:val="16"/>
        <w:szCs w:val="16"/>
        <w:rtl w:val="0"/>
      </w:rPr>
      <w:t xml:space="preserve"> van </w:t>
    </w:r>
    <w:r w:rsidDel="00000000" w:rsidR="00000000" w:rsidRPr="00000000">
      <w:rPr>
        <w:rFonts w:ascii="Verdana" w:cs="Verdana" w:eastAsia="Verdana" w:hAnsi="Verdana"/>
        <w:i w:val="1"/>
        <w:iCs w:val="1"/>
        <w:color w:val="cccccc"/>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tabs>
        <w:tab w:val="right" w:leader="none" w:pos="9060"/>
      </w:tabs>
      <w:spacing w:line="276" w:lineRule="auto"/>
      <w:rPr>
        <w:rFonts w:ascii="Verdana" w:cs="Verdana" w:eastAsia="Verdana" w:hAnsi="Verdana"/>
        <w:i w:val="1"/>
        <w:iCs w:val="1"/>
        <w:color w:val="cccccc"/>
        <w:sz w:val="16"/>
        <w:szCs w:val="16"/>
      </w:rPr>
    </w:pPr>
    <w:r w:rsidDel="00000000" w:rsidR="00000000" w:rsidRPr="00000000">
      <w:rPr>
        <w:rtl w:val="0"/>
      </w:rPr>
    </w:r>
  </w:p>
  <w:p w:rsidR="00000000" w:rsidDel="00000000" w:rsidP="00000000" w:rsidRDefault="00000000" w:rsidRPr="00000000" w14:paraId="00000051">
    <w:pPr>
      <w:tabs>
        <w:tab w:val="right" w:leader="none" w:pos="9060"/>
      </w:tabs>
      <w:spacing w:line="276" w:lineRule="auto"/>
      <w:rPr>
        <w:rFonts w:ascii="Verdana" w:cs="Verdana" w:eastAsia="Verdana" w:hAnsi="Verdana"/>
        <w:i w:val="1"/>
        <w:iCs w:val="1"/>
        <w:color w:val="cccccc"/>
        <w:sz w:val="16"/>
        <w:szCs w:val="1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5667375</wp:posOffset>
          </wp:positionH>
          <wp:positionV relativeFrom="paragraph">
            <wp:posOffset>19050</wp:posOffset>
          </wp:positionV>
          <wp:extent cx="686117" cy="68611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86117" cy="686117"/>
                  </a:xfrm>
                  <a:prstGeom prst="rect"/>
                  <a:ln/>
                </pic:spPr>
              </pic:pic>
            </a:graphicData>
          </a:graphic>
        </wp:anchor>
      </w:drawing>
    </w:r>
  </w:p>
  <w:p w:rsidR="00000000" w:rsidDel="00000000" w:rsidP="00000000" w:rsidRDefault="00000000" w:rsidRPr="00000000" w14:paraId="00000052">
    <w:pPr>
      <w:tabs>
        <w:tab w:val="right" w:leader="none" w:pos="9060"/>
      </w:tabs>
      <w:spacing w:line="276" w:lineRule="auto"/>
      <w:rPr>
        <w:rFonts w:ascii="Verdana" w:cs="Verdana" w:eastAsia="Verdana" w:hAnsi="Verdana"/>
        <w:i w:val="1"/>
        <w:iCs w:val="1"/>
        <w:color w:val="cccccc"/>
        <w:sz w:val="16"/>
        <w:szCs w:val="16"/>
      </w:rPr>
    </w:pPr>
    <w:r w:rsidDel="00000000" w:rsidR="00000000" w:rsidRPr="00000000">
      <w:rPr>
        <w:rFonts w:ascii="Verdana" w:cs="Verdana" w:eastAsia="Verdana" w:hAnsi="Verdana"/>
        <w:i w:val="1"/>
        <w:iCs w:val="1"/>
        <w:color w:val="cccccc"/>
        <w:sz w:val="16"/>
        <w:szCs w:val="16"/>
        <w:rtl w:val="0"/>
      </w:rPr>
      <w:t xml:space="preserve">Overeenkomst multifunctionals, Stichting VierTaal </w:t>
    </w:r>
  </w:p>
  <w:p w:rsidR="00000000" w:rsidDel="00000000" w:rsidP="00000000" w:rsidRDefault="00000000" w:rsidRPr="00000000" w14:paraId="0000005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Artikel %1."/>
      <w:lvlJc w:val="left"/>
      <w:pPr>
        <w:ind w:left="360" w:hanging="360"/>
      </w:pPr>
      <w:rPr/>
    </w:lvl>
    <w:lvl w:ilvl="1">
      <w:start w:val="1"/>
      <w:numFmt w:val="decimal"/>
      <w:lvlText w:val="%1.%2."/>
      <w:lvlJc w:val="left"/>
      <w:pPr>
        <w:ind w:left="720" w:hanging="360"/>
      </w:pPr>
      <w:rPr>
        <w:sz w:val="18"/>
        <w:szCs w:val="18"/>
      </w:rPr>
    </w:lvl>
    <w:lvl w:ilvl="2">
      <w:start w:val="1"/>
      <w:numFmt w:val="decimal"/>
      <w:lvlText w:val="%1.%2.%3."/>
      <w:lvlJc w:val="left"/>
      <w:pPr>
        <w:ind w:left="1080" w:hanging="360"/>
      </w:pPr>
      <w:rPr/>
    </w:lvl>
    <w:lvl w:ilvl="3">
      <w:start w:val="1"/>
      <w:numFmt w:val="decimal"/>
      <w:lvlText w:val="%1.%2.%3.%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bullet"/>
      <w:lvlText w:val="●"/>
      <w:lvlJc w:val="left"/>
      <w:pPr>
        <w:ind w:left="1778" w:hanging="360"/>
      </w:pPr>
      <w:rPr>
        <w:rFonts w:ascii="Noto Sans Symbols" w:cs="Noto Sans Symbols" w:eastAsia="Noto Sans Symbols" w:hAnsi="Noto Sans Symbols"/>
      </w:rPr>
    </w:lvl>
    <w:lvl w:ilvl="1">
      <w:start w:val="1"/>
      <w:numFmt w:val="bullet"/>
      <w:lvlText w:val="o"/>
      <w:lvlJc w:val="left"/>
      <w:pPr>
        <w:ind w:left="2498" w:hanging="360"/>
      </w:pPr>
      <w:rPr>
        <w:rFonts w:ascii="Courier New" w:cs="Courier New" w:eastAsia="Courier New" w:hAnsi="Courier New"/>
      </w:rPr>
    </w:lvl>
    <w:lvl w:ilvl="2">
      <w:start w:val="1"/>
      <w:numFmt w:val="bullet"/>
      <w:lvlText w:val="▪"/>
      <w:lvlJc w:val="left"/>
      <w:pPr>
        <w:ind w:left="3218" w:hanging="360"/>
      </w:pPr>
      <w:rPr>
        <w:rFonts w:ascii="Noto Sans Symbols" w:cs="Noto Sans Symbols" w:eastAsia="Noto Sans Symbols" w:hAnsi="Noto Sans Symbols"/>
      </w:rPr>
    </w:lvl>
    <w:lvl w:ilvl="3">
      <w:start w:val="1"/>
      <w:numFmt w:val="bullet"/>
      <w:lvlText w:val="●"/>
      <w:lvlJc w:val="left"/>
      <w:pPr>
        <w:ind w:left="3938" w:hanging="360"/>
      </w:pPr>
      <w:rPr>
        <w:rFonts w:ascii="Noto Sans Symbols" w:cs="Noto Sans Symbols" w:eastAsia="Noto Sans Symbols" w:hAnsi="Noto Sans Symbols"/>
      </w:rPr>
    </w:lvl>
    <w:lvl w:ilvl="4">
      <w:start w:val="1"/>
      <w:numFmt w:val="bullet"/>
      <w:lvlText w:val="o"/>
      <w:lvlJc w:val="left"/>
      <w:pPr>
        <w:ind w:left="4658" w:hanging="360"/>
      </w:pPr>
      <w:rPr>
        <w:rFonts w:ascii="Courier New" w:cs="Courier New" w:eastAsia="Courier New" w:hAnsi="Courier New"/>
      </w:rPr>
    </w:lvl>
    <w:lvl w:ilvl="5">
      <w:start w:val="1"/>
      <w:numFmt w:val="bullet"/>
      <w:lvlText w:val="▪"/>
      <w:lvlJc w:val="left"/>
      <w:pPr>
        <w:ind w:left="5378" w:hanging="360"/>
      </w:pPr>
      <w:rPr>
        <w:rFonts w:ascii="Noto Sans Symbols" w:cs="Noto Sans Symbols" w:eastAsia="Noto Sans Symbols" w:hAnsi="Noto Sans Symbols"/>
      </w:rPr>
    </w:lvl>
    <w:lvl w:ilvl="6">
      <w:start w:val="1"/>
      <w:numFmt w:val="bullet"/>
      <w:lvlText w:val="●"/>
      <w:lvlJc w:val="left"/>
      <w:pPr>
        <w:ind w:left="6098" w:hanging="360"/>
      </w:pPr>
      <w:rPr>
        <w:rFonts w:ascii="Noto Sans Symbols" w:cs="Noto Sans Symbols" w:eastAsia="Noto Sans Symbols" w:hAnsi="Noto Sans Symbols"/>
      </w:rPr>
    </w:lvl>
    <w:lvl w:ilvl="7">
      <w:start w:val="1"/>
      <w:numFmt w:val="bullet"/>
      <w:lvlText w:val="o"/>
      <w:lvlJc w:val="left"/>
      <w:pPr>
        <w:ind w:left="6818" w:hanging="360"/>
      </w:pPr>
      <w:rPr>
        <w:rFonts w:ascii="Courier New" w:cs="Courier New" w:eastAsia="Courier New" w:hAnsi="Courier New"/>
      </w:rPr>
    </w:lvl>
    <w:lvl w:ilvl="8">
      <w:start w:val="1"/>
      <w:numFmt w:val="bullet"/>
      <w:lvlText w:val="▪"/>
      <w:lvlJc w:val="left"/>
      <w:pPr>
        <w:ind w:left="7538"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l"/>
      </w:rPr>
    </w:rPrDefault>
    <w:pPrDefault>
      <w:pPr>
        <w:spacing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b w:val="1"/>
      <w:bCs w:val="1"/>
      <w:color w:val="000000"/>
      <w:sz w:val="70"/>
      <w:szCs w:val="70"/>
    </w:rPr>
  </w:style>
  <w:style w:type="paragraph" w:styleId="Heading2">
    <w:name w:val="heading 2"/>
    <w:basedOn w:val="Normal"/>
    <w:next w:val="Normal"/>
    <w:pPr>
      <w:keepNext w:val="1"/>
      <w:keepLines w:val="1"/>
      <w:spacing w:before="40" w:lineRule="auto"/>
    </w:pPr>
    <w:rPr>
      <w:b w:val="1"/>
      <w:bCs w:val="1"/>
      <w:color w:val="000000"/>
      <w:sz w:val="48"/>
      <w:szCs w:val="48"/>
    </w:rPr>
  </w:style>
  <w:style w:type="paragraph" w:styleId="Heading3">
    <w:name w:val="heading 3"/>
    <w:basedOn w:val="Normal"/>
    <w:next w:val="Normal"/>
    <w:pPr>
      <w:keepNext w:val="1"/>
      <w:keepLines w:val="1"/>
      <w:spacing w:before="40" w:lineRule="auto"/>
    </w:pPr>
    <w:rPr>
      <w:b w:val="1"/>
      <w:bCs w:val="1"/>
      <w:color w:val="000000"/>
      <w:sz w:val="28"/>
      <w:szCs w:val="28"/>
    </w:rPr>
  </w:style>
  <w:style w:type="paragraph" w:styleId="Heading4">
    <w:name w:val="heading 4"/>
    <w:basedOn w:val="Normal"/>
    <w:next w:val="Normal"/>
    <w:pPr>
      <w:keepNext w:val="1"/>
      <w:keepLines w:val="1"/>
      <w:spacing w:before="40" w:lineRule="auto"/>
    </w:pPr>
    <w:rPr>
      <w:b w:val="1"/>
      <w:bCs w:val="1"/>
      <w:color w:val="000000"/>
      <w:sz w:val="26"/>
      <w:szCs w:val="26"/>
    </w:rPr>
  </w:style>
  <w:style w:type="paragraph" w:styleId="Heading5">
    <w:name w:val="heading 5"/>
    <w:basedOn w:val="Normal"/>
    <w:next w:val="Normal"/>
    <w:pPr>
      <w:keepNext w:val="1"/>
      <w:keepLines w:val="1"/>
      <w:spacing w:before="40" w:lineRule="auto"/>
    </w:pPr>
    <w:rPr>
      <w:b w:val="1"/>
      <w:bCs w:val="1"/>
      <w:color w:val="000000"/>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40" w:lineRule="auto"/>
    </w:pPr>
    <w:rPr>
      <w:b w:val="1"/>
      <w:bCs w:val="1"/>
      <w:sz w:val="70"/>
      <w:szCs w:val="7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77.0" w:type="dxa"/>
        <w:left w:w="0.0" w:type="dxa"/>
        <w:bottom w:w="150.0" w:type="dxa"/>
        <w:right w:w="15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oo6kdaUXOmJycbwGz6iLForTlQ==">CgMxLjA4AHIhMVFvQ3lnY2pTMnFuTk1LaEF4dWpQSmZ1VWhEd3NpVlBz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