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C10A7F" w:rsidR="002D0153" w:rsidP="485D289E" w:rsidRDefault="002D0153" w14:paraId="59DAACC9" w14:textId="6A71AE67"/>
    <w:p w:rsidRPr="00C10A7F" w:rsidR="002D0153" w:rsidP="1466637D" w:rsidRDefault="002D0153" w14:paraId="18E20BBD" w14:textId="64B89F0D">
      <w:pPr>
        <w:spacing w:line="278" w:lineRule="auto"/>
        <w:jc w:val="center"/>
        <w:rPr>
          <w:rFonts w:ascii="Aptos" w:hAnsi="Aptos" w:eastAsia="Aptos" w:cs="Aptos"/>
          <w:b/>
          <w:bCs/>
          <w:color w:val="000000" w:themeColor="text1"/>
          <w:sz w:val="56"/>
          <w:szCs w:val="56"/>
        </w:rPr>
      </w:pPr>
    </w:p>
    <w:p w:rsidRPr="00C10A7F" w:rsidR="002D0153" w:rsidP="1466637D" w:rsidRDefault="33B933D9" w14:paraId="18DCFED0" w14:textId="685361B5">
      <w:pPr>
        <w:spacing w:line="278" w:lineRule="auto"/>
        <w:jc w:val="center"/>
        <w:rPr>
          <w:rFonts w:ascii="Aptos" w:hAnsi="Aptos" w:eastAsia="Aptos" w:cs="Aptos"/>
          <w:color w:val="000000" w:themeColor="text1"/>
          <w:sz w:val="56"/>
          <w:szCs w:val="56"/>
        </w:rPr>
      </w:pPr>
      <w:r w:rsidRPr="1466637D">
        <w:rPr>
          <w:rFonts w:ascii="Aptos" w:hAnsi="Aptos" w:eastAsia="Aptos" w:cs="Aptos"/>
          <w:b/>
          <w:bCs/>
          <w:color w:val="000000" w:themeColor="text1"/>
          <w:sz w:val="56"/>
          <w:szCs w:val="56"/>
        </w:rPr>
        <w:t>Europese Aanbesteding</w:t>
      </w:r>
    </w:p>
    <w:p w:rsidRPr="00C10A7F" w:rsidR="002D0153" w:rsidP="1466637D" w:rsidRDefault="33B933D9" w14:paraId="60DC3998" w14:textId="2BF14841">
      <w:pPr>
        <w:spacing w:line="278" w:lineRule="auto"/>
        <w:jc w:val="center"/>
        <w:rPr>
          <w:rFonts w:ascii="Aptos" w:hAnsi="Aptos" w:eastAsia="Aptos" w:cs="Aptos"/>
          <w:color w:val="000000" w:themeColor="text1"/>
          <w:sz w:val="56"/>
          <w:szCs w:val="56"/>
        </w:rPr>
      </w:pPr>
      <w:r w:rsidRPr="1466637D">
        <w:rPr>
          <w:rFonts w:ascii="Aptos" w:hAnsi="Aptos" w:eastAsia="Aptos" w:cs="Aptos"/>
          <w:b/>
          <w:bCs/>
          <w:color w:val="000000" w:themeColor="text1"/>
          <w:sz w:val="56"/>
          <w:szCs w:val="56"/>
        </w:rPr>
        <w:t>AV-middelen en diensten</w:t>
      </w:r>
    </w:p>
    <w:p w:rsidRPr="00C10A7F" w:rsidR="002D0153" w:rsidP="485D289E" w:rsidRDefault="002D0153" w14:paraId="35237ED3" w14:textId="2B70090A">
      <w:pPr>
        <w:jc w:val="center"/>
        <w:rPr>
          <w:rFonts w:ascii="Aptos" w:hAnsi="Aptos" w:eastAsia="Aptos" w:cs="Aptos"/>
          <w:color w:val="000000" w:themeColor="text1"/>
          <w:sz w:val="56"/>
          <w:szCs w:val="56"/>
        </w:rPr>
      </w:pPr>
    </w:p>
    <w:p w:rsidRPr="009A4846" w:rsidR="002D0153" w:rsidP="1466637D" w:rsidRDefault="33B933D9" w14:paraId="2DC53C65" w14:textId="71733420">
      <w:pPr>
        <w:jc w:val="center"/>
        <w:rPr>
          <w:rFonts w:ascii="Aptos" w:hAnsi="Aptos" w:eastAsia="Aptos" w:cs="Aptos"/>
          <w:color w:val="000000" w:themeColor="text1"/>
          <w:sz w:val="56"/>
          <w:szCs w:val="56"/>
        </w:rPr>
      </w:pPr>
      <w:r w:rsidRPr="009A4846">
        <w:rPr>
          <w:rFonts w:ascii="Aptos" w:hAnsi="Aptos" w:eastAsia="Aptos" w:cs="Aptos"/>
          <w:color w:val="000000" w:themeColor="text1"/>
          <w:sz w:val="56"/>
          <w:szCs w:val="56"/>
        </w:rPr>
        <w:t xml:space="preserve">Beschrijving </w:t>
      </w:r>
      <w:r w:rsidRPr="009A4846" w:rsidR="2C6C57CC">
        <w:rPr>
          <w:rFonts w:ascii="Aptos" w:hAnsi="Aptos" w:eastAsia="Aptos" w:cs="Aptos"/>
          <w:color w:val="000000" w:themeColor="text1"/>
          <w:sz w:val="56"/>
          <w:szCs w:val="56"/>
        </w:rPr>
        <w:t xml:space="preserve">Use Cases </w:t>
      </w:r>
    </w:p>
    <w:p w:rsidRPr="00C10A7F" w:rsidR="002D0153" w:rsidP="485D289E" w:rsidRDefault="002D0153" w14:paraId="615B1E62" w14:textId="77777777">
      <w:pPr>
        <w:jc w:val="center"/>
        <w:rPr>
          <w:rFonts w:ascii="Aptos" w:hAnsi="Aptos" w:eastAsia="Aptos" w:cs="Aptos"/>
          <w:color w:val="000000" w:themeColor="text1"/>
          <w:sz w:val="28"/>
          <w:szCs w:val="28"/>
        </w:rPr>
      </w:pPr>
    </w:p>
    <w:p w:rsidRPr="00C10A7F" w:rsidR="002D0153" w:rsidP="485D289E" w:rsidRDefault="38D14E90" w14:paraId="7FA98E4F" w14:textId="77777777">
      <w:pPr>
        <w:jc w:val="center"/>
        <w:rPr>
          <w:rFonts w:ascii="Aptos" w:hAnsi="Aptos" w:eastAsia="Aptos" w:cs="Aptos"/>
          <w:color w:val="000000" w:themeColor="text1"/>
          <w:sz w:val="28"/>
          <w:szCs w:val="28"/>
        </w:rPr>
      </w:pPr>
      <w:r w:rsidRPr="00C10A7F">
        <w:rPr>
          <w:rFonts w:ascii="Aptos" w:hAnsi="Aptos" w:eastAsia="Aptos" w:cs="Aptos"/>
          <w:color w:val="000000" w:themeColor="text1"/>
          <w:sz w:val="24"/>
          <w:szCs w:val="24"/>
        </w:rPr>
        <w:t xml:space="preserve">  </w:t>
      </w:r>
      <w:r w:rsidRPr="00C10A7F">
        <w:rPr>
          <w:noProof/>
        </w:rPr>
        <w:drawing>
          <wp:inline distT="0" distB="0" distL="0" distR="0" wp14:anchorId="29A8F952" wp14:editId="5B98F8CF">
            <wp:extent cx="2381250" cy="476250"/>
            <wp:effectExtent l="0" t="0" r="0" b="0"/>
            <wp:docPr id="1334732894" name="drawing">
              <a:extLst xmlns:a="http://schemas.openxmlformats.org/drawingml/2006/main">
                <a:ext uri="{FF2B5EF4-FFF2-40B4-BE49-F238E27FC236}">
                  <a16:creationId xmlns:a16="http://schemas.microsoft.com/office/drawing/2014/main" id="{BE34AE00-31E1-43E3-BD79-EDEACE28EA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732894" name="Picture 1334732894"/>
                    <pic:cNvPicPr/>
                  </pic:nvPicPr>
                  <pic:blipFill>
                    <a:blip r:embed="rId10">
                      <a:extLst>
                        <a:ext uri="{28A0092B-C50C-407E-A947-70E740481C1C}">
                          <a14:useLocalDpi xmlns:a14="http://schemas.microsoft.com/office/drawing/2010/main"/>
                        </a:ext>
                      </a:extLst>
                    </a:blip>
                    <a:stretch>
                      <a:fillRect/>
                    </a:stretch>
                  </pic:blipFill>
                  <pic:spPr>
                    <a:xfrm>
                      <a:off x="0" y="0"/>
                      <a:ext cx="2381250" cy="476250"/>
                    </a:xfrm>
                    <a:prstGeom prst="rect">
                      <a:avLst/>
                    </a:prstGeom>
                  </pic:spPr>
                </pic:pic>
              </a:graphicData>
            </a:graphic>
          </wp:inline>
        </w:drawing>
      </w:r>
      <w:r w:rsidRPr="00C10A7F">
        <w:rPr>
          <w:rFonts w:ascii="Aptos" w:hAnsi="Aptos" w:eastAsia="Aptos" w:cs="Aptos"/>
          <w:color w:val="000000" w:themeColor="text1"/>
          <w:sz w:val="24"/>
          <w:szCs w:val="24"/>
        </w:rPr>
        <w:t xml:space="preserve"> </w:t>
      </w:r>
    </w:p>
    <w:p w:rsidRPr="00C10A7F" w:rsidR="002D0153" w:rsidP="485D289E" w:rsidRDefault="002D0153" w14:paraId="26C55E71" w14:textId="77777777">
      <w:pPr>
        <w:rPr>
          <w:rFonts w:ascii="Aptos" w:hAnsi="Aptos" w:eastAsia="Aptos" w:cs="Aptos"/>
          <w:color w:val="000000" w:themeColor="text1"/>
          <w:sz w:val="24"/>
          <w:szCs w:val="24"/>
        </w:rPr>
      </w:pPr>
    </w:p>
    <w:p w:rsidRPr="00C10A7F" w:rsidR="002D0153" w:rsidP="485D289E" w:rsidRDefault="002D0153" w14:paraId="7CC4E4B2" w14:textId="77777777">
      <w:pPr>
        <w:rPr>
          <w:rFonts w:ascii="Aptos" w:hAnsi="Aptos" w:eastAsia="Aptos" w:cs="Aptos"/>
          <w:color w:val="000000" w:themeColor="text1"/>
          <w:sz w:val="24"/>
          <w:szCs w:val="24"/>
        </w:rPr>
      </w:pPr>
    </w:p>
    <w:p w:rsidRPr="00C10A7F" w:rsidR="002D0153" w:rsidP="485D289E" w:rsidRDefault="002D0153" w14:paraId="28868417" w14:textId="77777777">
      <w:pPr>
        <w:rPr>
          <w:rFonts w:ascii="Aptos" w:hAnsi="Aptos" w:eastAsia="Aptos" w:cs="Aptos"/>
          <w:color w:val="000000" w:themeColor="text1"/>
          <w:sz w:val="24"/>
          <w:szCs w:val="24"/>
        </w:rPr>
      </w:pPr>
    </w:p>
    <w:p w:rsidRPr="00C10A7F" w:rsidR="002D0153" w:rsidP="485D289E" w:rsidRDefault="002D0153" w14:paraId="4B8630E9" w14:textId="77777777">
      <w:pPr>
        <w:rPr>
          <w:rFonts w:ascii="Aptos" w:hAnsi="Aptos" w:eastAsia="Aptos" w:cs="Aptos"/>
          <w:color w:val="000000" w:themeColor="text1"/>
          <w:sz w:val="24"/>
          <w:szCs w:val="24"/>
        </w:rPr>
      </w:pPr>
    </w:p>
    <w:p w:rsidRPr="00C10A7F" w:rsidR="002D0153" w:rsidP="485D289E" w:rsidRDefault="002D0153" w14:paraId="760F2A37" w14:textId="77777777">
      <w:pPr>
        <w:rPr>
          <w:rFonts w:ascii="Aptos" w:hAnsi="Aptos" w:eastAsia="Aptos" w:cs="Aptos"/>
          <w:color w:val="000000" w:themeColor="text1"/>
          <w:sz w:val="24"/>
          <w:szCs w:val="24"/>
        </w:rPr>
      </w:pPr>
    </w:p>
    <w:p w:rsidRPr="00C10A7F" w:rsidR="002D0153" w:rsidP="485D289E" w:rsidRDefault="002D0153" w14:paraId="3ED37C70" w14:textId="77777777">
      <w:pPr>
        <w:rPr>
          <w:rFonts w:ascii="Aptos" w:hAnsi="Aptos" w:eastAsia="Aptos" w:cs="Aptos"/>
          <w:color w:val="000000" w:themeColor="text1"/>
          <w:sz w:val="24"/>
          <w:szCs w:val="24"/>
        </w:rPr>
      </w:pPr>
    </w:p>
    <w:p w:rsidRPr="00C10A7F" w:rsidR="002D0153" w:rsidP="485D289E" w:rsidRDefault="002D0153" w14:paraId="5259A349" w14:textId="77777777">
      <w:pPr>
        <w:rPr>
          <w:rFonts w:ascii="Aptos" w:hAnsi="Aptos" w:eastAsia="Aptos" w:cs="Aptos"/>
          <w:color w:val="000000" w:themeColor="text1"/>
          <w:sz w:val="24"/>
          <w:szCs w:val="24"/>
        </w:rPr>
      </w:pPr>
    </w:p>
    <w:p w:rsidRPr="00C10A7F" w:rsidR="002D0153" w:rsidP="485D289E" w:rsidRDefault="002D0153" w14:paraId="53DA161D" w14:textId="77777777">
      <w:pPr>
        <w:rPr>
          <w:rFonts w:ascii="Aptos" w:hAnsi="Aptos" w:eastAsia="Aptos" w:cs="Aptos"/>
          <w:color w:val="000000" w:themeColor="text1"/>
          <w:sz w:val="24"/>
          <w:szCs w:val="24"/>
        </w:rPr>
      </w:pPr>
    </w:p>
    <w:p w:rsidRPr="00C10A7F" w:rsidR="002D0153" w:rsidP="485D289E" w:rsidRDefault="002D0153" w14:paraId="708F3445" w14:textId="77777777">
      <w:pPr>
        <w:rPr>
          <w:rFonts w:ascii="Aptos" w:hAnsi="Aptos" w:eastAsia="Aptos" w:cs="Aptos"/>
          <w:color w:val="000000" w:themeColor="text1"/>
          <w:sz w:val="24"/>
          <w:szCs w:val="24"/>
        </w:rPr>
      </w:pPr>
    </w:p>
    <w:p w:rsidRPr="00C10A7F" w:rsidR="002D0153" w:rsidP="485D289E" w:rsidRDefault="38D14E90" w14:paraId="40D51DD2" w14:textId="77777777">
      <w:pPr>
        <w:rPr>
          <w:rFonts w:ascii="Aptos" w:hAnsi="Aptos" w:eastAsia="Aptos" w:cs="Aptos"/>
          <w:color w:val="000000" w:themeColor="text1"/>
          <w:sz w:val="24"/>
          <w:szCs w:val="24"/>
        </w:rPr>
      </w:pPr>
      <w:r w:rsidRPr="00C10A7F">
        <w:rPr>
          <w:rFonts w:ascii="Aptos" w:hAnsi="Aptos" w:eastAsia="Aptos" w:cs="Aptos"/>
          <w:color w:val="000000" w:themeColor="text1"/>
          <w:sz w:val="24"/>
          <w:szCs w:val="24"/>
        </w:rPr>
        <w:t>__________________________________________________________________________________</w:t>
      </w:r>
    </w:p>
    <w:p w:rsidRPr="00C10A7F" w:rsidR="002D0153" w:rsidP="485D289E" w:rsidRDefault="38D14E90" w14:paraId="4AE5EAB6" w14:textId="77777777">
      <w:pPr>
        <w:rPr>
          <w:rFonts w:ascii="Aptos" w:hAnsi="Aptos" w:eastAsia="Aptos" w:cs="Aptos"/>
          <w:color w:val="000000" w:themeColor="text1"/>
          <w:sz w:val="24"/>
          <w:szCs w:val="24"/>
        </w:rPr>
      </w:pPr>
      <w:r w:rsidRPr="00C10A7F">
        <w:rPr>
          <w:rFonts w:ascii="Aptos" w:hAnsi="Aptos" w:eastAsia="Aptos" w:cs="Aptos"/>
          <w:color w:val="000000" w:themeColor="text1"/>
          <w:sz w:val="24"/>
          <w:szCs w:val="24"/>
        </w:rPr>
        <w:t>Opgesteld door</w:t>
      </w:r>
      <w:r w:rsidRPr="00C10A7F" w:rsidR="008F5D75">
        <w:tab/>
      </w:r>
      <w:r w:rsidRPr="00C10A7F" w:rsidR="008F5D75">
        <w:tab/>
      </w:r>
      <w:r w:rsidRPr="00C10A7F">
        <w:rPr>
          <w:rFonts w:ascii="Aptos" w:hAnsi="Aptos" w:eastAsia="Aptos" w:cs="Aptos"/>
          <w:color w:val="000000" w:themeColor="text1"/>
          <w:sz w:val="24"/>
          <w:szCs w:val="24"/>
        </w:rPr>
        <w:t>: A. Versteeg</w:t>
      </w:r>
    </w:p>
    <w:p w:rsidRPr="00C10A7F" w:rsidR="002D0153" w:rsidP="485D289E" w:rsidRDefault="38D14E90" w14:paraId="716A37C2" w14:textId="4F898201">
      <w:pPr>
        <w:rPr>
          <w:rFonts w:ascii="Aptos" w:hAnsi="Aptos" w:eastAsia="Aptos" w:cs="Aptos"/>
          <w:color w:val="000000" w:themeColor="text1"/>
          <w:sz w:val="24"/>
          <w:szCs w:val="24"/>
        </w:rPr>
      </w:pPr>
      <w:r w:rsidRPr="1466637D">
        <w:rPr>
          <w:rFonts w:ascii="Aptos" w:hAnsi="Aptos" w:eastAsia="Aptos" w:cs="Aptos"/>
          <w:color w:val="000000" w:themeColor="text1"/>
          <w:sz w:val="24"/>
          <w:szCs w:val="24"/>
        </w:rPr>
        <w:t>Datum</w:t>
      </w:r>
      <w:r>
        <w:tab/>
      </w:r>
      <w:r>
        <w:tab/>
      </w:r>
      <w:r>
        <w:tab/>
      </w:r>
      <w:r w:rsidR="009A4846">
        <w:tab/>
      </w:r>
      <w:r w:rsidRPr="1466637D">
        <w:rPr>
          <w:rFonts w:ascii="Aptos" w:hAnsi="Aptos" w:eastAsia="Aptos" w:cs="Aptos"/>
          <w:color w:val="000000" w:themeColor="text1"/>
          <w:sz w:val="24"/>
          <w:szCs w:val="24"/>
        </w:rPr>
        <w:t xml:space="preserve">: </w:t>
      </w:r>
      <w:r w:rsidRPr="1466637D" w:rsidR="5E454E15">
        <w:rPr>
          <w:rFonts w:ascii="Aptos" w:hAnsi="Aptos" w:eastAsia="Aptos" w:cs="Aptos"/>
          <w:color w:val="000000" w:themeColor="text1"/>
          <w:sz w:val="24"/>
          <w:szCs w:val="24"/>
        </w:rPr>
        <w:t xml:space="preserve">8 </w:t>
      </w:r>
      <w:r w:rsidR="002A6CF5">
        <w:rPr>
          <w:rFonts w:ascii="Aptos" w:hAnsi="Aptos" w:eastAsia="Aptos" w:cs="Aptos"/>
          <w:color w:val="000000" w:themeColor="text1"/>
          <w:sz w:val="24"/>
          <w:szCs w:val="24"/>
        </w:rPr>
        <w:t>september</w:t>
      </w:r>
      <w:r w:rsidRPr="1466637D">
        <w:rPr>
          <w:rFonts w:ascii="Aptos" w:hAnsi="Aptos" w:eastAsia="Aptos" w:cs="Aptos"/>
          <w:color w:val="000000" w:themeColor="text1"/>
          <w:sz w:val="24"/>
          <w:szCs w:val="24"/>
        </w:rPr>
        <w:t xml:space="preserve"> 2026</w:t>
      </w:r>
    </w:p>
    <w:p w:rsidRPr="00C10A7F" w:rsidR="002D0153" w:rsidP="485D289E" w:rsidRDefault="38D14E90" w14:paraId="12EA000C" w14:textId="77777777">
      <w:pPr>
        <w:rPr>
          <w:rFonts w:ascii="Aptos" w:hAnsi="Aptos" w:eastAsia="Aptos" w:cs="Aptos"/>
          <w:i/>
          <w:iCs/>
          <w:color w:val="EE0000"/>
          <w:sz w:val="24"/>
          <w:szCs w:val="24"/>
        </w:rPr>
      </w:pPr>
      <w:r w:rsidRPr="00C10A7F">
        <w:rPr>
          <w:rFonts w:ascii="Aptos" w:hAnsi="Aptos" w:eastAsia="Aptos" w:cs="Aptos"/>
          <w:color w:val="000000" w:themeColor="text1"/>
          <w:sz w:val="24"/>
          <w:szCs w:val="24"/>
        </w:rPr>
        <w:t>Versie</w:t>
      </w:r>
      <w:r w:rsidRPr="00C10A7F" w:rsidR="008F5D75">
        <w:tab/>
      </w:r>
      <w:r w:rsidRPr="00C10A7F" w:rsidR="008F5D75">
        <w:tab/>
      </w:r>
      <w:r w:rsidRPr="00C10A7F" w:rsidR="008F5D75">
        <w:tab/>
      </w:r>
      <w:r w:rsidRPr="00C10A7F" w:rsidR="008F5D75">
        <w:tab/>
      </w:r>
      <w:r w:rsidRPr="00C10A7F">
        <w:rPr>
          <w:rFonts w:ascii="Aptos" w:hAnsi="Aptos" w:eastAsia="Aptos" w:cs="Aptos"/>
          <w:color w:val="000000" w:themeColor="text1"/>
          <w:sz w:val="24"/>
          <w:szCs w:val="24"/>
        </w:rPr>
        <w:t>:</w:t>
      </w:r>
      <w:r w:rsidRPr="00C10A7F" w:rsidR="0D31BF7C">
        <w:rPr>
          <w:rFonts w:ascii="Aptos" w:hAnsi="Aptos" w:eastAsia="Aptos" w:cs="Aptos"/>
          <w:color w:val="000000" w:themeColor="text1"/>
          <w:sz w:val="24"/>
          <w:szCs w:val="24"/>
        </w:rPr>
        <w:t xml:space="preserve"> 1.0</w:t>
      </w:r>
    </w:p>
    <w:p w:rsidRPr="00C10A7F" w:rsidR="002D0153" w:rsidP="485D289E" w:rsidRDefault="38D14E90" w14:paraId="30785843" w14:textId="34CA319F">
      <w:pPr>
        <w:rPr>
          <w:rFonts w:ascii="Aptos" w:hAnsi="Aptos" w:eastAsia="Aptos" w:cs="Aptos"/>
          <w:color w:val="000000" w:themeColor="text1"/>
          <w:sz w:val="24"/>
          <w:szCs w:val="24"/>
        </w:rPr>
      </w:pPr>
      <w:r w:rsidRPr="00C10A7F">
        <w:rPr>
          <w:rFonts w:ascii="Aptos" w:hAnsi="Aptos" w:eastAsia="Aptos" w:cs="Aptos"/>
          <w:color w:val="000000" w:themeColor="text1"/>
          <w:sz w:val="24"/>
          <w:szCs w:val="24"/>
        </w:rPr>
        <w:t>_________________________________________________________________________________</w:t>
      </w:r>
    </w:p>
    <w:p w:rsidR="00F71FBE" w:rsidRDefault="00F71FBE" w14:paraId="536C7A57" w14:textId="77777777">
      <w:pPr>
        <w:rPr>
          <w:b/>
          <w:bCs/>
          <w:sz w:val="28"/>
          <w:szCs w:val="28"/>
        </w:rPr>
      </w:pPr>
      <w:r>
        <w:rPr>
          <w:b/>
          <w:bCs/>
          <w:sz w:val="28"/>
          <w:szCs w:val="28"/>
        </w:rPr>
        <w:br w:type="page"/>
      </w:r>
    </w:p>
    <w:p w:rsidRPr="00C10A7F" w:rsidR="002D0153" w:rsidP="485D289E" w:rsidRDefault="30330213" w14:paraId="4A47AD7D" w14:textId="21083881">
      <w:r w:rsidRPr="00C10A7F">
        <w:rPr>
          <w:b/>
          <w:bCs/>
          <w:sz w:val="28"/>
          <w:szCs w:val="28"/>
        </w:rPr>
        <w:t xml:space="preserve">Inleiding </w:t>
      </w:r>
    </w:p>
    <w:p w:rsidRPr="00C10A7F" w:rsidR="002D0153" w:rsidP="485D289E" w:rsidRDefault="30330213" w14:paraId="3AD76509" w14:textId="77777777">
      <w:r w:rsidRPr="00C10A7F">
        <w:t xml:space="preserve">De hieronder beschreven use cases zijn bedoeld als fictieve referentieconfiguraties voor de gevraagde AV-opstellingen t.b.v. de </w:t>
      </w:r>
      <w:r w:rsidRPr="00C10A7F" w:rsidR="2050B195">
        <w:t>TCO-bepaling</w:t>
      </w:r>
      <w:r w:rsidRPr="00C10A7F">
        <w:t xml:space="preserve"> in de</w:t>
      </w:r>
      <w:r w:rsidRPr="00C10A7F" w:rsidR="12CA92F9">
        <w:t>ze</w:t>
      </w:r>
      <w:r w:rsidRPr="00C10A7F">
        <w:t xml:space="preserve"> Euro</w:t>
      </w:r>
      <w:r w:rsidRPr="00C10A7F" w:rsidR="7F855485">
        <w:t>pese Aanbeste</w:t>
      </w:r>
      <w:r w:rsidRPr="00C10A7F" w:rsidR="66C990B7">
        <w:t>d</w:t>
      </w:r>
      <w:r w:rsidRPr="00C10A7F" w:rsidR="7F855485">
        <w:t>ing</w:t>
      </w:r>
      <w:r w:rsidRPr="00C10A7F">
        <w:t xml:space="preserve">. De use cases beschrijven de gewenste functionele toepassing, opbouw en gebruikerservaring. De use cases zijn niet bedoeld als limitatieve stuklijst. Inschrijver blijft verantwoordelijk voor het aanbieden van een complete, werkende en onderhoudbare oplossing die voldoet aan het Programma van Eisen en de Nadere Opdracht die aan iedere plaatsing vooraf dient te gaan.  </w:t>
      </w:r>
    </w:p>
    <w:p w:rsidRPr="00C10A7F" w:rsidR="002D0153" w:rsidP="485D289E" w:rsidRDefault="002D0153" w14:paraId="744BCED3" w14:textId="77777777">
      <w:pPr>
        <w:rPr>
          <w:b/>
          <w:bCs/>
          <w:sz w:val="28"/>
          <w:szCs w:val="28"/>
        </w:rPr>
      </w:pPr>
    </w:p>
    <w:p w:rsidRPr="00C10A7F" w:rsidR="002D0153" w:rsidP="485D289E" w:rsidRDefault="7D6EE07C" w14:paraId="1B4A7C93" w14:textId="16029657">
      <w:r w:rsidRPr="00C10A7F">
        <w:rPr>
          <w:b/>
          <w:bCs/>
          <w:sz w:val="28"/>
          <w:szCs w:val="28"/>
        </w:rPr>
        <w:t>Use case</w:t>
      </w:r>
      <w:r w:rsidR="00F5642E">
        <w:rPr>
          <w:b/>
          <w:bCs/>
          <w:sz w:val="28"/>
          <w:szCs w:val="28"/>
        </w:rPr>
        <w:t xml:space="preserve"> </w:t>
      </w:r>
      <w:r w:rsidRPr="00C10A7F">
        <w:rPr>
          <w:b/>
          <w:bCs/>
          <w:sz w:val="28"/>
          <w:szCs w:val="28"/>
        </w:rPr>
        <w:t>1:</w:t>
      </w:r>
    </w:p>
    <w:p w:rsidRPr="00C10A7F" w:rsidR="005A3D40" w:rsidP="002D0153" w:rsidRDefault="002D0153" w14:paraId="1399DA10" w14:textId="77777777">
      <w:pPr>
        <w:rPr>
          <w:b/>
          <w:bCs/>
          <w:sz w:val="28"/>
          <w:szCs w:val="28"/>
        </w:rPr>
      </w:pPr>
      <w:r w:rsidRPr="00C10A7F">
        <w:rPr>
          <w:b/>
          <w:bCs/>
          <w:sz w:val="28"/>
          <w:szCs w:val="28"/>
        </w:rPr>
        <w:t>Modulaire AV-vergaderzuil voor reguliere vergaderruimten</w:t>
      </w:r>
    </w:p>
    <w:p w:rsidRPr="00C10A7F" w:rsidR="002D0153" w:rsidP="002D0153" w:rsidRDefault="002D0153" w14:paraId="104F564E" w14:textId="77777777">
      <w:pPr>
        <w:rPr>
          <w:b/>
          <w:bCs/>
          <w:sz w:val="24"/>
          <w:szCs w:val="24"/>
        </w:rPr>
      </w:pPr>
      <w:r w:rsidRPr="00C10A7F">
        <w:rPr>
          <w:b/>
          <w:bCs/>
          <w:sz w:val="24"/>
          <w:szCs w:val="24"/>
        </w:rPr>
        <w:t>Situatie en doel</w:t>
      </w:r>
    </w:p>
    <w:p w:rsidRPr="00C10A7F" w:rsidR="002D0153" w:rsidP="002D0153" w:rsidRDefault="002D0153" w14:paraId="4EAEB48B" w14:textId="77777777">
      <w:r w:rsidRPr="00C10A7F">
        <w:t>Binnen het Radboudumc worden</w:t>
      </w:r>
      <w:r w:rsidRPr="00C10A7F" w:rsidR="006CC422">
        <w:t xml:space="preserve"> de meeste</w:t>
      </w:r>
      <w:r w:rsidRPr="00C10A7F">
        <w:t xml:space="preserve"> reguliere vergaderruimten ingericht met een uniforme audiovisuele oplossing. Het doel is om gebruikers in iedere vergaderruimte dezelfde gebruikservaring te bieden, waarbij bediening, aansluitmogelijkheden en de manier van hybride vergaderen zoveel mogelijk gelijk zijn.</w:t>
      </w:r>
    </w:p>
    <w:p w:rsidRPr="00C10A7F" w:rsidR="002D0153" w:rsidP="002D0153" w:rsidRDefault="002D0153" w14:paraId="1F5119E8" w14:textId="77777777">
      <w:r w:rsidRPr="00C10A7F">
        <w:t>De oplossing moet gebruikers in staat stellen om zelfstandig en eenvoudig gebruik te maken van de aanwezige AV-functionaliteiten, zonder dat hiervoor uitgebreide technische kennis of ondersteuning nodig is. Daarnaast moet de oplossing flexibel toepasbaar zijn in verschillende ruimten en geschikt zijn voor herhaalbare toepassing binnen meerdere vergaderruimten.</w:t>
      </w:r>
    </w:p>
    <w:p w:rsidRPr="00C10A7F" w:rsidR="002D0153" w:rsidP="002D0153" w:rsidRDefault="002D0153" w14:paraId="055B91DB" w14:textId="77777777">
      <w:pPr>
        <w:rPr>
          <w:b/>
          <w:bCs/>
          <w:sz w:val="24"/>
          <w:szCs w:val="24"/>
        </w:rPr>
      </w:pPr>
      <w:r w:rsidRPr="00C10A7F">
        <w:rPr>
          <w:b/>
          <w:bCs/>
          <w:sz w:val="24"/>
          <w:szCs w:val="24"/>
        </w:rPr>
        <w:t>Omschrijving van de oplossing</w:t>
      </w:r>
    </w:p>
    <w:p w:rsidRPr="00C10A7F" w:rsidR="002D0153" w:rsidP="002D0153" w:rsidRDefault="002D0153" w14:paraId="24F7375B" w14:textId="77777777">
      <w:r w:rsidRPr="00C10A7F">
        <w:t>De oplossing bestaat uit een modulaire vergaderzuil waarin de benodigde AV-componenten geïntegreerd zijn. De vergaderzuil is voorzien van:</w:t>
      </w:r>
    </w:p>
    <w:p w:rsidR="00B50F42" w:rsidP="00B50F42" w:rsidRDefault="002D0153" w14:paraId="5881F938" w14:textId="74437E13">
      <w:pPr>
        <w:numPr>
          <w:ilvl w:val="0"/>
          <w:numId w:val="10"/>
        </w:numPr>
      </w:pPr>
      <w:r w:rsidRPr="00C10A7F">
        <w:t>een regulier marktconform</w:t>
      </w:r>
      <w:r w:rsidR="006A3037">
        <w:t xml:space="preserve"> </w:t>
      </w:r>
      <w:r w:rsidR="008968A0">
        <w:t>professioneel</w:t>
      </w:r>
      <w:r w:rsidRPr="00C10A7F">
        <w:t xml:space="preserve"> UHD-display</w:t>
      </w:r>
      <w:r w:rsidR="00FE2D4C">
        <w:t>;</w:t>
      </w:r>
      <w:r w:rsidRPr="00C10A7F" w:rsidR="4F526D0C">
        <w:t xml:space="preserve"> </w:t>
      </w:r>
    </w:p>
    <w:p w:rsidRPr="00C10A7F" w:rsidR="002D0153" w:rsidP="00B50F42" w:rsidRDefault="4F526D0C" w14:paraId="3B136BC3" w14:textId="05102C59">
      <w:pPr>
        <w:numPr>
          <w:ilvl w:val="1"/>
          <w:numId w:val="10"/>
        </w:numPr>
      </w:pPr>
      <w:r w:rsidRPr="00C10A7F">
        <w:t>Ga in uw Inschrijving uit van één 75 inch display;</w:t>
      </w:r>
    </w:p>
    <w:p w:rsidRPr="00C10A7F" w:rsidR="002D0153" w:rsidP="002D0153" w:rsidRDefault="002D0153" w14:paraId="7319D92D" w14:textId="77777777">
      <w:pPr>
        <w:numPr>
          <w:ilvl w:val="0"/>
          <w:numId w:val="10"/>
        </w:numPr>
      </w:pPr>
      <w:r w:rsidRPr="00C10A7F">
        <w:t>een all-in-one videobar voor beeld, audio-opname en geluidsweergave;</w:t>
      </w:r>
    </w:p>
    <w:p w:rsidRPr="00C10A7F" w:rsidR="002D0153" w:rsidP="002D0153" w:rsidRDefault="002D0153" w14:paraId="41AD7C2C" w14:textId="77777777">
      <w:pPr>
        <w:numPr>
          <w:ilvl w:val="0"/>
          <w:numId w:val="10"/>
        </w:numPr>
      </w:pPr>
      <w:r w:rsidRPr="00C10A7F">
        <w:t>een eenvoudige bedieningsinterface;</w:t>
      </w:r>
    </w:p>
    <w:p w:rsidRPr="00C10A7F" w:rsidR="002D0153" w:rsidP="002D0153" w:rsidRDefault="002D0153" w14:paraId="37818252" w14:textId="77777777">
      <w:pPr>
        <w:numPr>
          <w:ilvl w:val="0"/>
          <w:numId w:val="10"/>
        </w:numPr>
      </w:pPr>
      <w:r w:rsidRPr="00C10A7F">
        <w:t>geïntegreerde AV-hardware;</w:t>
      </w:r>
    </w:p>
    <w:p w:rsidRPr="00C10A7F" w:rsidR="002D0153" w:rsidP="002D0153" w:rsidRDefault="002D0153" w14:paraId="7E715190" w14:textId="77777777">
      <w:pPr>
        <w:numPr>
          <w:ilvl w:val="0"/>
          <w:numId w:val="10"/>
        </w:numPr>
      </w:pPr>
      <w:r w:rsidRPr="00C10A7F">
        <w:t>geïntegreerd kabelmanagement;</w:t>
      </w:r>
    </w:p>
    <w:p w:rsidRPr="00C10A7F" w:rsidR="002D0153" w:rsidP="002D0153" w:rsidRDefault="002D0153" w14:paraId="5C52EFFB" w14:textId="77777777">
      <w:pPr>
        <w:numPr>
          <w:ilvl w:val="0"/>
          <w:numId w:val="10"/>
        </w:numPr>
      </w:pPr>
      <w:r w:rsidRPr="00C10A7F">
        <w:t>aansluitvoorzieningen voor externe apparatuur.</w:t>
      </w:r>
    </w:p>
    <w:p w:rsidRPr="00C10A7F" w:rsidR="002D0153" w:rsidRDefault="002D0153" w14:paraId="74CD54F6" w14:textId="77777777">
      <w:r w:rsidRPr="00C10A7F">
        <w:t xml:space="preserve">De modulaire opbouw zorgt ervoor dat </w:t>
      </w:r>
      <w:r w:rsidRPr="00C10A7F" w:rsidR="3ECB2E6F">
        <w:t>het</w:t>
      </w:r>
      <w:r w:rsidRPr="00C10A7F">
        <w:t xml:space="preserve"> oplossing</w:t>
      </w:r>
      <w:r w:rsidRPr="00C10A7F" w:rsidR="5AB74E12">
        <w:t>sconcept</w:t>
      </w:r>
      <w:r w:rsidRPr="00C10A7F">
        <w:t xml:space="preserve"> in meerdere vergaderruimten op een vergelijkbare wijze kan worden toegepast, waarbij de uitstraling, bediening en gebruikerservaring behouden blijven.</w:t>
      </w:r>
    </w:p>
    <w:p w:rsidRPr="00C10A7F" w:rsidR="002D0153" w:rsidP="002D0153" w:rsidRDefault="002D0153" w14:paraId="044146F9" w14:textId="77777777">
      <w:pPr>
        <w:rPr>
          <w:b/>
          <w:bCs/>
          <w:sz w:val="24"/>
          <w:szCs w:val="24"/>
        </w:rPr>
      </w:pPr>
      <w:r w:rsidRPr="00C10A7F">
        <w:rPr>
          <w:b/>
          <w:bCs/>
          <w:sz w:val="24"/>
          <w:szCs w:val="24"/>
        </w:rPr>
        <w:t>Flexibele toepassing en configuratie</w:t>
      </w:r>
    </w:p>
    <w:p w:rsidRPr="00C10A7F" w:rsidR="002D0153" w:rsidP="002D0153" w:rsidRDefault="002D0153" w14:paraId="574C7D9F" w14:textId="77777777">
      <w:r w:rsidRPr="00C10A7F">
        <w:t xml:space="preserve">De vergaderzuil dient flexibel toepasbaar te zijn binnen verschillende ruimtelijke situaties. De constructie dient geschikt te zijn voor displays met schermformaten van 55 tot en met 98 inch en </w:t>
      </w:r>
      <w:r w:rsidRPr="00C10A7F">
        <w:t>moet, afhankelijk van de beschikbare ruimte, ruimtelijke indeling en gebruikssituatie, zowel vrijstaand als aan een wand gemonteerd kunnen worden toegepast.</w:t>
      </w:r>
    </w:p>
    <w:p w:rsidRPr="00C10A7F" w:rsidR="002D0153" w:rsidP="002D0153" w:rsidRDefault="002D0153" w14:paraId="2C7C1B53" w14:textId="77777777">
      <w:r w:rsidRPr="00C10A7F">
        <w:t xml:space="preserve">Wanneer de ruimte of het gebruiksscenario daarom vraagt, dient dezelfde oplossing geschikt te zijn voor een dubbele displayopstelling met twee displays van 75 inch of twee displays van 86 inch. De constructie, bevestigingsmogelijkheden en het geïntegreerde kabelmanagement dienen hierop voorbereid te zijn, waarbij stabiliteit, uitstraling en </w:t>
      </w:r>
      <w:r w:rsidRPr="00C10A7F" w:rsidR="001C53CD">
        <w:t>onderhoudbaarheid</w:t>
      </w:r>
      <w:r w:rsidRPr="00C10A7F">
        <w:t xml:space="preserve"> behouden blijven.</w:t>
      </w:r>
    </w:p>
    <w:p w:rsidRPr="00C10A7F" w:rsidR="000A60BD" w:rsidP="002D0153" w:rsidRDefault="002D0153" w14:paraId="3030FB79" w14:textId="77777777">
      <w:pPr>
        <w:rPr>
          <w:b/>
          <w:bCs/>
        </w:rPr>
      </w:pPr>
      <w:r w:rsidRPr="00C10A7F">
        <w:t>Bij vrijstaande plaatsing dient de vergaderzuil stabiel uitgevoerd te worden door middel van een geschikte vloerplaat. Wanneer de vergaderzuil wordt geplaatst voor een glaswand of op een positie waarbij de achterzijde zichtbaar is, dient de achterzijde volledig afgewerkt en netjes afsluitbaar te zijn.</w:t>
      </w:r>
    </w:p>
    <w:p w:rsidRPr="00C10A7F" w:rsidR="002D0153" w:rsidP="002D0153" w:rsidRDefault="002D0153" w14:paraId="622C0CE6" w14:textId="77777777">
      <w:pPr>
        <w:rPr>
          <w:b/>
          <w:bCs/>
          <w:sz w:val="24"/>
          <w:szCs w:val="24"/>
        </w:rPr>
      </w:pPr>
      <w:r w:rsidRPr="00C10A7F">
        <w:rPr>
          <w:b/>
          <w:bCs/>
          <w:sz w:val="24"/>
          <w:szCs w:val="24"/>
        </w:rPr>
        <w:t>AV-integratie en beheer</w:t>
      </w:r>
    </w:p>
    <w:p w:rsidRPr="00C10A7F" w:rsidR="002D0153" w:rsidP="002D0153" w:rsidRDefault="002D0153" w14:paraId="4EF7B962" w14:textId="77777777">
      <w:r w:rsidRPr="00C10A7F">
        <w:t>De videobar wordt centraal onder het display gepositioneerd en combineert camera, microfoons en luidsprekers in één geïntegreerde oplossing. Hierdoor kunnen gebruikers eenvoudig deelnemen aan hybride vergaderingen zonder dat afzonderlijke AV-componenten handmatig aangesloten of ingesteld hoeven te worden.</w:t>
      </w:r>
    </w:p>
    <w:p w:rsidRPr="00C10A7F" w:rsidR="002D0153" w:rsidP="002D0153" w:rsidRDefault="002D0153" w14:paraId="108FB8AD" w14:textId="77777777">
      <w:r w:rsidRPr="00C10A7F">
        <w:t xml:space="preserve">De benodigde AV-hardware wordt geïntegreerd in een afzonderlijke </w:t>
      </w:r>
      <w:r w:rsidRPr="00C10A7F" w:rsidR="002907CC">
        <w:t>hardware box</w:t>
      </w:r>
      <w:r w:rsidRPr="00C10A7F">
        <w:t xml:space="preserve"> onder de videobar en het bedieningspaneel. Bij de uitvoering van deze </w:t>
      </w:r>
      <w:r w:rsidRPr="00C10A7F" w:rsidR="000A60BD">
        <w:t>hardware box</w:t>
      </w:r>
      <w:r w:rsidRPr="00C10A7F">
        <w:t xml:space="preserve"> dient rekening gehouden te worden met voldoende ventilatie en warmteafvoer.</w:t>
      </w:r>
    </w:p>
    <w:p w:rsidRPr="00C10A7F" w:rsidR="005A3D40" w:rsidP="002D0153" w:rsidRDefault="002D0153" w14:paraId="74AC70AE" w14:textId="77777777">
      <w:r w:rsidRPr="00C10A7F">
        <w:t xml:space="preserve">De </w:t>
      </w:r>
      <w:r w:rsidRPr="00C10A7F" w:rsidR="000A60BD">
        <w:t>hardware box</w:t>
      </w:r>
      <w:r w:rsidRPr="00C10A7F">
        <w:t xml:space="preserve"> wordt afgewerkt met textiel in de kleur antraciet en dient toegankelijk te zijn voor beheer en onderhoud. Componenten moeten kunnen worden gecontroleerd, vervangen of onderhouden zonder dat de volledige vergaderzuil gedemonteerd hoeft te worden.</w:t>
      </w:r>
    </w:p>
    <w:p w:rsidRPr="00C10A7F" w:rsidR="002D0153" w:rsidP="002D0153" w:rsidRDefault="002D0153" w14:paraId="166BA705" w14:textId="77777777">
      <w:pPr>
        <w:rPr>
          <w:b/>
          <w:bCs/>
          <w:sz w:val="24"/>
          <w:szCs w:val="24"/>
        </w:rPr>
      </w:pPr>
      <w:r w:rsidRPr="00C10A7F">
        <w:rPr>
          <w:b/>
          <w:bCs/>
          <w:sz w:val="24"/>
          <w:szCs w:val="24"/>
        </w:rPr>
        <w:t>Gebruikservaring en bediening</w:t>
      </w:r>
    </w:p>
    <w:p w:rsidRPr="00C10A7F" w:rsidR="002D0153" w:rsidP="002D0153" w:rsidRDefault="002D0153" w14:paraId="3AF31C32" w14:textId="77777777">
      <w:r w:rsidRPr="00C10A7F">
        <w:t>De bediening van de AV-opstelling vindt plaats via een eenvoudig en intuïtief drukknoppaneel. De bediening is gericht op laagdrempelig gebruik door gebruikers. Basisfunctionaliteiten, zoals het activeren van de vergaderopstelling, het starten van een vergadering en het gebruiken van de aanwezige voorzieningen, moeten zonder uitgebreide instructie uitgevoerd kunnen worden.</w:t>
      </w:r>
    </w:p>
    <w:p w:rsidRPr="00C10A7F" w:rsidR="005A3D40" w:rsidP="002D0153" w:rsidRDefault="002D0153" w14:paraId="1B8D788B" w14:textId="77777777">
      <w:r w:rsidRPr="00C10A7F">
        <w:t>Het aansluitpunt voor externe apparatuur, zoals een laptop, wordt geïntegreerd naast het bedieningspaneel. Hierdoor kunnen gebruikers eenvoudig eigen apparatuur aansluiten. De aansluitvoorzieningen maken onderdeel uit van het geïntegreerde kabelmanagement, waarbij losse en zichtbare bekabeling zoveel mogelijk wordt voorkomen.</w:t>
      </w:r>
    </w:p>
    <w:p w:rsidRPr="00C10A7F" w:rsidR="002D0153" w:rsidP="002D0153" w:rsidRDefault="002D0153" w14:paraId="1D561FD3" w14:textId="77777777">
      <w:pPr>
        <w:rPr>
          <w:b/>
          <w:bCs/>
          <w:sz w:val="24"/>
          <w:szCs w:val="24"/>
        </w:rPr>
      </w:pPr>
      <w:r w:rsidRPr="00C10A7F">
        <w:rPr>
          <w:b/>
          <w:bCs/>
          <w:sz w:val="24"/>
          <w:szCs w:val="24"/>
        </w:rPr>
        <w:t>Uitstraling en herhaalbaarheid</w:t>
      </w:r>
    </w:p>
    <w:p w:rsidRPr="00C10A7F" w:rsidR="002D0153" w:rsidP="002D0153" w:rsidRDefault="002D0153" w14:paraId="0C0FA564" w14:textId="77777777">
      <w:r w:rsidRPr="00C10A7F">
        <w:t>De volledige vergaderzuil, inclusief frame, draagconstructie, zichtpanelen, achterzijde en eventuele vloerplaat, wordt uitgevoerd in RAL 9005 (diepzwart). De constructie heeft een professionele en uniforme uitstraling die geschikt is voor toepassing binnen verschillende vergaderruimten.</w:t>
      </w:r>
    </w:p>
    <w:p w:rsidRPr="00C10A7F" w:rsidR="00914D06" w:rsidRDefault="002D0153" w14:paraId="4F48A899" w14:textId="77777777">
      <w:r w:rsidRPr="00C10A7F">
        <w:t>De oplossing dient robuust, onderhoudbaar en geschikt te zijn voor herhaalbare toepassing binnen meerdere vergaderruimten. Door de uniforme toepassing ervaren gebruikers iedere ruimte op dezelfde manier, terwijl de fysieke uitvoering flexibel aangepast kan worden aan de kenmerken en behoeften van de betreffende ruimte.</w:t>
      </w:r>
    </w:p>
    <w:p w:rsidRPr="00C10A7F" w:rsidR="485D289E" w:rsidRDefault="485D289E" w14:paraId="3178C30F" w14:textId="77777777">
      <w:r w:rsidRPr="00C10A7F">
        <w:br w:type="page"/>
      </w:r>
    </w:p>
    <w:p w:rsidRPr="00C10A7F" w:rsidR="3F10F6FD" w:rsidP="7217A441" w:rsidRDefault="3F10F6FD" w14:paraId="00DFE940" w14:textId="36B4DE71">
      <w:pPr>
        <w:tabs>
          <w:tab w:val="num" w:pos="720"/>
        </w:tabs>
        <w:rPr>
          <w:rFonts w:ascii="Calibri" w:hAnsi="Calibri" w:eastAsia="Calibri" w:cs="Calibri"/>
          <w:color w:val="000000" w:themeColor="text1"/>
          <w:sz w:val="28"/>
          <w:szCs w:val="28"/>
          <w:lang w:val="en-US"/>
        </w:rPr>
      </w:pPr>
      <w:r w:rsidRPr="7217A441" w:rsidR="5FC4CC5D">
        <w:rPr>
          <w:rFonts w:ascii="Calibri" w:hAnsi="Calibri" w:eastAsia="Calibri" w:cs="Calibri"/>
          <w:b w:val="1"/>
          <w:bCs w:val="1"/>
          <w:color w:val="000000" w:themeColor="text1" w:themeTint="FF" w:themeShade="FF"/>
          <w:sz w:val="28"/>
          <w:szCs w:val="28"/>
          <w:lang w:val="en-US"/>
        </w:rPr>
        <w:t xml:space="preserve">Use case 2:                                                                                                        </w:t>
      </w:r>
      <w:r w:rsidRPr="7217A441" w:rsidR="5FC4CC5D">
        <w:rPr>
          <w:rFonts w:ascii="Calibri" w:hAnsi="Calibri" w:eastAsia="Calibri" w:cs="Calibri"/>
          <w:b w:val="1"/>
          <w:bCs w:val="1"/>
          <w:color w:val="000000" w:themeColor="text1" w:themeTint="FF" w:themeShade="FF"/>
          <w:sz w:val="28"/>
          <w:szCs w:val="28"/>
          <w:lang w:val="en-US"/>
        </w:rPr>
        <w:t>Modulaire</w:t>
      </w:r>
      <w:r w:rsidRPr="7217A441" w:rsidR="5FC4CC5D">
        <w:rPr>
          <w:rFonts w:ascii="Calibri" w:hAnsi="Calibri" w:eastAsia="Calibri" w:cs="Calibri"/>
          <w:b w:val="1"/>
          <w:bCs w:val="1"/>
          <w:color w:val="000000" w:themeColor="text1" w:themeTint="FF" w:themeShade="FF"/>
          <w:sz w:val="28"/>
          <w:szCs w:val="28"/>
          <w:lang w:val="en-US"/>
        </w:rPr>
        <w:t xml:space="preserve"> AV-</w:t>
      </w:r>
      <w:r w:rsidRPr="7217A441" w:rsidR="5FC4CC5D">
        <w:rPr>
          <w:rFonts w:ascii="Calibri" w:hAnsi="Calibri" w:eastAsia="Calibri" w:cs="Calibri"/>
          <w:b w:val="1"/>
          <w:bCs w:val="1"/>
          <w:color w:val="000000" w:themeColor="text1" w:themeTint="FF" w:themeShade="FF"/>
          <w:sz w:val="28"/>
          <w:szCs w:val="28"/>
          <w:lang w:val="en-US"/>
        </w:rPr>
        <w:t>vergaderzuil</w:t>
      </w:r>
      <w:r w:rsidRPr="7217A441" w:rsidR="5FC4CC5D">
        <w:rPr>
          <w:rFonts w:ascii="Calibri" w:hAnsi="Calibri" w:eastAsia="Calibri" w:cs="Calibri"/>
          <w:b w:val="1"/>
          <w:bCs w:val="1"/>
          <w:color w:val="000000" w:themeColor="text1" w:themeTint="FF" w:themeShade="FF"/>
          <w:sz w:val="28"/>
          <w:szCs w:val="28"/>
          <w:lang w:val="en-US"/>
        </w:rPr>
        <w:t xml:space="preserve"> met separate camera en </w:t>
      </w:r>
      <w:r w:rsidRPr="7217A441" w:rsidR="307AAD1F">
        <w:rPr>
          <w:rFonts w:ascii="Calibri" w:hAnsi="Calibri" w:eastAsia="Calibri" w:cs="Calibri"/>
          <w:b w:val="1"/>
          <w:bCs w:val="1"/>
          <w:color w:val="000000" w:themeColor="text1" w:themeTint="FF" w:themeShade="FF"/>
          <w:sz w:val="28"/>
          <w:szCs w:val="28"/>
          <w:lang w:val="en-US"/>
        </w:rPr>
        <w:t xml:space="preserve">combi </w:t>
      </w:r>
      <w:r w:rsidRPr="7217A441" w:rsidR="25B37DD8">
        <w:rPr>
          <w:rFonts w:ascii="Calibri" w:hAnsi="Calibri" w:eastAsia="Calibri" w:cs="Calibri"/>
          <w:b w:val="1"/>
          <w:bCs w:val="1"/>
          <w:color w:val="000000" w:themeColor="text1" w:themeTint="FF" w:themeShade="FF"/>
          <w:sz w:val="28"/>
          <w:szCs w:val="28"/>
          <w:lang w:val="en-US"/>
        </w:rPr>
        <w:t>microfoon</w:t>
      </w:r>
      <w:r w:rsidRPr="7217A441" w:rsidR="25B37DD8">
        <w:rPr>
          <w:rFonts w:ascii="Calibri" w:hAnsi="Calibri" w:eastAsia="Calibri" w:cs="Calibri"/>
          <w:b w:val="1"/>
          <w:bCs w:val="1"/>
          <w:color w:val="000000" w:themeColor="text1" w:themeTint="FF" w:themeShade="FF"/>
          <w:sz w:val="28"/>
          <w:szCs w:val="28"/>
          <w:lang w:val="en-US"/>
        </w:rPr>
        <w:t>/</w:t>
      </w:r>
      <w:r w:rsidRPr="7217A441" w:rsidR="25B37DD8">
        <w:rPr>
          <w:rFonts w:ascii="Calibri" w:hAnsi="Calibri" w:eastAsia="Calibri" w:cs="Calibri"/>
          <w:b w:val="1"/>
          <w:bCs w:val="1"/>
          <w:color w:val="000000" w:themeColor="text1" w:themeTint="FF" w:themeShade="FF"/>
          <w:sz w:val="28"/>
          <w:szCs w:val="28"/>
          <w:lang w:val="en-US"/>
        </w:rPr>
        <w:t>luidspreker</w:t>
      </w:r>
      <w:r w:rsidRPr="7217A441" w:rsidR="27BA4A7A">
        <w:rPr>
          <w:rFonts w:ascii="Calibri" w:hAnsi="Calibri" w:eastAsia="Calibri" w:cs="Calibri"/>
          <w:b w:val="1"/>
          <w:bCs w:val="1"/>
          <w:color w:val="000000" w:themeColor="text1" w:themeTint="FF" w:themeShade="FF"/>
          <w:sz w:val="28"/>
          <w:szCs w:val="28"/>
          <w:lang w:val="en-US"/>
        </w:rPr>
        <w:t>-</w:t>
      </w:r>
      <w:r w:rsidRPr="7217A441" w:rsidR="11181EA3">
        <w:rPr>
          <w:rFonts w:ascii="Calibri" w:hAnsi="Calibri" w:eastAsia="Calibri" w:cs="Calibri"/>
          <w:b w:val="1"/>
          <w:bCs w:val="1"/>
          <w:color w:val="000000" w:themeColor="text1" w:themeTint="FF" w:themeShade="FF"/>
          <w:sz w:val="28"/>
          <w:szCs w:val="28"/>
          <w:lang w:val="en-US"/>
        </w:rPr>
        <w:t>unit</w:t>
      </w:r>
    </w:p>
    <w:p w:rsidRPr="00C10A7F" w:rsidR="485D289E" w:rsidP="485D289E" w:rsidRDefault="485D289E" w14:paraId="2903E4B7" w14:textId="77777777">
      <w:pPr>
        <w:tabs>
          <w:tab w:val="num" w:pos="720"/>
        </w:tabs>
        <w:rPr>
          <w:rFonts w:ascii="Calibri" w:hAnsi="Calibri" w:eastAsia="Calibri" w:cs="Calibri"/>
          <w:color w:val="000000" w:themeColor="text1"/>
          <w:sz w:val="24"/>
          <w:szCs w:val="24"/>
        </w:rPr>
      </w:pPr>
    </w:p>
    <w:p w:rsidRPr="00C10A7F" w:rsidR="3F10F6FD" w:rsidP="485D289E" w:rsidRDefault="3F10F6FD" w14:paraId="1569F742" w14:textId="77777777">
      <w:pPr>
        <w:tabs>
          <w:tab w:val="num" w:pos="720"/>
        </w:tabs>
        <w:rPr>
          <w:rFonts w:ascii="Calibri" w:hAnsi="Calibri" w:eastAsia="Calibri" w:cs="Calibri"/>
          <w:color w:val="000000" w:themeColor="text1"/>
          <w:sz w:val="24"/>
          <w:szCs w:val="24"/>
        </w:rPr>
      </w:pPr>
      <w:r w:rsidRPr="00C10A7F">
        <w:rPr>
          <w:rFonts w:ascii="Calibri" w:hAnsi="Calibri" w:eastAsia="Calibri" w:cs="Calibri"/>
          <w:b/>
          <w:bCs/>
          <w:color w:val="000000" w:themeColor="text1"/>
          <w:sz w:val="24"/>
          <w:szCs w:val="24"/>
        </w:rPr>
        <w:t>Relatie met use case 1</w:t>
      </w:r>
    </w:p>
    <w:p w:rsidRPr="00C10A7F" w:rsidR="3F10F6FD" w:rsidP="485D289E" w:rsidRDefault="3F10F6FD" w14:paraId="1D3F557D" w14:textId="77777777">
      <w:pPr>
        <w:tabs>
          <w:tab w:val="num" w:pos="720"/>
        </w:tabs>
        <w:rPr>
          <w:rFonts w:ascii="Calibri" w:hAnsi="Calibri" w:eastAsia="Calibri" w:cs="Calibri"/>
          <w:color w:val="000000" w:themeColor="text1"/>
        </w:rPr>
      </w:pPr>
      <w:r w:rsidRPr="00C10A7F">
        <w:rPr>
          <w:rFonts w:ascii="Calibri" w:hAnsi="Calibri" w:eastAsia="Calibri" w:cs="Calibri"/>
          <w:color w:val="000000" w:themeColor="text1"/>
        </w:rPr>
        <w:t>Deze use case vormt een aanvulling op fictieve use case 1 en beschrijft een alternatieve audiovisuele uitvoering die wordt toegepast wanneer de specifieke ruimte, indeling of gebruikssituatie hierom vraagt.</w:t>
      </w:r>
    </w:p>
    <w:p w:rsidRPr="00C10A7F" w:rsidR="485D289E" w:rsidP="485D289E" w:rsidRDefault="3F10F6FD" w14:paraId="21BF6894" w14:textId="77777777">
      <w:pPr>
        <w:tabs>
          <w:tab w:val="num" w:pos="720"/>
        </w:tabs>
        <w:rPr>
          <w:rFonts w:ascii="Calibri" w:hAnsi="Calibri" w:eastAsia="Calibri" w:cs="Calibri"/>
          <w:color w:val="000000" w:themeColor="text1"/>
        </w:rPr>
      </w:pPr>
      <w:r w:rsidRPr="00C10A7F">
        <w:rPr>
          <w:rFonts w:ascii="Calibri" w:hAnsi="Calibri" w:eastAsia="Calibri" w:cs="Calibri"/>
          <w:color w:val="000000" w:themeColor="text1"/>
        </w:rPr>
        <w:t>De keuze voor deze variant wordt bepaald op basis van de kenmerken en functionele behoeften van de betreffende vergaderruimte. Alle functionele, constructieve en gebruiksgerichte uitgangspunten uit use case 1 blijven van toepassing, tenzij in deze bijlage expliciet wordt afgeweken.</w:t>
      </w:r>
    </w:p>
    <w:p w:rsidRPr="00C10A7F" w:rsidR="3F10F6FD" w:rsidP="485D289E" w:rsidRDefault="3F10F6FD" w14:paraId="471BAE86" w14:textId="77777777">
      <w:pPr>
        <w:tabs>
          <w:tab w:val="num" w:pos="720"/>
        </w:tabs>
        <w:rPr>
          <w:rFonts w:ascii="Calibri" w:hAnsi="Calibri" w:eastAsia="Calibri" w:cs="Calibri"/>
          <w:color w:val="000000" w:themeColor="text1"/>
          <w:sz w:val="24"/>
          <w:szCs w:val="24"/>
        </w:rPr>
      </w:pPr>
      <w:r w:rsidRPr="00C10A7F">
        <w:rPr>
          <w:rFonts w:ascii="Calibri" w:hAnsi="Calibri" w:eastAsia="Calibri" w:cs="Calibri"/>
          <w:b/>
          <w:bCs/>
          <w:color w:val="000000" w:themeColor="text1"/>
          <w:sz w:val="24"/>
          <w:szCs w:val="24"/>
        </w:rPr>
        <w:t>Afwijkende audiovisuele uitvoering</w:t>
      </w:r>
    </w:p>
    <w:p w:rsidRPr="00C10A7F" w:rsidR="3F10F6FD" w:rsidP="485D289E" w:rsidRDefault="3F10F6FD" w14:paraId="0C032815" w14:textId="77777777">
      <w:pPr>
        <w:tabs>
          <w:tab w:val="num" w:pos="720"/>
        </w:tabs>
        <w:rPr>
          <w:rFonts w:ascii="Calibri" w:hAnsi="Calibri" w:eastAsia="Calibri" w:cs="Calibri"/>
          <w:color w:val="000000" w:themeColor="text1"/>
        </w:rPr>
      </w:pPr>
      <w:r w:rsidRPr="00C10A7F">
        <w:rPr>
          <w:rFonts w:ascii="Calibri" w:hAnsi="Calibri" w:eastAsia="Calibri" w:cs="Calibri"/>
          <w:color w:val="000000" w:themeColor="text1"/>
        </w:rPr>
        <w:t>In afwijking van use case 1 wordt binnen deze variant geen all-in-one videobar toegepast. De audiovisuele oplossing wordt uitgevoerd met afzonderlijke componenten voor beeld en audio.</w:t>
      </w:r>
    </w:p>
    <w:p w:rsidRPr="00C10A7F" w:rsidR="3F10F6FD" w:rsidP="485D289E" w:rsidRDefault="3F10F6FD" w14:paraId="70255DE1" w14:textId="26915657">
      <w:pPr>
        <w:tabs>
          <w:tab w:val="num" w:pos="720"/>
        </w:tabs>
        <w:rPr>
          <w:rFonts w:ascii="Calibri" w:hAnsi="Calibri" w:eastAsia="Calibri" w:cs="Calibri"/>
          <w:color w:val="000000" w:themeColor="text1"/>
        </w:rPr>
      </w:pPr>
      <w:r w:rsidRPr="00C10A7F">
        <w:rPr>
          <w:rFonts w:ascii="Calibri" w:hAnsi="Calibri" w:eastAsia="Calibri" w:cs="Calibri"/>
          <w:color w:val="000000" w:themeColor="text1"/>
        </w:rPr>
        <w:t>De oplossing wordt voorzien van een separate camera voor hybride vergaderen. De camera wordt centraal bij of onder het display gepositioneerd en dient afgestemd te zijn op de ruimteomvang en gebruikssituatie.</w:t>
      </w:r>
      <w:r w:rsidRPr="00C10A7F" w:rsidR="00FA53A6">
        <w:rPr>
          <w:rFonts w:ascii="Calibri" w:hAnsi="Calibri" w:eastAsia="Calibri" w:cs="Calibri"/>
          <w:color w:val="000000" w:themeColor="text1"/>
        </w:rPr>
        <w:t xml:space="preserve"> </w:t>
      </w:r>
    </w:p>
    <w:p w:rsidRPr="00C10A7F" w:rsidR="3F10F6FD" w:rsidP="485D289E" w:rsidRDefault="3F10F6FD" w14:paraId="648F800A" w14:textId="77777777">
      <w:pPr>
        <w:tabs>
          <w:tab w:val="num" w:pos="720"/>
        </w:tabs>
        <w:rPr>
          <w:rFonts w:ascii="Calibri" w:hAnsi="Calibri" w:eastAsia="Calibri" w:cs="Calibri"/>
          <w:color w:val="000000" w:themeColor="text1"/>
        </w:rPr>
      </w:pPr>
      <w:r w:rsidRPr="00C10A7F">
        <w:rPr>
          <w:rFonts w:ascii="Calibri" w:hAnsi="Calibri" w:eastAsia="Calibri" w:cs="Calibri"/>
          <w:color w:val="000000" w:themeColor="text1"/>
        </w:rPr>
        <w:t>Voor de audiofunctie wordt een geïntegreerde plafondgeplaatste microfoon/luidsprekerunit toegepast. De combinatie van microfoonopname en geluidsweergave wordt hiermee vanuit één plafondoplossing verzorgd.</w:t>
      </w:r>
    </w:p>
    <w:p w:rsidRPr="00C10A7F" w:rsidR="485D289E" w:rsidP="485D289E" w:rsidRDefault="3F10F6FD" w14:paraId="702FF0D9" w14:textId="77777777">
      <w:pPr>
        <w:tabs>
          <w:tab w:val="num" w:pos="720"/>
        </w:tabs>
        <w:rPr>
          <w:rFonts w:ascii="Calibri" w:hAnsi="Calibri" w:eastAsia="Calibri" w:cs="Calibri"/>
          <w:color w:val="000000" w:themeColor="text1"/>
        </w:rPr>
      </w:pPr>
      <w:r w:rsidRPr="00C10A7F">
        <w:rPr>
          <w:rFonts w:ascii="Calibri" w:hAnsi="Calibri" w:eastAsia="Calibri" w:cs="Calibri"/>
          <w:color w:val="000000" w:themeColor="text1"/>
        </w:rPr>
        <w:t>De positionering van de plafondunit dient afgestemd te zijn op de indeling, omvang en akoestische eigenschappen van de vergaderruimte, zodat gebruikers binnen de ruimte goed verstaanbaar zijn en de geluidsweergave gelijkmatig wordt ervaren.</w:t>
      </w:r>
    </w:p>
    <w:p w:rsidRPr="00C10A7F" w:rsidR="004E4DDF" w:rsidP="485D289E" w:rsidRDefault="004E4DDF" w14:paraId="05A1B454" w14:textId="21D52399">
      <w:pPr>
        <w:tabs>
          <w:tab w:val="num" w:pos="720"/>
        </w:tabs>
        <w:rPr>
          <w:rFonts w:ascii="Calibri" w:hAnsi="Calibri" w:eastAsia="Calibri" w:cs="Calibri"/>
          <w:color w:val="000000" w:themeColor="text1"/>
        </w:rPr>
      </w:pPr>
      <w:r>
        <w:t xml:space="preserve">Ga in uw Inschrijving uit van een ruimte van </w:t>
      </w:r>
      <w:r w:rsidRPr="00496CA9" w:rsidR="00045B4B">
        <w:t xml:space="preserve">ca. </w:t>
      </w:r>
      <w:r>
        <w:t xml:space="preserve">45m2 en </w:t>
      </w:r>
      <w:r w:rsidR="00806C9D">
        <w:t xml:space="preserve">ca. </w:t>
      </w:r>
      <w:r>
        <w:t>20 personen</w:t>
      </w:r>
      <w:r w:rsidR="00F77250">
        <w:t xml:space="preserve"> en één </w:t>
      </w:r>
      <w:r w:rsidR="008457B5">
        <w:t>98</w:t>
      </w:r>
      <w:r w:rsidR="00F77250">
        <w:t xml:space="preserve"> inch display</w:t>
      </w:r>
      <w:r>
        <w:t>.</w:t>
      </w:r>
    </w:p>
    <w:p w:rsidRPr="00C10A7F" w:rsidR="3F10F6FD" w:rsidP="485D289E" w:rsidRDefault="3F10F6FD" w14:paraId="7A37A047" w14:textId="77777777">
      <w:pPr>
        <w:tabs>
          <w:tab w:val="num" w:pos="720"/>
        </w:tabs>
        <w:rPr>
          <w:rFonts w:ascii="Calibri" w:hAnsi="Calibri" w:eastAsia="Calibri" w:cs="Calibri"/>
          <w:color w:val="000000" w:themeColor="text1"/>
          <w:sz w:val="24"/>
          <w:szCs w:val="24"/>
        </w:rPr>
      </w:pPr>
      <w:r w:rsidRPr="00C10A7F">
        <w:rPr>
          <w:rFonts w:ascii="Calibri" w:hAnsi="Calibri" w:eastAsia="Calibri" w:cs="Calibri"/>
          <w:b/>
          <w:bCs/>
          <w:color w:val="000000" w:themeColor="text1"/>
          <w:sz w:val="24"/>
          <w:szCs w:val="24"/>
        </w:rPr>
        <w:t>Integratie en onderhoud</w:t>
      </w:r>
    </w:p>
    <w:p w:rsidRPr="00C10A7F" w:rsidR="3F10F6FD" w:rsidP="485D289E" w:rsidRDefault="3F10F6FD" w14:paraId="430CAFEA" w14:textId="77777777">
      <w:pPr>
        <w:tabs>
          <w:tab w:val="num" w:pos="720"/>
        </w:tabs>
        <w:rPr>
          <w:rFonts w:ascii="Calibri" w:hAnsi="Calibri" w:eastAsia="Calibri" w:cs="Calibri"/>
          <w:color w:val="000000" w:themeColor="text1"/>
        </w:rPr>
      </w:pPr>
      <w:r w:rsidRPr="00C10A7F">
        <w:rPr>
          <w:rFonts w:ascii="Calibri" w:hAnsi="Calibri" w:eastAsia="Calibri" w:cs="Calibri"/>
          <w:color w:val="000000" w:themeColor="text1"/>
        </w:rPr>
        <w:t>De benodigde bekabeling tussen de modulaire vergaderzuil, camera, AV-hardware en plafondunit dient zorgvuldig geïntegreerd te worden. Bekabeling dient zoveel mogelijk uit het zicht te worden weggewerkt, waarbij de uniforme uitstraling van de oplossing behouden blijft.</w:t>
      </w:r>
    </w:p>
    <w:p w:rsidRPr="00C10A7F" w:rsidR="3F10F6FD" w:rsidP="485D289E" w:rsidRDefault="3F10F6FD" w14:paraId="58C5820B" w14:textId="77777777">
      <w:pPr>
        <w:tabs>
          <w:tab w:val="num" w:pos="720"/>
        </w:tabs>
        <w:rPr>
          <w:rFonts w:ascii="Calibri" w:hAnsi="Calibri" w:eastAsia="Calibri" w:cs="Calibri"/>
          <w:color w:val="000000" w:themeColor="text1"/>
        </w:rPr>
      </w:pPr>
      <w:r w:rsidRPr="00C10A7F">
        <w:rPr>
          <w:rFonts w:ascii="Calibri" w:hAnsi="Calibri" w:eastAsia="Calibri" w:cs="Calibri"/>
          <w:color w:val="000000" w:themeColor="text1"/>
        </w:rPr>
        <w:t>De audiovisuele componenten dienen toegankelijk te zijn voor beheer, onderhoud en eventuele vervanging. Onderhoudswerkzaamheden moeten kunnen worden uitgevoerd zonder volledige demontage van de vergaderzuil of plafondvoorziening.</w:t>
      </w:r>
    </w:p>
    <w:p w:rsidRPr="00C10A7F" w:rsidR="485D289E" w:rsidP="485D289E" w:rsidRDefault="485D289E" w14:paraId="2C1AB843" w14:textId="77777777"/>
    <w:p w:rsidRPr="00C10A7F" w:rsidR="485D289E" w:rsidRDefault="485D289E" w14:paraId="181BBB22" w14:textId="77777777">
      <w:r w:rsidRPr="00C10A7F">
        <w:br w:type="page"/>
      </w:r>
    </w:p>
    <w:p w:rsidRPr="00C10A7F" w:rsidR="5A2B25F5" w:rsidP="485D289E" w:rsidRDefault="5A2B25F5" w14:paraId="7AE6C431" w14:textId="77777777">
      <w:pPr>
        <w:tabs>
          <w:tab w:val="num" w:pos="720"/>
        </w:tabs>
        <w:rPr>
          <w:rFonts w:ascii="Calibri" w:hAnsi="Calibri" w:eastAsia="Calibri" w:cs="Calibri"/>
          <w:color w:val="000000" w:themeColor="text1"/>
          <w:sz w:val="28"/>
          <w:szCs w:val="28"/>
        </w:rPr>
      </w:pPr>
      <w:r w:rsidRPr="00C10A7F">
        <w:rPr>
          <w:rFonts w:ascii="Calibri" w:hAnsi="Calibri" w:eastAsia="Calibri" w:cs="Calibri"/>
          <w:b/>
          <w:bCs/>
          <w:color w:val="000000" w:themeColor="text1"/>
          <w:sz w:val="28"/>
          <w:szCs w:val="28"/>
        </w:rPr>
        <w:t xml:space="preserve">Use case 3: </w:t>
      </w:r>
    </w:p>
    <w:p w:rsidRPr="00C10A7F" w:rsidR="002441EA" w:rsidP="002441EA" w:rsidRDefault="002441EA" w14:paraId="5BC30124" w14:textId="6471B0D5">
      <w:r w:rsidRPr="00C10A7F">
        <w:rPr>
          <w:b/>
          <w:bCs/>
        </w:rPr>
        <w:t>Grote onderwijsruimte met medische touchscreens, centrale bronaansturing, tijdsturing en geluidsversterking</w:t>
      </w:r>
    </w:p>
    <w:p w:rsidRPr="00C10A7F" w:rsidR="002441EA" w:rsidP="002441EA" w:rsidRDefault="002441EA" w14:paraId="630FA668" w14:textId="77777777">
      <w:r w:rsidRPr="00C10A7F">
        <w:rPr>
          <w:b/>
          <w:bCs/>
        </w:rPr>
        <w:t>Situatie en doel</w:t>
      </w:r>
      <w:r w:rsidRPr="00C10A7F">
        <w:br/>
      </w:r>
      <w:r w:rsidRPr="00C10A7F">
        <w:t>Binnen het Radboudumc wordt een grote onderwijsruimte ingericht met een audiovisuele oplossing voor onderwijs, instructie, demonstratie en groepsgewijze opdrachten in een medische context. De ruimte beschikt over zestien afzonderlijke posities waar een touchscreen wordt toegepast. Deze touchscreens worden gebruikt voor het weergeven en bedienen van beeldinformatie tijdens onderwijsactiviteiten.</w:t>
      </w:r>
    </w:p>
    <w:p w:rsidRPr="00C10A7F" w:rsidR="002441EA" w:rsidP="002441EA" w:rsidRDefault="002441EA" w14:paraId="6A6FC5EF" w14:textId="77777777">
      <w:r w:rsidRPr="00C10A7F">
        <w:t>Het doel is om vanuit één centraal bedienings- en schakelsysteem meerdere bronnen beschikbaar te stellen aan alle touchscreenposities. Per touchscreenpositie dient een keuze te kunnen worden gemaakt uit zes beschikbare bronnen. Daarnaast dienen vier afzonderlijke, centraal geplaatste schermen te kunnen worden voorzien van een aftelklok, zodat tijdsturing bij opdrachten, instructiemomenten en onderwijsactiviteiten centraal kan worden ondersteund.</w:t>
      </w:r>
    </w:p>
    <w:p w:rsidRPr="00C10A7F" w:rsidR="002441EA" w:rsidP="002441EA" w:rsidRDefault="002441EA" w14:paraId="5D096014" w14:textId="40B59B44">
      <w:r>
        <w:t xml:space="preserve">De ruimte dient </w:t>
      </w:r>
      <w:r w:rsidR="10F8A733">
        <w:t>ook</w:t>
      </w:r>
      <w:r>
        <w:t xml:space="preserve"> te worden voorzien van een geluidsinstallatie waarmee spraak via een </w:t>
      </w:r>
      <w:r w:rsidR="00607284">
        <w:t>headset</w:t>
      </w:r>
      <w:r>
        <w:t>microfoon natuurgetrouw, goed verstaanbaar en met een egaal volume door de gehele ruimte hoorbaar is.</w:t>
      </w:r>
    </w:p>
    <w:p w:rsidRPr="00C10A7F" w:rsidR="002441EA" w:rsidP="002441EA" w:rsidRDefault="002441EA" w14:paraId="4BB7BB94" w14:textId="4DAD3CE0">
      <w:r w:rsidRPr="010CD1DA">
        <w:rPr>
          <w:b/>
          <w:bCs/>
        </w:rPr>
        <w:t>Omschrijving van de oplossing</w:t>
      </w:r>
      <w:r>
        <w:br/>
      </w:r>
      <w:r>
        <w:t xml:space="preserve">De oplossing bestaat uit een centraal aangestuurde AV-installatie waarmee zes bronnen kunnen worden aangesloten, beheerd, gekozen en geschakeld. De zes bronnen bestaan uit </w:t>
      </w:r>
      <w:r w:rsidR="5409A9D2">
        <w:t>vier</w:t>
      </w:r>
      <w:r>
        <w:t xml:space="preserve"> HDMI-bronnen, één SDI-</w:t>
      </w:r>
      <w:r w:rsidR="288FCFFE">
        <w:t>aansluitpunt</w:t>
      </w:r>
      <w:r>
        <w:t xml:space="preserve"> en één </w:t>
      </w:r>
      <w:r w:rsidR="5324513D">
        <w:t>gedeelde netwerkschijf</w:t>
      </w:r>
      <w:r>
        <w:t>. Deze bronnen dienen centraal beschikbaar te worden gesteld aan zestien touchscreenposities in de onderwijsruimte.</w:t>
      </w:r>
    </w:p>
    <w:p w:rsidRPr="00C10A7F" w:rsidR="002441EA" w:rsidP="002441EA" w:rsidRDefault="002441EA" w14:paraId="62A3EE36" w14:textId="5A081CE3">
      <w:r>
        <w:t>Op iedere positie wordt een touchscreen toegepast dat geschikt is voor gebruik in een medische omgeving. De touchscreens dienen geschikt te zijn voor montage</w:t>
      </w:r>
      <w:r w:rsidR="088511DB">
        <w:t xml:space="preserve"> vanuit het plafond</w:t>
      </w:r>
      <w:r>
        <w:t xml:space="preserve"> en voor de beoogde gebruikssituatie. De uitvoering, positionering, kijkhoek en bereikbaarheid dienen te worden afgestemd op de ruimtelijke indeling, zichtlijnen, looproutes en het onderwijsgebruik van de</w:t>
      </w:r>
      <w:r w:rsidR="60B88CE6">
        <w:t>ze</w:t>
      </w:r>
      <w:r>
        <w:t xml:space="preserve"> ruimte.</w:t>
      </w:r>
    </w:p>
    <w:p w:rsidRPr="00C10A7F" w:rsidR="002441EA" w:rsidP="002441EA" w:rsidRDefault="002441EA" w14:paraId="45F67877" w14:textId="5994E366">
      <w:r w:rsidRPr="010CD1DA">
        <w:rPr>
          <w:b/>
          <w:bCs/>
        </w:rPr>
        <w:t>Bronnen, distributie, bediening en tijdsturing</w:t>
      </w:r>
      <w:r>
        <w:br/>
      </w:r>
      <w:r>
        <w:t xml:space="preserve">Binnen de oplossing dienen zes bronnen te kunnen worden aangesloten: vier bronnen via HDMI, één bron via SDI en één </w:t>
      </w:r>
      <w:r w:rsidR="6073D1AE">
        <w:t>gedeelde netwerkschijf</w:t>
      </w:r>
      <w:r>
        <w:t>. Deze bronnen moeten vanuit één centraal bedienings- en schakelsysteem kunnen worden beheerd, gekozen en geschakeld. De aangesloten bronnen dienen beschikbaar te zijn op de zestien touchscreens, waarbij per touchscreen een keuze kan worden gemaakt uit de beschikbare bronnen.</w:t>
      </w:r>
    </w:p>
    <w:p w:rsidRPr="00C10A7F" w:rsidR="002441EA" w:rsidP="002441EA" w:rsidRDefault="002441EA" w14:paraId="1B7847D2" w14:textId="77777777">
      <w:r w:rsidRPr="00C10A7F">
        <w:t>De centrale bediening dient te worden uitgevoerd met een voldoende groot touchscreen, zodat alle beschikbare functies, bronnen, schermposities en bedieningsmogelijkheden overzichtelijk, logisch en intuïtief vindbaar zijn. De docent, begeleider of beheerder moet vanuit dit centrale bedienpunt de beschikbare content, bronweergave, schermindeling en tijdsturing eenvoudig kunnen beheren. Afhankelijk van de onderwijsopzet dient het mogelijk te zijn om dezelfde bron op meerdere touchscreens weer te geven of per touchscreen een andere beschikbare bron te selecteren.</w:t>
      </w:r>
    </w:p>
    <w:p w:rsidRPr="00C10A7F" w:rsidR="002441EA" w:rsidP="002441EA" w:rsidRDefault="002441EA" w14:paraId="70680DEA" w14:textId="77777777">
      <w:r w:rsidRPr="00C10A7F">
        <w:t xml:space="preserve">Naast de zestien touchscreenposities dienen vier afzonderlijke, centraal geplaatste schermen te worden voorzien van een aftelklok ten behoeve van tijdsturing bij opdrachten, instructies, demonstraties of andere onderwijsactiviteiten waarbij zichtbare tijdsindicatie gewenst is. De aftelklok dient onderdeel te zijn van hetzelfde centrale bedienings- en schakelsysteem als waarmee de overige </w:t>
      </w:r>
      <w:r w:rsidRPr="00C10A7F">
        <w:t>bronnen worden gekozen en gedistribueerd. Vanuit dit centrale systeem dient de aftelklok te kunnen worden geselecteerd, geschakeld en weergegeven op de daarvoor bestemde schermen.</w:t>
      </w:r>
    </w:p>
    <w:p w:rsidRPr="00C10A7F" w:rsidR="002441EA" w:rsidP="002441EA" w:rsidRDefault="002441EA" w14:paraId="62EAC6E9" w14:textId="77777777">
      <w:r w:rsidRPr="00C10A7F">
        <w:t>De aftelklok dient duidelijk leesbaar te zijn voor gebruikers in de ruimte en centraal te kunnen worden gestart, gepauzeerd, hervat en gereset. De oplossing dient zodanig te worden ingericht dat de aftelklok betrouwbaar en gelijktijdig op de vier centraal geplaatste schermen kan worden weergegeven, zonder dat hiervoor een separate of afwijkende bediening nodig is.</w:t>
      </w:r>
    </w:p>
    <w:p w:rsidRPr="00C10A7F" w:rsidR="002441EA" w:rsidP="002441EA" w:rsidRDefault="002441EA" w14:paraId="63DDD10D" w14:textId="77777777">
      <w:r w:rsidRPr="00C10A7F">
        <w:rPr>
          <w:b/>
          <w:bCs/>
        </w:rPr>
        <w:t>Geluidsinstallatie en spraakversterking</w:t>
      </w:r>
      <w:r w:rsidRPr="00C10A7F">
        <w:br/>
      </w:r>
      <w:r w:rsidRPr="00C10A7F">
        <w:t>De onderwijsruimte dient te worden voorzien van een geluidsinstallatie die geschikt is voor spraakversterking in een grote onderwijsruimte. De installatie dient ervoor te zorgen dat spraak via een microfoon natuurgetrouw, helder en goed verstaanbaar wordt weergegeven.</w:t>
      </w:r>
    </w:p>
    <w:p w:rsidRPr="00C10A7F" w:rsidR="002441EA" w:rsidP="002441EA" w:rsidRDefault="002441EA" w14:paraId="4FA9DBF4" w14:textId="2AAE3C34">
      <w:r w:rsidRPr="00C10A7F">
        <w:t xml:space="preserve">De geluidsweergave dient egaal over de ruimte te worden verdeeld, zodat gebruikers op verschillende posities in de ruimte een gelijkmatig volume en consistente verstaanbaarheid ervaren. De oplossing dient te worden afgestemd op de omvang, indeling en akoestische eigenschappen van de ruimte. Hierbij dient hinderlijke galm, feedback, </w:t>
      </w:r>
      <w:r w:rsidRPr="00C10A7F" w:rsidR="009A26A9">
        <w:t>oversturen</w:t>
      </w:r>
      <w:r w:rsidRPr="00C10A7F">
        <w:t xml:space="preserve"> en ongelijkmatige geluidsdekking zoveel mogelijk te worden voorkomen.</w:t>
      </w:r>
    </w:p>
    <w:p w:rsidRPr="00C10A7F" w:rsidR="002441EA" w:rsidP="002441EA" w:rsidRDefault="002441EA" w14:paraId="4267FFA0" w14:textId="77777777">
      <w:r w:rsidRPr="00C10A7F">
        <w:t>De microfoonoplossing en bediening van de geluidsinstallatie dienen logisch te worden geïntegreerd in de centrale AV-aansturing, zodat het gebruik voor docenten en begeleiders laagdrempelig en betrouwbaar is.</w:t>
      </w:r>
    </w:p>
    <w:p w:rsidRPr="00C10A7F" w:rsidR="002441EA" w:rsidP="002441EA" w:rsidRDefault="002441EA" w14:paraId="2AC66AC1" w14:textId="77777777">
      <w:r w:rsidRPr="00C10A7F">
        <w:rPr>
          <w:b/>
          <w:bCs/>
        </w:rPr>
        <w:t>Medische geschiktheid en reinigbaarheid</w:t>
      </w:r>
      <w:r w:rsidRPr="00C10A7F">
        <w:br/>
      </w:r>
      <w:r w:rsidRPr="00C10A7F">
        <w:t>De toe te passen touchscreens dienen geschikt te zijn voor gebruik in een medische omgeving. Dit betekent dat de schermen robuust, betrouwbaar en geschikt moeten zijn voor frequent gebruik in een omgeving waar hygiëne, reinigbaarheid en continuïteit van belang zijn.</w:t>
      </w:r>
    </w:p>
    <w:p w:rsidRPr="00C10A7F" w:rsidR="002441EA" w:rsidP="002441EA" w:rsidRDefault="002441EA" w14:paraId="18FA287C" w14:textId="06D2EEB3">
      <w:r w:rsidRPr="00C10A7F">
        <w:t>De schermen moeten eenvoudig en veilig kunnen worden gereinigd met daarvoor geschikte reinigingsmiddelen, zonder dat dit leidt tot aantasting van de werking, beeldkwaliteit, touch</w:t>
      </w:r>
      <w:r w:rsidRPr="00C10A7F" w:rsidR="00CB0DDA">
        <w:t>-</w:t>
      </w:r>
      <w:r w:rsidRPr="00C10A7F">
        <w:t>functionaliteit, behuizing of afwerking. De uitvoering dient zodanig te zijn dat reiniging praktisch uitvoerbaar is en dat ophoping van vuil, stof of vocht zoveel mogelijk wordt voorkomen.</w:t>
      </w:r>
    </w:p>
    <w:p w:rsidRPr="00C10A7F" w:rsidR="485D289E" w:rsidP="002441EA" w:rsidRDefault="002441EA" w14:paraId="4FEFE3A1" w14:textId="77777777">
      <w:r w:rsidRPr="00C10A7F">
        <w:rPr>
          <w:b/>
          <w:bCs/>
        </w:rPr>
        <w:t>Integratie en bekabeling</w:t>
      </w:r>
      <w:r w:rsidRPr="00C10A7F">
        <w:br/>
      </w:r>
      <w:r w:rsidRPr="00C10A7F">
        <w:t>De benodigde AV-hardware, bronapparatuur, distributievoorzieningen, besturing, geluidsinstallatie en bekabeling dienen zorgvuldig te worden</w:t>
      </w:r>
      <w:r w:rsidRPr="00C10A7F" w:rsidR="5A2B25F5">
        <w:t xml:space="preserve"> geïntegreerd</w:t>
      </w:r>
      <w:r w:rsidRPr="00C10A7F">
        <w:t>.</w:t>
      </w:r>
      <w:r w:rsidRPr="00C10A7F" w:rsidR="5A2B25F5">
        <w:t xml:space="preserve"> Bekabeling dient zoveel mogelijk uit het zicht te worden weggewerkt, waarbij </w:t>
      </w:r>
      <w:r w:rsidRPr="00C10A7F">
        <w:t>rekening wordt gehouden met veiligheid, onderhoudbaarheid, bereikbaarheid en een nette afwerking van de ruimte</w:t>
      </w:r>
      <w:r w:rsidRPr="00C10A7F" w:rsidR="5A2B25F5">
        <w:t>.</w:t>
      </w:r>
    </w:p>
    <w:p w:rsidRPr="00C10A7F" w:rsidR="5A2B25F5" w:rsidP="002441EA" w:rsidRDefault="002441EA" w14:paraId="40FC7560" w14:textId="77777777">
      <w:r w:rsidRPr="00C10A7F">
        <w:t xml:space="preserve">De centrale AV-voorzieningen dienen overzichtelijk en servicegericht te worden opgebouwd. Componenten moeten </w:t>
      </w:r>
      <w:r w:rsidRPr="00C10A7F" w:rsidR="5A2B25F5">
        <w:t xml:space="preserve">toegankelijk blijven voor beheer, onderhoud en eventuele vervanging. </w:t>
      </w:r>
      <w:r w:rsidRPr="00C10A7F">
        <w:t>De oplossing dient zodanig te worden ingericht dat storingen efficiënt kunnen worden gelokaliseerd en dat onderdelen zonder onnodige demontage kunnen worden gecontroleerd, onderhouden of vervangen</w:t>
      </w:r>
      <w:r w:rsidRPr="00C10A7F" w:rsidR="5A2B25F5">
        <w:t>.</w:t>
      </w:r>
    </w:p>
    <w:p w:rsidRPr="00C10A7F" w:rsidR="002441EA" w:rsidP="002441EA" w:rsidRDefault="002441EA" w14:paraId="302FAE35" w14:textId="77777777">
      <w:r w:rsidRPr="00C10A7F">
        <w:rPr>
          <w:b/>
          <w:bCs/>
        </w:rPr>
        <w:t>Gebruikservaring</w:t>
      </w:r>
      <w:r w:rsidRPr="00C10A7F">
        <w:br/>
      </w:r>
      <w:r w:rsidRPr="00C10A7F">
        <w:t>De oplossing dient gebruikers een consistente, intuïtieve en betrouwbare onderwijservaring te bieden. De bediening van bronnen, de weergave op de touchscreens, de tijdsturing via de aftelklok en het gebruik van de geluidsinstallatie moeten logisch en laagdrempelig zijn, zodat docenten, begeleiders en deelnemers de ruimte zonder uitgebreide technische ondersteuning kunnen gebruiken.</w:t>
      </w:r>
    </w:p>
    <w:p w:rsidRPr="00C10A7F" w:rsidR="002441EA" w:rsidP="002441EA" w:rsidRDefault="002441EA" w14:paraId="303AE1ED" w14:textId="7A24CD69">
      <w:r w:rsidRPr="00C10A7F">
        <w:t>De audiovisuele oplossing dient geschikt te zijn voor verschillende onderwijsvormen, waaronder klassikale instructie, demonstratie, groepsgewijs werken, interactieve bespreking van beeldmateriaal en tijdgebonden opdrachten. Daarbij moet de oplossing betrouwbare beeldweergave, duidelijke bronkeuze, centrale aansturing</w:t>
      </w:r>
      <w:r w:rsidRPr="00C10A7F" w:rsidR="00E53C62">
        <w:t xml:space="preserve"> vanaf</w:t>
      </w:r>
      <w:r w:rsidRPr="00C10A7F" w:rsidR="006226BF">
        <w:t xml:space="preserve"> één positie</w:t>
      </w:r>
      <w:r w:rsidRPr="00C10A7F">
        <w:t>, eenduidige bediening, zichtbare tijdsturing en goede spraakverstaanbaarheid ondersteunen.</w:t>
      </w:r>
    </w:p>
    <w:p w:rsidRPr="00C10A7F" w:rsidR="002441EA" w:rsidP="002441EA" w:rsidRDefault="002441EA" w14:paraId="5DF9FD30" w14:textId="77777777">
      <w:r w:rsidRPr="00C10A7F">
        <w:rPr>
          <w:b/>
          <w:bCs/>
        </w:rPr>
        <w:t>Onderhoudbaarheid en continuïteit</w:t>
      </w:r>
      <w:r w:rsidRPr="00C10A7F">
        <w:br/>
      </w:r>
      <w:r w:rsidRPr="00C10A7F">
        <w:t>De volledige oplossing dient robuust, onderhoudbaar en geschikt te zijn voor langdurig en intensief gebruik. De gekozen technische invulling dient bij te dragen aan bedrijfszekerheid, eenvoudige ondersteuning en continuïteit van het onderwijsproces.</w:t>
      </w:r>
    </w:p>
    <w:p w:rsidRPr="00C10A7F" w:rsidR="002441EA" w:rsidP="002441EA" w:rsidRDefault="002441EA" w14:paraId="5A730E33" w14:textId="77777777">
      <w:r w:rsidRPr="00C10A7F">
        <w:t>De oplossing dient als geheel compleet, werkend en onderhoudbaar te worden aangeboden, inclusief alle onderdelen, werkzaamheden, voorzieningen en configuraties die noodzakelijk zijn voor correcte realisatie, ingebruikname en beheer.</w:t>
      </w:r>
    </w:p>
    <w:p w:rsidRPr="00C10A7F" w:rsidR="485D289E" w:rsidP="485D289E" w:rsidRDefault="485D289E" w14:paraId="72EB8798" w14:textId="77777777"/>
    <w:p w:rsidRPr="00C10A7F" w:rsidR="0094541B" w:rsidP="485D289E" w:rsidRDefault="0051187B" w14:paraId="52CE0C66" w14:textId="4D21C709">
      <w:r w:rsidRPr="00C10A7F">
        <w:t>Ga in uw Inschrijving uit van:</w:t>
      </w:r>
    </w:p>
    <w:p w:rsidRPr="00806C9D" w:rsidR="0051187B" w:rsidP="00CD1A4E" w:rsidRDefault="0051138C" w14:paraId="03332A3C" w14:textId="1F52A137">
      <w:pPr>
        <w:pStyle w:val="Lijstalinea"/>
        <w:numPr>
          <w:ilvl w:val="0"/>
          <w:numId w:val="7"/>
        </w:numPr>
        <w:rPr>
          <w:lang w:val="en-GB"/>
        </w:rPr>
      </w:pPr>
      <w:r w:rsidRPr="00806C9D">
        <w:rPr>
          <w:lang w:val="en-GB"/>
        </w:rPr>
        <w:t>27-inch</w:t>
      </w:r>
      <w:r w:rsidRPr="00806C9D" w:rsidR="00E31F70">
        <w:rPr>
          <w:lang w:val="en-GB"/>
        </w:rPr>
        <w:t xml:space="preserve"> professionele</w:t>
      </w:r>
      <w:r w:rsidRPr="00806C9D" w:rsidR="00B2422A">
        <w:rPr>
          <w:lang w:val="en-GB"/>
        </w:rPr>
        <w:t xml:space="preserve"> anti</w:t>
      </w:r>
      <w:r w:rsidRPr="128065D2" w:rsidR="4769CC93">
        <w:rPr>
          <w:lang w:val="en-GB"/>
        </w:rPr>
        <w:t>-</w:t>
      </w:r>
      <w:r w:rsidRPr="00806C9D" w:rsidR="00B2422A">
        <w:rPr>
          <w:lang w:val="en-GB"/>
        </w:rPr>
        <w:t xml:space="preserve">glare </w:t>
      </w:r>
      <w:r w:rsidRPr="00806C9D" w:rsidR="00506C01">
        <w:rPr>
          <w:lang w:val="en-GB"/>
        </w:rPr>
        <w:t>touchscreens</w:t>
      </w:r>
      <w:r w:rsidRPr="00806C9D">
        <w:rPr>
          <w:lang w:val="en-GB"/>
        </w:rPr>
        <w:t xml:space="preserve"> (multi touch)</w:t>
      </w:r>
    </w:p>
    <w:p w:rsidR="00B2422A" w:rsidP="00CD1A4E" w:rsidRDefault="0051138C" w14:paraId="7541EAC0" w14:textId="103E7F20">
      <w:pPr>
        <w:pStyle w:val="Lijstalinea"/>
        <w:numPr>
          <w:ilvl w:val="0"/>
          <w:numId w:val="7"/>
        </w:numPr>
      </w:pPr>
      <w:r>
        <w:t>43-inch</w:t>
      </w:r>
      <w:r w:rsidR="00506C01">
        <w:t xml:space="preserve"> display</w:t>
      </w:r>
      <w:r w:rsidR="25AADFF9">
        <w:t>s</w:t>
      </w:r>
      <w:r w:rsidR="00506C01">
        <w:t xml:space="preserve"> aftelklok</w:t>
      </w:r>
    </w:p>
    <w:p w:rsidRPr="00C10A7F" w:rsidR="009529B2" w:rsidP="00CD1A4E" w:rsidRDefault="00813730" w14:paraId="2DAFC259" w14:textId="61DE7C35">
      <w:pPr>
        <w:pStyle w:val="Lijstalinea"/>
        <w:numPr>
          <w:ilvl w:val="0"/>
          <w:numId w:val="7"/>
        </w:numPr>
      </w:pPr>
      <w:r>
        <w:t>15 inch touchscreen voor de bediening</w:t>
      </w:r>
    </w:p>
    <w:p w:rsidRPr="00C10A7F" w:rsidR="00CD1A4E" w:rsidP="00CD1A4E" w:rsidRDefault="00CD1A4E" w14:paraId="487B949D" w14:textId="764597AD">
      <w:pPr>
        <w:pStyle w:val="Lijstalinea"/>
        <w:numPr>
          <w:ilvl w:val="0"/>
          <w:numId w:val="7"/>
        </w:numPr>
      </w:pPr>
      <w:r w:rsidRPr="00C10A7F">
        <w:t xml:space="preserve">Geluidsinstallatie </w:t>
      </w:r>
      <w:r w:rsidRPr="00C10A7F" w:rsidR="00C10A7F">
        <w:t>met pendel luidsprekers + draadloze headset microfoon</w:t>
      </w:r>
    </w:p>
    <w:p w:rsidRPr="00C10A7F" w:rsidR="0039481D" w:rsidP="00574B2B" w:rsidRDefault="46B97234" w14:paraId="77371387" w14:textId="6DB2E464">
      <w:pPr>
        <w:pStyle w:val="Lijstalinea"/>
        <w:numPr>
          <w:ilvl w:val="0"/>
          <w:numId w:val="7"/>
        </w:numPr>
      </w:pPr>
      <w:r>
        <w:t>Ga uit van een ruimte van 200m2</w:t>
      </w:r>
    </w:p>
    <w:p w:rsidRPr="00C10A7F" w:rsidR="0039481D" w:rsidP="00574B2B" w:rsidRDefault="46B97234" w14:paraId="2EAB9F66" w14:textId="7C655264">
      <w:pPr>
        <w:pStyle w:val="Lijstalinea"/>
        <w:numPr>
          <w:ilvl w:val="0"/>
          <w:numId w:val="7"/>
        </w:numPr>
      </w:pPr>
      <w:r>
        <w:t>(</w:t>
      </w:r>
      <w:r w:rsidR="4E6038C8">
        <w:t>Het Radboudumc verzorg</w:t>
      </w:r>
      <w:r w:rsidR="0957F5F5">
        <w:t>t</w:t>
      </w:r>
      <w:r w:rsidR="4E6038C8">
        <w:t xml:space="preserve"> de centrale </w:t>
      </w:r>
      <w:r w:rsidR="5CA921B2">
        <w:t>pc</w:t>
      </w:r>
      <w:r w:rsidR="003100C7">
        <w:t>,</w:t>
      </w:r>
      <w:r w:rsidR="5CA921B2">
        <w:t xml:space="preserve"> </w:t>
      </w:r>
      <w:r w:rsidR="005363CD">
        <w:t xml:space="preserve">met </w:t>
      </w:r>
      <w:r w:rsidR="5CA921B2">
        <w:t>3 monitoren</w:t>
      </w:r>
      <w:r w:rsidR="49106954">
        <w:t xml:space="preserve"> en</w:t>
      </w:r>
      <w:r w:rsidR="0BB9A946">
        <w:t xml:space="preserve"> </w:t>
      </w:r>
      <w:r w:rsidR="4E6038C8">
        <w:t xml:space="preserve">de </w:t>
      </w:r>
      <w:r w:rsidR="417FF01D">
        <w:t>16 pc’s</w:t>
      </w:r>
      <w:r w:rsidR="711F1C9B">
        <w:t xml:space="preserve"> </w:t>
      </w:r>
      <w:r w:rsidR="00D0109C">
        <w:t>t.b.v.</w:t>
      </w:r>
      <w:r w:rsidR="003C163C">
        <w:t xml:space="preserve"> de aansturing van de touchscreens</w:t>
      </w:r>
      <w:r w:rsidR="00A82A50">
        <w:t>)</w:t>
      </w:r>
    </w:p>
    <w:sectPr w:rsidRPr="00C10A7F" w:rsidR="0039481D">
      <w:headerReference w:type="default" r:id="rId11"/>
      <w:footerReference w:type="defaul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6E66" w:rsidP="00444469" w:rsidRDefault="00006E66" w14:paraId="7416CFD1" w14:textId="77777777">
      <w:pPr>
        <w:spacing w:after="0" w:line="240" w:lineRule="auto"/>
      </w:pPr>
      <w:r>
        <w:separator/>
      </w:r>
    </w:p>
  </w:endnote>
  <w:endnote w:type="continuationSeparator" w:id="0">
    <w:p w:rsidR="00006E66" w:rsidP="00444469" w:rsidRDefault="00006E66" w14:paraId="7BAB9963" w14:textId="77777777">
      <w:pPr>
        <w:spacing w:after="0" w:line="240" w:lineRule="auto"/>
      </w:pPr>
      <w:r>
        <w:continuationSeparator/>
      </w:r>
    </w:p>
  </w:endnote>
  <w:endnote w:type="continuationNotice" w:id="1">
    <w:p w:rsidR="00006E66" w:rsidRDefault="00006E66" w14:paraId="06DABFF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667E15" w:rsidP="00FC116A" w:rsidRDefault="00FC116A" w14:paraId="57418767" w14:textId="77777777">
    <w:pPr>
      <w:pStyle w:val="Voettekst"/>
      <w:tabs>
        <w:tab w:val="left" w:pos="2269"/>
      </w:tabs>
      <w:jc w:val="both"/>
    </w:pPr>
    <w:r>
      <w:rPr>
        <w:noProof/>
      </w:rPr>
      <w:drawing>
        <wp:inline distT="0" distB="0" distL="0" distR="0" wp14:anchorId="4CE37E59" wp14:editId="4E730B86">
          <wp:extent cx="1645920" cy="328220"/>
          <wp:effectExtent l="0" t="0" r="0" b="0"/>
          <wp:docPr id="619855958" name="Afbeelding 1" descr="Afbeelding met Lettertype, Graphics, tekst, logo&#10;&#10;Door AI gegenereerde inhoud is mogelijk onjuist.">
            <a:extLst xmlns:a="http://schemas.openxmlformats.org/drawingml/2006/main">
              <a:ext uri="{FF2B5EF4-FFF2-40B4-BE49-F238E27FC236}">
                <a16:creationId xmlns:a16="http://schemas.microsoft.com/office/drawing/2014/main" id="{A58C8496-9877-49BB-ADAD-BABCADA88F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55958" name="Afbeelding 1" descr="Afbeelding met Lettertype, Graphics, tekst, logo&#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9567" cy="336924"/>
                  </a:xfrm>
                  <a:prstGeom prst="rect">
                    <a:avLst/>
                  </a:prstGeom>
                  <a:noFill/>
                  <a:ln>
                    <a:noFill/>
                  </a:ln>
                </pic:spPr>
              </pic:pic>
            </a:graphicData>
          </a:graphic>
        </wp:inline>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6E66" w:rsidP="00444469" w:rsidRDefault="00006E66" w14:paraId="1A30BA20" w14:textId="77777777">
      <w:pPr>
        <w:spacing w:after="0" w:line="240" w:lineRule="auto"/>
      </w:pPr>
      <w:r>
        <w:separator/>
      </w:r>
    </w:p>
  </w:footnote>
  <w:footnote w:type="continuationSeparator" w:id="0">
    <w:p w:rsidR="00006E66" w:rsidP="00444469" w:rsidRDefault="00006E66" w14:paraId="5C3DFD0F" w14:textId="77777777">
      <w:pPr>
        <w:spacing w:after="0" w:line="240" w:lineRule="auto"/>
      </w:pPr>
      <w:r>
        <w:continuationSeparator/>
      </w:r>
    </w:p>
  </w:footnote>
  <w:footnote w:type="continuationNotice" w:id="1">
    <w:p w:rsidR="00006E66" w:rsidRDefault="00006E66" w14:paraId="23E37E5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1D14A67" w:rsidTr="71D14A67" w14:paraId="4AD8EFEF" w14:textId="77777777">
      <w:trPr>
        <w:trHeight w:val="300"/>
      </w:trPr>
      <w:tc>
        <w:tcPr>
          <w:tcW w:w="3020" w:type="dxa"/>
        </w:tcPr>
        <w:p w:rsidR="71D14A67" w:rsidP="71D14A67" w:rsidRDefault="71D14A67" w14:paraId="7358499C" w14:textId="59D4A162">
          <w:pPr>
            <w:pStyle w:val="Koptekst"/>
            <w:ind w:left="-115"/>
          </w:pPr>
        </w:p>
      </w:tc>
      <w:tc>
        <w:tcPr>
          <w:tcW w:w="3020" w:type="dxa"/>
        </w:tcPr>
        <w:p w:rsidR="71D14A67" w:rsidP="71D14A67" w:rsidRDefault="71D14A67" w14:paraId="60096DA2" w14:textId="0A2CAE5B">
          <w:pPr>
            <w:pStyle w:val="Koptekst"/>
            <w:jc w:val="center"/>
          </w:pPr>
        </w:p>
      </w:tc>
      <w:tc>
        <w:tcPr>
          <w:tcW w:w="3020" w:type="dxa"/>
        </w:tcPr>
        <w:p w:rsidR="71D14A67" w:rsidP="71D14A67" w:rsidRDefault="71D14A67" w14:paraId="012EF69B" w14:textId="599FA38B">
          <w:pPr>
            <w:pStyle w:val="Koptekst"/>
            <w:ind w:right="-115"/>
            <w:jc w:val="right"/>
          </w:pPr>
        </w:p>
      </w:tc>
    </w:tr>
  </w:tbl>
  <w:p w:rsidR="71D14A67" w:rsidP="71D14A67" w:rsidRDefault="71D14A67" w14:paraId="2B580688" w14:textId="58F7998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5548E"/>
    <w:multiLevelType w:val="hybridMultilevel"/>
    <w:tmpl w:val="FFFFFFFF"/>
    <w:lvl w:ilvl="0" w:tplc="4478337E">
      <w:start w:val="1"/>
      <w:numFmt w:val="bullet"/>
      <w:lvlText w:val=""/>
      <w:lvlJc w:val="left"/>
      <w:pPr>
        <w:ind w:left="720" w:hanging="360"/>
      </w:pPr>
      <w:rPr>
        <w:rFonts w:hint="default" w:ascii="Symbol" w:hAnsi="Symbol"/>
      </w:rPr>
    </w:lvl>
    <w:lvl w:ilvl="1" w:tplc="E2067AA0">
      <w:start w:val="1"/>
      <w:numFmt w:val="bullet"/>
      <w:lvlText w:val="o"/>
      <w:lvlJc w:val="left"/>
      <w:pPr>
        <w:ind w:left="1440" w:hanging="360"/>
      </w:pPr>
      <w:rPr>
        <w:rFonts w:hint="default" w:ascii="Courier New" w:hAnsi="Courier New"/>
      </w:rPr>
    </w:lvl>
    <w:lvl w:ilvl="2" w:tplc="D0861B96">
      <w:start w:val="1"/>
      <w:numFmt w:val="bullet"/>
      <w:lvlText w:val=""/>
      <w:lvlJc w:val="left"/>
      <w:pPr>
        <w:ind w:left="2160" w:hanging="360"/>
      </w:pPr>
      <w:rPr>
        <w:rFonts w:hint="default" w:ascii="Wingdings" w:hAnsi="Wingdings"/>
      </w:rPr>
    </w:lvl>
    <w:lvl w:ilvl="3" w:tplc="B79692EE">
      <w:start w:val="1"/>
      <w:numFmt w:val="bullet"/>
      <w:lvlText w:val=""/>
      <w:lvlJc w:val="left"/>
      <w:pPr>
        <w:ind w:left="2880" w:hanging="360"/>
      </w:pPr>
      <w:rPr>
        <w:rFonts w:hint="default" w:ascii="Symbol" w:hAnsi="Symbol"/>
      </w:rPr>
    </w:lvl>
    <w:lvl w:ilvl="4" w:tplc="5094969C">
      <w:start w:val="1"/>
      <w:numFmt w:val="bullet"/>
      <w:lvlText w:val="o"/>
      <w:lvlJc w:val="left"/>
      <w:pPr>
        <w:ind w:left="3600" w:hanging="360"/>
      </w:pPr>
      <w:rPr>
        <w:rFonts w:hint="default" w:ascii="Courier New" w:hAnsi="Courier New"/>
      </w:rPr>
    </w:lvl>
    <w:lvl w:ilvl="5" w:tplc="50F4F41C">
      <w:start w:val="1"/>
      <w:numFmt w:val="bullet"/>
      <w:lvlText w:val=""/>
      <w:lvlJc w:val="left"/>
      <w:pPr>
        <w:ind w:left="4320" w:hanging="360"/>
      </w:pPr>
      <w:rPr>
        <w:rFonts w:hint="default" w:ascii="Wingdings" w:hAnsi="Wingdings"/>
      </w:rPr>
    </w:lvl>
    <w:lvl w:ilvl="6" w:tplc="74A08418">
      <w:start w:val="1"/>
      <w:numFmt w:val="bullet"/>
      <w:lvlText w:val=""/>
      <w:lvlJc w:val="left"/>
      <w:pPr>
        <w:ind w:left="5040" w:hanging="360"/>
      </w:pPr>
      <w:rPr>
        <w:rFonts w:hint="default" w:ascii="Symbol" w:hAnsi="Symbol"/>
      </w:rPr>
    </w:lvl>
    <w:lvl w:ilvl="7" w:tplc="0928BB64">
      <w:start w:val="1"/>
      <w:numFmt w:val="bullet"/>
      <w:lvlText w:val="o"/>
      <w:lvlJc w:val="left"/>
      <w:pPr>
        <w:ind w:left="5760" w:hanging="360"/>
      </w:pPr>
      <w:rPr>
        <w:rFonts w:hint="default" w:ascii="Courier New" w:hAnsi="Courier New"/>
      </w:rPr>
    </w:lvl>
    <w:lvl w:ilvl="8" w:tplc="9DEA9212">
      <w:start w:val="1"/>
      <w:numFmt w:val="bullet"/>
      <w:lvlText w:val=""/>
      <w:lvlJc w:val="left"/>
      <w:pPr>
        <w:ind w:left="6480" w:hanging="360"/>
      </w:pPr>
      <w:rPr>
        <w:rFonts w:hint="default" w:ascii="Wingdings" w:hAnsi="Wingdings"/>
      </w:rPr>
    </w:lvl>
  </w:abstractNum>
  <w:abstractNum w:abstractNumId="1" w15:restartNumberingAfterBreak="0">
    <w:nsid w:val="132529C3"/>
    <w:multiLevelType w:val="hybridMultilevel"/>
    <w:tmpl w:val="ADBC73D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4913E3F"/>
    <w:multiLevelType w:val="multilevel"/>
    <w:tmpl w:val="67B04E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C654CA5"/>
    <w:multiLevelType w:val="multilevel"/>
    <w:tmpl w:val="479C9A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3A521A4"/>
    <w:multiLevelType w:val="multilevel"/>
    <w:tmpl w:val="9B6602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5EE6494"/>
    <w:multiLevelType w:val="multilevel"/>
    <w:tmpl w:val="8816244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C322E43"/>
    <w:multiLevelType w:val="multilevel"/>
    <w:tmpl w:val="F16EC7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D967B1E"/>
    <w:multiLevelType w:val="multilevel"/>
    <w:tmpl w:val="108896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BDA49FE"/>
    <w:multiLevelType w:val="multilevel"/>
    <w:tmpl w:val="D674AE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C9B422B"/>
    <w:multiLevelType w:val="multilevel"/>
    <w:tmpl w:val="62CA7F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91900C0"/>
    <w:multiLevelType w:val="multilevel"/>
    <w:tmpl w:val="D292C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F2B6F8C"/>
    <w:multiLevelType w:val="multilevel"/>
    <w:tmpl w:val="385E00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58354961">
    <w:abstractNumId w:val="9"/>
  </w:num>
  <w:num w:numId="2" w16cid:durableId="1082488257">
    <w:abstractNumId w:val="10"/>
  </w:num>
  <w:num w:numId="3" w16cid:durableId="1196507303">
    <w:abstractNumId w:val="8"/>
  </w:num>
  <w:num w:numId="4" w16cid:durableId="1215507727">
    <w:abstractNumId w:val="3"/>
  </w:num>
  <w:num w:numId="5" w16cid:durableId="1223177698">
    <w:abstractNumId w:val="11"/>
  </w:num>
  <w:num w:numId="6" w16cid:durableId="164563103">
    <w:abstractNumId w:val="6"/>
  </w:num>
  <w:num w:numId="7" w16cid:durableId="1781945703">
    <w:abstractNumId w:val="1"/>
  </w:num>
  <w:num w:numId="8" w16cid:durableId="1944922328">
    <w:abstractNumId w:val="7"/>
  </w:num>
  <w:num w:numId="9" w16cid:durableId="1972443182">
    <w:abstractNumId w:val="0"/>
  </w:num>
  <w:num w:numId="10" w16cid:durableId="2146122939">
    <w:abstractNumId w:val="5"/>
  </w:num>
  <w:num w:numId="11" w16cid:durableId="578053067">
    <w:abstractNumId w:val="2"/>
  </w:num>
  <w:num w:numId="12" w16cid:durableId="874269367">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69"/>
    <w:rsid w:val="00006E66"/>
    <w:rsid w:val="00011055"/>
    <w:rsid w:val="00031264"/>
    <w:rsid w:val="00045B4B"/>
    <w:rsid w:val="00056DC2"/>
    <w:rsid w:val="00074F81"/>
    <w:rsid w:val="000A43E1"/>
    <w:rsid w:val="000A60BD"/>
    <w:rsid w:val="00107AA7"/>
    <w:rsid w:val="001232B9"/>
    <w:rsid w:val="001237A4"/>
    <w:rsid w:val="00150DBE"/>
    <w:rsid w:val="0016306C"/>
    <w:rsid w:val="00174A96"/>
    <w:rsid w:val="00174C8A"/>
    <w:rsid w:val="0019005E"/>
    <w:rsid w:val="001A2427"/>
    <w:rsid w:val="001A2FEB"/>
    <w:rsid w:val="001C03C9"/>
    <w:rsid w:val="001C53CD"/>
    <w:rsid w:val="00206171"/>
    <w:rsid w:val="002072FF"/>
    <w:rsid w:val="00216BC5"/>
    <w:rsid w:val="00234A00"/>
    <w:rsid w:val="0023561E"/>
    <w:rsid w:val="002441EA"/>
    <w:rsid w:val="00283BAF"/>
    <w:rsid w:val="002907CC"/>
    <w:rsid w:val="00295285"/>
    <w:rsid w:val="002A3CFE"/>
    <w:rsid w:val="002A6CF5"/>
    <w:rsid w:val="002B609B"/>
    <w:rsid w:val="002C4C1A"/>
    <w:rsid w:val="002D0153"/>
    <w:rsid w:val="002F0FF1"/>
    <w:rsid w:val="00303DA4"/>
    <w:rsid w:val="003100C7"/>
    <w:rsid w:val="00320740"/>
    <w:rsid w:val="00382AD3"/>
    <w:rsid w:val="0039481D"/>
    <w:rsid w:val="003A22B9"/>
    <w:rsid w:val="003B51D5"/>
    <w:rsid w:val="003C0E1A"/>
    <w:rsid w:val="003C163C"/>
    <w:rsid w:val="003C2A80"/>
    <w:rsid w:val="003D03FE"/>
    <w:rsid w:val="003D701E"/>
    <w:rsid w:val="003F4820"/>
    <w:rsid w:val="0040328C"/>
    <w:rsid w:val="00427AB2"/>
    <w:rsid w:val="0044069F"/>
    <w:rsid w:val="00444469"/>
    <w:rsid w:val="00455A40"/>
    <w:rsid w:val="004565BF"/>
    <w:rsid w:val="0045740D"/>
    <w:rsid w:val="0046214B"/>
    <w:rsid w:val="00496CA9"/>
    <w:rsid w:val="004B1FF7"/>
    <w:rsid w:val="004E4DDF"/>
    <w:rsid w:val="004E671E"/>
    <w:rsid w:val="004E6EE1"/>
    <w:rsid w:val="0050062B"/>
    <w:rsid w:val="00506C01"/>
    <w:rsid w:val="0051138C"/>
    <w:rsid w:val="0051187B"/>
    <w:rsid w:val="00522195"/>
    <w:rsid w:val="005363CD"/>
    <w:rsid w:val="00543803"/>
    <w:rsid w:val="0054764C"/>
    <w:rsid w:val="00572097"/>
    <w:rsid w:val="00574B2B"/>
    <w:rsid w:val="00575A18"/>
    <w:rsid w:val="0058373E"/>
    <w:rsid w:val="00593910"/>
    <w:rsid w:val="005A3D40"/>
    <w:rsid w:val="005C6440"/>
    <w:rsid w:val="005D7BF2"/>
    <w:rsid w:val="005E0224"/>
    <w:rsid w:val="005E3BEE"/>
    <w:rsid w:val="00606655"/>
    <w:rsid w:val="00607284"/>
    <w:rsid w:val="006226BF"/>
    <w:rsid w:val="00632BA3"/>
    <w:rsid w:val="00642426"/>
    <w:rsid w:val="00667E15"/>
    <w:rsid w:val="00682217"/>
    <w:rsid w:val="006A3037"/>
    <w:rsid w:val="006C01B6"/>
    <w:rsid w:val="006C3026"/>
    <w:rsid w:val="006CC422"/>
    <w:rsid w:val="00712268"/>
    <w:rsid w:val="00742626"/>
    <w:rsid w:val="0075451A"/>
    <w:rsid w:val="00760616"/>
    <w:rsid w:val="00772253"/>
    <w:rsid w:val="007807E4"/>
    <w:rsid w:val="0078169D"/>
    <w:rsid w:val="007A5522"/>
    <w:rsid w:val="007C5607"/>
    <w:rsid w:val="00806C9D"/>
    <w:rsid w:val="008073FF"/>
    <w:rsid w:val="0081128D"/>
    <w:rsid w:val="00813730"/>
    <w:rsid w:val="00821898"/>
    <w:rsid w:val="008457B5"/>
    <w:rsid w:val="00881584"/>
    <w:rsid w:val="0089009E"/>
    <w:rsid w:val="008968A0"/>
    <w:rsid w:val="008B2244"/>
    <w:rsid w:val="008D3B5E"/>
    <w:rsid w:val="008D4744"/>
    <w:rsid w:val="008E3945"/>
    <w:rsid w:val="008E649C"/>
    <w:rsid w:val="008F5D75"/>
    <w:rsid w:val="00905834"/>
    <w:rsid w:val="00914D06"/>
    <w:rsid w:val="0094541B"/>
    <w:rsid w:val="009529B2"/>
    <w:rsid w:val="009818FF"/>
    <w:rsid w:val="00992BFC"/>
    <w:rsid w:val="009957D6"/>
    <w:rsid w:val="009A14F6"/>
    <w:rsid w:val="009A26A9"/>
    <w:rsid w:val="009A4846"/>
    <w:rsid w:val="009B611D"/>
    <w:rsid w:val="009C079B"/>
    <w:rsid w:val="009C2EF7"/>
    <w:rsid w:val="009D74CD"/>
    <w:rsid w:val="009F7FAC"/>
    <w:rsid w:val="00A17477"/>
    <w:rsid w:val="00A17A4C"/>
    <w:rsid w:val="00A64210"/>
    <w:rsid w:val="00A658B3"/>
    <w:rsid w:val="00A80509"/>
    <w:rsid w:val="00A82A50"/>
    <w:rsid w:val="00A9031F"/>
    <w:rsid w:val="00A91E7B"/>
    <w:rsid w:val="00A9704A"/>
    <w:rsid w:val="00AC7305"/>
    <w:rsid w:val="00AF2033"/>
    <w:rsid w:val="00B03603"/>
    <w:rsid w:val="00B068AD"/>
    <w:rsid w:val="00B16587"/>
    <w:rsid w:val="00B2422A"/>
    <w:rsid w:val="00B50F42"/>
    <w:rsid w:val="00BB29EB"/>
    <w:rsid w:val="00BD52FA"/>
    <w:rsid w:val="00BE48E1"/>
    <w:rsid w:val="00BF63E2"/>
    <w:rsid w:val="00C05321"/>
    <w:rsid w:val="00C10A7F"/>
    <w:rsid w:val="00C21A77"/>
    <w:rsid w:val="00C265AD"/>
    <w:rsid w:val="00C3184B"/>
    <w:rsid w:val="00C5653E"/>
    <w:rsid w:val="00CA2933"/>
    <w:rsid w:val="00CA52A0"/>
    <w:rsid w:val="00CB0DDA"/>
    <w:rsid w:val="00CD1A4E"/>
    <w:rsid w:val="00CE52F3"/>
    <w:rsid w:val="00CE642A"/>
    <w:rsid w:val="00CE708E"/>
    <w:rsid w:val="00D0109C"/>
    <w:rsid w:val="00D27C02"/>
    <w:rsid w:val="00D34824"/>
    <w:rsid w:val="00D47BB7"/>
    <w:rsid w:val="00D495F7"/>
    <w:rsid w:val="00D61B13"/>
    <w:rsid w:val="00D86D3C"/>
    <w:rsid w:val="00DA0921"/>
    <w:rsid w:val="00DB347E"/>
    <w:rsid w:val="00DC4BD6"/>
    <w:rsid w:val="00DD641F"/>
    <w:rsid w:val="00DE739F"/>
    <w:rsid w:val="00E01157"/>
    <w:rsid w:val="00E31F70"/>
    <w:rsid w:val="00E37B12"/>
    <w:rsid w:val="00E476A1"/>
    <w:rsid w:val="00E53C62"/>
    <w:rsid w:val="00E56909"/>
    <w:rsid w:val="00E64054"/>
    <w:rsid w:val="00EB3A39"/>
    <w:rsid w:val="00ED5599"/>
    <w:rsid w:val="00EE465E"/>
    <w:rsid w:val="00EE69B7"/>
    <w:rsid w:val="00EF5E04"/>
    <w:rsid w:val="00EF79F8"/>
    <w:rsid w:val="00F075C0"/>
    <w:rsid w:val="00F11270"/>
    <w:rsid w:val="00F30F3F"/>
    <w:rsid w:val="00F4362C"/>
    <w:rsid w:val="00F5642E"/>
    <w:rsid w:val="00F71FBE"/>
    <w:rsid w:val="00F72E60"/>
    <w:rsid w:val="00F77250"/>
    <w:rsid w:val="00F77697"/>
    <w:rsid w:val="00F84C93"/>
    <w:rsid w:val="00F949F3"/>
    <w:rsid w:val="00FA53A6"/>
    <w:rsid w:val="00FB4E4D"/>
    <w:rsid w:val="00FB5185"/>
    <w:rsid w:val="00FC116A"/>
    <w:rsid w:val="00FD1B67"/>
    <w:rsid w:val="00FE1211"/>
    <w:rsid w:val="00FE2D4C"/>
    <w:rsid w:val="00FF5D8F"/>
    <w:rsid w:val="010CD1DA"/>
    <w:rsid w:val="05057227"/>
    <w:rsid w:val="088511DB"/>
    <w:rsid w:val="0957F5F5"/>
    <w:rsid w:val="0B7C3331"/>
    <w:rsid w:val="0BB9A946"/>
    <w:rsid w:val="0C16EAE2"/>
    <w:rsid w:val="0C34B7AA"/>
    <w:rsid w:val="0D31BF7C"/>
    <w:rsid w:val="0D5B1191"/>
    <w:rsid w:val="0F9F53D5"/>
    <w:rsid w:val="10F8A733"/>
    <w:rsid w:val="11181EA3"/>
    <w:rsid w:val="128065D2"/>
    <w:rsid w:val="12CA92F9"/>
    <w:rsid w:val="1466637D"/>
    <w:rsid w:val="14D3B98F"/>
    <w:rsid w:val="17E859E4"/>
    <w:rsid w:val="1A0C7920"/>
    <w:rsid w:val="1C318C14"/>
    <w:rsid w:val="2004CACA"/>
    <w:rsid w:val="2050B195"/>
    <w:rsid w:val="22E6E6A8"/>
    <w:rsid w:val="25AADFF9"/>
    <w:rsid w:val="25B37DD8"/>
    <w:rsid w:val="27BA4A7A"/>
    <w:rsid w:val="288FCFFE"/>
    <w:rsid w:val="2B41EDD6"/>
    <w:rsid w:val="2C5FAA5C"/>
    <w:rsid w:val="2C6C57CC"/>
    <w:rsid w:val="30262CA0"/>
    <w:rsid w:val="30330213"/>
    <w:rsid w:val="307AAD1F"/>
    <w:rsid w:val="30CEB052"/>
    <w:rsid w:val="313B4D86"/>
    <w:rsid w:val="32F85FB1"/>
    <w:rsid w:val="33B933D9"/>
    <w:rsid w:val="347D0BAA"/>
    <w:rsid w:val="36505EDC"/>
    <w:rsid w:val="38D14E90"/>
    <w:rsid w:val="396D226B"/>
    <w:rsid w:val="396F07BC"/>
    <w:rsid w:val="3CDE8F1F"/>
    <w:rsid w:val="3DFE940C"/>
    <w:rsid w:val="3ECB2E6F"/>
    <w:rsid w:val="3F10F6FD"/>
    <w:rsid w:val="417FF01D"/>
    <w:rsid w:val="425F6688"/>
    <w:rsid w:val="43E070E6"/>
    <w:rsid w:val="46B97234"/>
    <w:rsid w:val="46D6EBFF"/>
    <w:rsid w:val="47007047"/>
    <w:rsid w:val="4769CC93"/>
    <w:rsid w:val="4825577B"/>
    <w:rsid w:val="485D289E"/>
    <w:rsid w:val="49106954"/>
    <w:rsid w:val="4E6038C8"/>
    <w:rsid w:val="4F526D0C"/>
    <w:rsid w:val="5126D309"/>
    <w:rsid w:val="52815C7A"/>
    <w:rsid w:val="52AFCB3B"/>
    <w:rsid w:val="5324513D"/>
    <w:rsid w:val="5409A9D2"/>
    <w:rsid w:val="5A2B25F5"/>
    <w:rsid w:val="5AB74E12"/>
    <w:rsid w:val="5B6F04E1"/>
    <w:rsid w:val="5CA921B2"/>
    <w:rsid w:val="5E454E15"/>
    <w:rsid w:val="5EC692DD"/>
    <w:rsid w:val="5F0F9ACF"/>
    <w:rsid w:val="5FC4CC5D"/>
    <w:rsid w:val="6073D1AE"/>
    <w:rsid w:val="60B88CE6"/>
    <w:rsid w:val="63801452"/>
    <w:rsid w:val="652F6213"/>
    <w:rsid w:val="666012D9"/>
    <w:rsid w:val="66C990B7"/>
    <w:rsid w:val="6ABB3F56"/>
    <w:rsid w:val="6E49EAAE"/>
    <w:rsid w:val="711F1C9B"/>
    <w:rsid w:val="71D14A67"/>
    <w:rsid w:val="7217A441"/>
    <w:rsid w:val="76738470"/>
    <w:rsid w:val="7AA3ED16"/>
    <w:rsid w:val="7C6EDA4A"/>
    <w:rsid w:val="7D6EE07C"/>
    <w:rsid w:val="7F855485"/>
    <w:rsid w:val="7F8E33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107FD"/>
  <w15:chartTrackingRefBased/>
  <w15:docId w15:val="{20C93D80-3124-4BB6-8291-FDE6A4DD9F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D1B67"/>
  </w:style>
  <w:style w:type="paragraph" w:styleId="Kop1">
    <w:name w:val="heading 1"/>
    <w:basedOn w:val="Standaard"/>
    <w:next w:val="Standaard"/>
    <w:link w:val="Kop1Char"/>
    <w:uiPriority w:val="9"/>
    <w:qFormat/>
    <w:rsid w:val="00FD1B67"/>
    <w:pPr>
      <w:keepNext/>
      <w:keepLines/>
      <w:spacing w:before="240" w:after="0"/>
      <w:outlineLvl w:val="0"/>
    </w:pPr>
    <w:rPr>
      <w:rFonts w:asciiTheme="majorHAnsi" w:hAnsiTheme="majorHAnsi" w:eastAsiaTheme="majorEastAsia" w:cstheme="majorBidi"/>
      <w:color w:val="004E6C" w:themeColor="accent1" w:themeShade="BF"/>
      <w:sz w:val="32"/>
      <w:szCs w:val="32"/>
    </w:rPr>
  </w:style>
  <w:style w:type="paragraph" w:styleId="Kop2">
    <w:name w:val="heading 2"/>
    <w:basedOn w:val="Standaard"/>
    <w:next w:val="Standaard"/>
    <w:link w:val="Kop2Char"/>
    <w:uiPriority w:val="9"/>
    <w:semiHidden/>
    <w:unhideWhenUsed/>
    <w:qFormat/>
    <w:rsid w:val="00FD1B67"/>
    <w:pPr>
      <w:keepNext/>
      <w:keepLines/>
      <w:spacing w:before="40" w:after="0"/>
      <w:outlineLvl w:val="1"/>
    </w:pPr>
    <w:rPr>
      <w:rFonts w:asciiTheme="majorHAnsi" w:hAnsiTheme="majorHAnsi" w:eastAsiaTheme="majorEastAsia" w:cstheme="majorBidi"/>
      <w:color w:val="004E6C" w:themeColor="accent1" w:themeShade="BF"/>
      <w:sz w:val="26"/>
      <w:szCs w:val="26"/>
    </w:rPr>
  </w:style>
  <w:style w:type="paragraph" w:styleId="Kop3">
    <w:name w:val="heading 3"/>
    <w:basedOn w:val="Standaard"/>
    <w:next w:val="Standaard"/>
    <w:link w:val="Kop3Char"/>
    <w:uiPriority w:val="9"/>
    <w:semiHidden/>
    <w:unhideWhenUsed/>
    <w:qFormat/>
    <w:rsid w:val="00FD1B67"/>
    <w:pPr>
      <w:keepNext/>
      <w:keepLines/>
      <w:spacing w:before="40" w:after="0"/>
      <w:outlineLvl w:val="2"/>
    </w:pPr>
    <w:rPr>
      <w:rFonts w:asciiTheme="majorHAnsi" w:hAnsiTheme="majorHAnsi" w:eastAsiaTheme="majorEastAsia" w:cstheme="majorBidi"/>
      <w:color w:val="003348" w:themeColor="accent1" w:themeShade="7F"/>
      <w:sz w:val="24"/>
      <w:szCs w:val="24"/>
    </w:rPr>
  </w:style>
  <w:style w:type="paragraph" w:styleId="Kop4">
    <w:name w:val="heading 4"/>
    <w:basedOn w:val="Standaard"/>
    <w:next w:val="Standaard"/>
    <w:link w:val="Kop4Char"/>
    <w:uiPriority w:val="9"/>
    <w:semiHidden/>
    <w:unhideWhenUsed/>
    <w:qFormat/>
    <w:rsid w:val="00FD1B67"/>
    <w:pPr>
      <w:keepNext/>
      <w:keepLines/>
      <w:spacing w:before="40" w:after="0"/>
      <w:outlineLvl w:val="3"/>
    </w:pPr>
    <w:rPr>
      <w:rFonts w:asciiTheme="majorHAnsi" w:hAnsiTheme="majorHAnsi" w:eastAsiaTheme="majorEastAsia" w:cstheme="majorBidi"/>
      <w:i/>
      <w:iCs/>
      <w:color w:val="004E6C" w:themeColor="accent1" w:themeShade="BF"/>
    </w:rPr>
  </w:style>
  <w:style w:type="paragraph" w:styleId="Kop5">
    <w:name w:val="heading 5"/>
    <w:basedOn w:val="Standaard"/>
    <w:next w:val="Standaard"/>
    <w:link w:val="Kop5Char"/>
    <w:uiPriority w:val="9"/>
    <w:semiHidden/>
    <w:unhideWhenUsed/>
    <w:qFormat/>
    <w:rsid w:val="00FD1B67"/>
    <w:pPr>
      <w:keepNext/>
      <w:keepLines/>
      <w:spacing w:before="40" w:after="0"/>
      <w:outlineLvl w:val="4"/>
    </w:pPr>
    <w:rPr>
      <w:rFonts w:asciiTheme="majorHAnsi" w:hAnsiTheme="majorHAnsi" w:eastAsiaTheme="majorEastAsia" w:cstheme="majorBidi"/>
      <w:color w:val="004E6C" w:themeColor="accent1" w:themeShade="BF"/>
    </w:rPr>
  </w:style>
  <w:style w:type="paragraph" w:styleId="Kop6">
    <w:name w:val="heading 6"/>
    <w:basedOn w:val="Standaard"/>
    <w:next w:val="Standaard"/>
    <w:link w:val="Kop6Char"/>
    <w:uiPriority w:val="9"/>
    <w:semiHidden/>
    <w:unhideWhenUsed/>
    <w:qFormat/>
    <w:rsid w:val="00FD1B67"/>
    <w:pPr>
      <w:keepNext/>
      <w:keepLines/>
      <w:spacing w:before="40" w:after="0"/>
      <w:outlineLvl w:val="5"/>
    </w:pPr>
    <w:rPr>
      <w:rFonts w:asciiTheme="majorHAnsi" w:hAnsiTheme="majorHAnsi" w:eastAsiaTheme="majorEastAsia" w:cstheme="majorBidi"/>
      <w:color w:val="003348" w:themeColor="accent1" w:themeShade="7F"/>
    </w:rPr>
  </w:style>
  <w:style w:type="paragraph" w:styleId="Kop7">
    <w:name w:val="heading 7"/>
    <w:basedOn w:val="Standaard"/>
    <w:next w:val="Standaard"/>
    <w:link w:val="Kop7Char"/>
    <w:uiPriority w:val="9"/>
    <w:semiHidden/>
    <w:unhideWhenUsed/>
    <w:qFormat/>
    <w:rsid w:val="00FD1B67"/>
    <w:pPr>
      <w:keepNext/>
      <w:keepLines/>
      <w:spacing w:before="40" w:after="0"/>
      <w:outlineLvl w:val="6"/>
    </w:pPr>
    <w:rPr>
      <w:rFonts w:asciiTheme="majorHAnsi" w:hAnsiTheme="majorHAnsi" w:eastAsiaTheme="majorEastAsia" w:cstheme="majorBidi"/>
      <w:i/>
      <w:iCs/>
      <w:color w:val="003348" w:themeColor="accent1" w:themeShade="7F"/>
    </w:rPr>
  </w:style>
  <w:style w:type="paragraph" w:styleId="Kop8">
    <w:name w:val="heading 8"/>
    <w:basedOn w:val="Standaard"/>
    <w:next w:val="Standaard"/>
    <w:link w:val="Kop8Char"/>
    <w:uiPriority w:val="9"/>
    <w:semiHidden/>
    <w:unhideWhenUsed/>
    <w:qFormat/>
    <w:rsid w:val="00FD1B67"/>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FD1B67"/>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FD1B67"/>
    <w:rPr>
      <w:rFonts w:asciiTheme="majorHAnsi" w:hAnsiTheme="majorHAnsi" w:eastAsiaTheme="majorEastAsia" w:cstheme="majorBidi"/>
      <w:color w:val="004E6C" w:themeColor="accent1" w:themeShade="BF"/>
      <w:sz w:val="32"/>
      <w:szCs w:val="32"/>
    </w:rPr>
  </w:style>
  <w:style w:type="character" w:styleId="Kop2Char" w:customStyle="1">
    <w:name w:val="Kop 2 Char"/>
    <w:basedOn w:val="Standaardalinea-lettertype"/>
    <w:link w:val="Kop2"/>
    <w:uiPriority w:val="9"/>
    <w:semiHidden/>
    <w:rsid w:val="00FD1B67"/>
    <w:rPr>
      <w:rFonts w:asciiTheme="majorHAnsi" w:hAnsiTheme="majorHAnsi" w:eastAsiaTheme="majorEastAsia" w:cstheme="majorBidi"/>
      <w:color w:val="004E6C" w:themeColor="accent1" w:themeShade="BF"/>
      <w:sz w:val="26"/>
      <w:szCs w:val="26"/>
    </w:rPr>
  </w:style>
  <w:style w:type="character" w:styleId="Kop3Char" w:customStyle="1">
    <w:name w:val="Kop 3 Char"/>
    <w:basedOn w:val="Standaardalinea-lettertype"/>
    <w:link w:val="Kop3"/>
    <w:uiPriority w:val="9"/>
    <w:semiHidden/>
    <w:rsid w:val="00FD1B67"/>
    <w:rPr>
      <w:rFonts w:asciiTheme="majorHAnsi" w:hAnsiTheme="majorHAnsi" w:eastAsiaTheme="majorEastAsia" w:cstheme="majorBidi"/>
      <w:color w:val="003348" w:themeColor="accent1" w:themeShade="7F"/>
      <w:sz w:val="24"/>
      <w:szCs w:val="24"/>
    </w:rPr>
  </w:style>
  <w:style w:type="character" w:styleId="Kop4Char" w:customStyle="1">
    <w:name w:val="Kop 4 Char"/>
    <w:basedOn w:val="Standaardalinea-lettertype"/>
    <w:link w:val="Kop4"/>
    <w:uiPriority w:val="9"/>
    <w:semiHidden/>
    <w:rsid w:val="00FD1B67"/>
    <w:rPr>
      <w:rFonts w:asciiTheme="majorHAnsi" w:hAnsiTheme="majorHAnsi" w:eastAsiaTheme="majorEastAsia" w:cstheme="majorBidi"/>
      <w:i/>
      <w:iCs/>
      <w:color w:val="004E6C" w:themeColor="accent1" w:themeShade="BF"/>
    </w:rPr>
  </w:style>
  <w:style w:type="character" w:styleId="Kop5Char" w:customStyle="1">
    <w:name w:val="Kop 5 Char"/>
    <w:basedOn w:val="Standaardalinea-lettertype"/>
    <w:link w:val="Kop5"/>
    <w:uiPriority w:val="9"/>
    <w:semiHidden/>
    <w:rsid w:val="00FD1B67"/>
    <w:rPr>
      <w:rFonts w:asciiTheme="majorHAnsi" w:hAnsiTheme="majorHAnsi" w:eastAsiaTheme="majorEastAsia" w:cstheme="majorBidi"/>
      <w:color w:val="004E6C" w:themeColor="accent1" w:themeShade="BF"/>
    </w:rPr>
  </w:style>
  <w:style w:type="character" w:styleId="Kop6Char" w:customStyle="1">
    <w:name w:val="Kop 6 Char"/>
    <w:basedOn w:val="Standaardalinea-lettertype"/>
    <w:link w:val="Kop6"/>
    <w:uiPriority w:val="9"/>
    <w:semiHidden/>
    <w:rsid w:val="00FD1B67"/>
    <w:rPr>
      <w:rFonts w:asciiTheme="majorHAnsi" w:hAnsiTheme="majorHAnsi" w:eastAsiaTheme="majorEastAsia" w:cstheme="majorBidi"/>
      <w:color w:val="003348" w:themeColor="accent1" w:themeShade="7F"/>
    </w:rPr>
  </w:style>
  <w:style w:type="character" w:styleId="Kop7Char" w:customStyle="1">
    <w:name w:val="Kop 7 Char"/>
    <w:basedOn w:val="Standaardalinea-lettertype"/>
    <w:link w:val="Kop7"/>
    <w:uiPriority w:val="9"/>
    <w:semiHidden/>
    <w:rsid w:val="00FD1B67"/>
    <w:rPr>
      <w:rFonts w:asciiTheme="majorHAnsi" w:hAnsiTheme="majorHAnsi" w:eastAsiaTheme="majorEastAsia" w:cstheme="majorBidi"/>
      <w:i/>
      <w:iCs/>
      <w:color w:val="003348" w:themeColor="accent1" w:themeShade="7F"/>
    </w:rPr>
  </w:style>
  <w:style w:type="character" w:styleId="Kop8Char" w:customStyle="1">
    <w:name w:val="Kop 8 Char"/>
    <w:basedOn w:val="Standaardalinea-lettertype"/>
    <w:link w:val="Kop8"/>
    <w:uiPriority w:val="9"/>
    <w:semiHidden/>
    <w:rsid w:val="00FD1B67"/>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FD1B67"/>
    <w:rPr>
      <w:rFonts w:asciiTheme="majorHAnsi" w:hAnsiTheme="majorHAnsi" w:eastAsiaTheme="majorEastAsia" w:cstheme="majorBidi"/>
      <w:i/>
      <w:iCs/>
      <w:color w:val="272727" w:themeColor="text1" w:themeTint="D8"/>
      <w:sz w:val="21"/>
      <w:szCs w:val="21"/>
    </w:rPr>
  </w:style>
  <w:style w:type="paragraph" w:styleId="Titel">
    <w:name w:val="Title"/>
    <w:basedOn w:val="Standaard"/>
    <w:next w:val="Standaard"/>
    <w:link w:val="TitelChar"/>
    <w:uiPriority w:val="10"/>
    <w:qFormat/>
    <w:rsid w:val="00FD1B67"/>
    <w:pPr>
      <w:spacing w:after="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FD1B67"/>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FD1B67"/>
    <w:pPr>
      <w:numPr>
        <w:ilvl w:val="1"/>
      </w:numPr>
    </w:pPr>
    <w:rPr>
      <w:rFonts w:eastAsiaTheme="minorEastAsia"/>
      <w:color w:val="5A5A5A" w:themeColor="text1" w:themeTint="A5"/>
      <w:spacing w:val="15"/>
    </w:rPr>
  </w:style>
  <w:style w:type="character" w:styleId="OndertitelChar" w:customStyle="1">
    <w:name w:val="Ondertitel Char"/>
    <w:basedOn w:val="Standaardalinea-lettertype"/>
    <w:link w:val="Ondertitel"/>
    <w:uiPriority w:val="11"/>
    <w:rsid w:val="00FD1B67"/>
    <w:rPr>
      <w:rFonts w:eastAsiaTheme="minorEastAsia"/>
      <w:color w:val="5A5A5A" w:themeColor="text1" w:themeTint="A5"/>
      <w:spacing w:val="15"/>
    </w:rPr>
  </w:style>
  <w:style w:type="character" w:styleId="Zwaar">
    <w:name w:val="Strong"/>
    <w:basedOn w:val="Standaardalinea-lettertype"/>
    <w:uiPriority w:val="22"/>
    <w:qFormat/>
    <w:rsid w:val="00FD1B67"/>
    <w:rPr>
      <w:b/>
      <w:bCs/>
    </w:rPr>
  </w:style>
  <w:style w:type="character" w:styleId="Nadruk">
    <w:name w:val="Emphasis"/>
    <w:basedOn w:val="Standaardalinea-lettertype"/>
    <w:uiPriority w:val="20"/>
    <w:qFormat/>
    <w:rsid w:val="00FD1B67"/>
    <w:rPr>
      <w:i/>
      <w:iCs/>
    </w:rPr>
  </w:style>
  <w:style w:type="paragraph" w:styleId="Lijstalinea">
    <w:name w:val="List Paragraph"/>
    <w:basedOn w:val="Standaard"/>
    <w:uiPriority w:val="34"/>
    <w:qFormat/>
    <w:rsid w:val="00FD1B67"/>
    <w:pPr>
      <w:ind w:left="720"/>
      <w:contextualSpacing/>
    </w:pPr>
  </w:style>
  <w:style w:type="paragraph" w:styleId="Citaat">
    <w:name w:val="Quote"/>
    <w:basedOn w:val="Standaard"/>
    <w:next w:val="Standaard"/>
    <w:link w:val="CitaatChar"/>
    <w:uiPriority w:val="29"/>
    <w:qFormat/>
    <w:rsid w:val="00FD1B67"/>
    <w:pPr>
      <w:spacing w:before="20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FD1B67"/>
    <w:rPr>
      <w:i/>
      <w:iCs/>
      <w:color w:val="404040" w:themeColor="text1" w:themeTint="BF"/>
    </w:rPr>
  </w:style>
  <w:style w:type="paragraph" w:styleId="Duidelijkcitaat">
    <w:name w:val="Intense Quote"/>
    <w:basedOn w:val="Standaard"/>
    <w:next w:val="Standaard"/>
    <w:link w:val="DuidelijkcitaatChar"/>
    <w:uiPriority w:val="30"/>
    <w:qFormat/>
    <w:rsid w:val="00FD1B67"/>
    <w:pPr>
      <w:pBdr>
        <w:top w:val="single" w:color="006991" w:themeColor="accent1" w:sz="4" w:space="10"/>
        <w:bottom w:val="single" w:color="006991" w:themeColor="accent1" w:sz="4" w:space="10"/>
      </w:pBdr>
      <w:spacing w:before="360" w:after="360"/>
      <w:ind w:left="864" w:right="864"/>
      <w:jc w:val="center"/>
    </w:pPr>
    <w:rPr>
      <w:i/>
      <w:iCs/>
      <w:color w:val="006991" w:themeColor="accent1"/>
    </w:rPr>
  </w:style>
  <w:style w:type="character" w:styleId="DuidelijkcitaatChar" w:customStyle="1">
    <w:name w:val="Duidelijk citaat Char"/>
    <w:basedOn w:val="Standaardalinea-lettertype"/>
    <w:link w:val="Duidelijkcitaat"/>
    <w:uiPriority w:val="30"/>
    <w:rsid w:val="00FD1B67"/>
    <w:rPr>
      <w:i/>
      <w:iCs/>
      <w:color w:val="006991" w:themeColor="accent1"/>
    </w:rPr>
  </w:style>
  <w:style w:type="character" w:styleId="Subtielebenadrukking">
    <w:name w:val="Subtle Emphasis"/>
    <w:basedOn w:val="Standaardalinea-lettertype"/>
    <w:uiPriority w:val="19"/>
    <w:qFormat/>
    <w:rsid w:val="00FD1B67"/>
    <w:rPr>
      <w:i/>
      <w:iCs/>
      <w:color w:val="404040" w:themeColor="text1" w:themeTint="BF"/>
    </w:rPr>
  </w:style>
  <w:style w:type="character" w:styleId="Intensievebenadrukking">
    <w:name w:val="Intense Emphasis"/>
    <w:basedOn w:val="Standaardalinea-lettertype"/>
    <w:uiPriority w:val="21"/>
    <w:qFormat/>
    <w:rsid w:val="00FD1B67"/>
    <w:rPr>
      <w:i/>
      <w:iCs/>
      <w:color w:val="006991" w:themeColor="accent1"/>
    </w:rPr>
  </w:style>
  <w:style w:type="character" w:styleId="Subtieleverwijzing">
    <w:name w:val="Subtle Reference"/>
    <w:basedOn w:val="Standaardalinea-lettertype"/>
    <w:uiPriority w:val="31"/>
    <w:qFormat/>
    <w:rsid w:val="00FD1B67"/>
    <w:rPr>
      <w:smallCaps/>
      <w:color w:val="5A5A5A" w:themeColor="text1" w:themeTint="A5"/>
    </w:rPr>
  </w:style>
  <w:style w:type="character" w:styleId="Intensieveverwijzing">
    <w:name w:val="Intense Reference"/>
    <w:basedOn w:val="Standaardalinea-lettertype"/>
    <w:uiPriority w:val="32"/>
    <w:qFormat/>
    <w:rsid w:val="00FD1B67"/>
    <w:rPr>
      <w:b/>
      <w:bCs/>
      <w:smallCaps/>
      <w:color w:val="006991" w:themeColor="accent1"/>
      <w:spacing w:val="5"/>
    </w:rPr>
  </w:style>
  <w:style w:type="character" w:styleId="Titelvanboek">
    <w:name w:val="Book Title"/>
    <w:basedOn w:val="Standaardalinea-lettertype"/>
    <w:uiPriority w:val="33"/>
    <w:qFormat/>
    <w:rsid w:val="00FD1B67"/>
    <w:rPr>
      <w:b/>
      <w:bCs/>
      <w:i/>
      <w:iCs/>
      <w:spacing w:val="5"/>
    </w:rPr>
  </w:style>
  <w:style w:type="paragraph" w:styleId="Koptekst">
    <w:name w:val="header"/>
    <w:basedOn w:val="Standaard"/>
    <w:link w:val="KoptekstChar"/>
    <w:uiPriority w:val="99"/>
    <w:unhideWhenUsed/>
    <w:rsid w:val="00444469"/>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444469"/>
  </w:style>
  <w:style w:type="paragraph" w:styleId="Voettekst">
    <w:name w:val="footer"/>
    <w:basedOn w:val="Standaard"/>
    <w:link w:val="VoettekstChar"/>
    <w:uiPriority w:val="99"/>
    <w:unhideWhenUsed/>
    <w:rsid w:val="00444469"/>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444469"/>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customStyle="1">
    <w:name w:val="Comment Text"/>
    <w:basedOn w:val="Standaard"/>
    <w:link w:val="CommentTextChar"/>
    <w:uiPriority w:val="99"/>
    <w:semiHidden/>
    <w:unhideWhenUsed/>
    <w:pPr>
      <w:spacing w:line="240" w:lineRule="auto"/>
    </w:pPr>
    <w:rPr>
      <w:sz w:val="20"/>
      <w:szCs w:val="20"/>
    </w:rPr>
  </w:style>
  <w:style w:type="character" w:styleId="CommentTextChar" w:customStyle="1">
    <w:name w:val="Comment Text Char"/>
    <w:basedOn w:val="Standaardalinea-lettertype"/>
    <w:link w:val="CommentText"/>
    <w:uiPriority w:val="99"/>
    <w:semiHidden/>
    <w:rPr>
      <w:sz w:val="20"/>
      <w:szCs w:val="20"/>
    </w:rPr>
  </w:style>
  <w:style w:type="character" w:styleId="CommentReference" w:customStyle="1">
    <w:name w:val="Comment Reference"/>
    <w:basedOn w:val="Standaardalinea-lettertype"/>
    <w:uiPriority w:val="99"/>
    <w:semiHidden/>
    <w:unhideWhenUsed/>
    <w:rPr>
      <w:sz w:val="16"/>
      <w:szCs w:val="16"/>
    </w:rPr>
  </w:style>
  <w:style w:type="paragraph" w:styleId="CommentSubject" w:customStyle="1">
    <w:name w:val="Comment Subject"/>
    <w:basedOn w:val="CommentText"/>
    <w:next w:val="CommentText"/>
    <w:link w:val="CommentSubjectChar"/>
    <w:uiPriority w:val="99"/>
    <w:semiHidden/>
    <w:unhideWhenUsed/>
    <w:rsid w:val="00EF79F8"/>
    <w:rPr>
      <w:b/>
      <w:bCs/>
    </w:rPr>
  </w:style>
  <w:style w:type="character" w:styleId="CommentSubjectChar" w:customStyle="1">
    <w:name w:val="Comment Subject Char"/>
    <w:basedOn w:val="CommentTextChar"/>
    <w:link w:val="CommentSubject"/>
    <w:uiPriority w:val="99"/>
    <w:semiHidden/>
    <w:rsid w:val="00EF79F8"/>
    <w:rPr>
      <w:b/>
      <w:bCs/>
      <w:sz w:val="20"/>
      <w:szCs w:val="20"/>
    </w:rPr>
  </w:style>
  <w:style w:type="character" w:styleId="Vermelding">
    <w:name w:val="Mention"/>
    <w:basedOn w:val="Standaardalinea-lettertype"/>
    <w:uiPriority w:val="99"/>
    <w:unhideWhenUsed/>
    <w:rsid w:val="0054380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Radboudumc - 16">
  <a:themeElements>
    <a:clrScheme name="Radboudumc">
      <a:dk1>
        <a:srgbClr val="000000"/>
      </a:dk1>
      <a:lt1>
        <a:sysClr val="window" lastClr="FFFFFF"/>
      </a:lt1>
      <a:dk2>
        <a:srgbClr val="00AFDC"/>
      </a:dk2>
      <a:lt2>
        <a:srgbClr val="FFFFFF"/>
      </a:lt2>
      <a:accent1>
        <a:srgbClr val="006991"/>
      </a:accent1>
      <a:accent2>
        <a:srgbClr val="7FB4C8"/>
      </a:accent2>
      <a:accent3>
        <a:srgbClr val="00AFDC"/>
      </a:accent3>
      <a:accent4>
        <a:srgbClr val="7FD7ED"/>
      </a:accent4>
      <a:accent5>
        <a:srgbClr val="CCCCCC"/>
      </a:accent5>
      <a:accent6>
        <a:srgbClr val="E6E6E6"/>
      </a:accent6>
      <a:hlink>
        <a:srgbClr val="000000"/>
      </a:hlink>
      <a:folHlink>
        <a:srgbClr val="00AFDC"/>
      </a:folHlink>
    </a:clrScheme>
    <a:fontScheme name="Kantoor">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Radboudumc - 16" id="{6086C099-B6B7-4478-8095-1C6078156B96}" vid="{77F2F663-4C0A-4394-AB3F-9E8168CB304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5E7BD49CF73D4BA84895BB94A4D098" ma:contentTypeVersion="3" ma:contentTypeDescription="Een nieuw document maken." ma:contentTypeScope="" ma:versionID="ad4f938700dad7bae236afe47f558d25">
  <xsd:schema xmlns:xsd="http://www.w3.org/2001/XMLSchema" xmlns:xs="http://www.w3.org/2001/XMLSchema" xmlns:p="http://schemas.microsoft.com/office/2006/metadata/properties" xmlns:ns2="0cc8d95f-df23-42df-a52f-a52ae6528150" targetNamespace="http://schemas.microsoft.com/office/2006/metadata/properties" ma:root="true" ma:fieldsID="57b74793b477e9f82a4dfd91a1eb23b1" ns2:_="">
    <xsd:import namespace="0cc8d95f-df23-42df-a52f-a52ae65281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d95f-df23-42df-a52f-a52ae652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45DDA6-C56B-4178-85D1-88652B52C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8d95f-df23-42df-a52f-a52ae652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DFA105-860E-44A2-8ABF-E3B9D9DE71EA}">
  <ds:schemaRefs>
    <ds:schemaRef ds:uri="http://schemas.microsoft.com/sharepoint/v3/contenttype/forms"/>
  </ds:schemaRefs>
</ds:datastoreItem>
</file>

<file path=customXml/itemProps3.xml><?xml version="1.0" encoding="utf-8"?>
<ds:datastoreItem xmlns:ds="http://schemas.openxmlformats.org/officeDocument/2006/customXml" ds:itemID="{0F9E0541-420C-4161-9C3A-8ED38EFDEEA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Versteeg, André</dc:creator>
  <keywords/>
  <dc:description/>
  <lastModifiedBy>Versteeg, André</lastModifiedBy>
  <revision>78</revision>
  <dcterms:created xsi:type="dcterms:W3CDTF">2026-07-07T01:21:00.0000000Z</dcterms:created>
  <dcterms:modified xsi:type="dcterms:W3CDTF">2026-09-08T13:38:01.2256762Z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0x0101002B5E7BD49CF73D4BA84895BB94A4D098</vt:lpwstr>
  </property>
</Properties>
</file>