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EA34" w14:textId="69F05705" w:rsidR="007A0092" w:rsidRPr="004B6BC6" w:rsidRDefault="007A0092" w:rsidP="004B6BC6">
      <w:pPr>
        <w:spacing w:line="259" w:lineRule="auto"/>
        <w:rPr>
          <w:rFonts w:ascii="Verdana" w:eastAsia="Calibri" w:hAnsi="Verdana"/>
          <w:b/>
        </w:rPr>
      </w:pPr>
      <w:r w:rsidRPr="0084497B">
        <w:rPr>
          <w:rFonts w:ascii="Verdana" w:eastAsia="Calibri" w:hAnsi="Verdana"/>
          <w:b/>
        </w:rPr>
        <w:t xml:space="preserve">Bijlage </w:t>
      </w:r>
      <w:proofErr w:type="spellStart"/>
      <w:r w:rsidRPr="0084497B">
        <w:rPr>
          <w:rFonts w:ascii="Verdana" w:eastAsia="Calibri" w:hAnsi="Verdana"/>
          <w:b/>
        </w:rPr>
        <w:t>2A</w:t>
      </w:r>
      <w:proofErr w:type="spellEnd"/>
      <w:r w:rsidRPr="0084497B">
        <w:rPr>
          <w:rFonts w:ascii="Verdana" w:eastAsia="Calibri" w:hAnsi="Verdana"/>
          <w:b/>
        </w:rPr>
        <w:t xml:space="preserve"> Proefvertaling Juridisch - Uitspraak</w:t>
      </w:r>
    </w:p>
    <w:p w14:paraId="5F8FDA14" w14:textId="5B560A23" w:rsidR="007A0092" w:rsidRPr="00A01176" w:rsidRDefault="007A0092" w:rsidP="007A0092">
      <w:pPr>
        <w:spacing w:after="0" w:line="240" w:lineRule="auto"/>
        <w:rPr>
          <w:rFonts w:ascii="Verdana" w:hAnsi="Verdana" w:cs="Segoe UI"/>
          <w:color w:val="000000"/>
          <w:sz w:val="20"/>
          <w:szCs w:val="20"/>
          <w:shd w:val="clear" w:color="auto" w:fill="FFFFFF"/>
          <w:lang w:val="en-GB"/>
        </w:rPr>
      </w:pPr>
      <w:r w:rsidRPr="00A01176">
        <w:rPr>
          <w:rFonts w:ascii="Verdana" w:hAnsi="Verdana" w:cs="Segoe UI"/>
          <w:color w:val="000000"/>
          <w:sz w:val="20"/>
          <w:szCs w:val="20"/>
          <w:shd w:val="clear" w:color="auto" w:fill="FFFFFF"/>
          <w:lang w:val="en-GB"/>
        </w:rPr>
        <w:t xml:space="preserve">Below is an extract from one source text. Please translate </w:t>
      </w:r>
      <w:r w:rsidR="004B6BC6" w:rsidRPr="00A01176">
        <w:rPr>
          <w:rFonts w:ascii="Verdana" w:hAnsi="Verdana" w:cs="Segoe UI"/>
          <w:color w:val="000000"/>
          <w:sz w:val="20"/>
          <w:szCs w:val="20"/>
          <w:shd w:val="clear" w:color="auto" w:fill="FFFFFF"/>
          <w:lang w:val="en-GB"/>
        </w:rPr>
        <w:t>the extract</w:t>
      </w:r>
      <w:r w:rsidRPr="00A01176">
        <w:rPr>
          <w:rFonts w:ascii="Verdana" w:hAnsi="Verdana" w:cs="Segoe UI"/>
          <w:color w:val="000000"/>
          <w:sz w:val="20"/>
          <w:szCs w:val="20"/>
          <w:shd w:val="clear" w:color="auto" w:fill="FFFFFF"/>
          <w:lang w:val="en-GB"/>
        </w:rPr>
        <w:t>.</w:t>
      </w:r>
    </w:p>
    <w:p w14:paraId="137C63E2" w14:textId="0CADA05F" w:rsidR="007A0092" w:rsidRPr="00A01176" w:rsidRDefault="004B6BC6" w:rsidP="007A0092">
      <w:pPr>
        <w:pStyle w:val="Standaard1"/>
        <w:spacing w:before="120" w:line="240" w:lineRule="auto"/>
        <w:contextualSpacing w:val="0"/>
        <w:rPr>
          <w:rFonts w:ascii="Verdana" w:eastAsiaTheme="minorHAnsi" w:hAnsi="Verdana" w:cs="Segoe UI"/>
          <w:color w:val="000000"/>
          <w:kern w:val="2"/>
          <w:sz w:val="20"/>
          <w:szCs w:val="20"/>
          <w:shd w:val="clear" w:color="auto" w:fill="FFFFFF"/>
          <w:lang w:val="en-GB" w:eastAsia="en-US"/>
          <w14:ligatures w14:val="standardContextual"/>
        </w:rPr>
      </w:pPr>
      <w:r w:rsidRPr="00A01176">
        <w:rPr>
          <w:rFonts w:ascii="Verdana" w:eastAsiaTheme="minorHAnsi" w:hAnsi="Verdana" w:cs="Segoe UI"/>
          <w:color w:val="000000"/>
          <w:kern w:val="2"/>
          <w:sz w:val="20"/>
          <w:szCs w:val="20"/>
          <w:shd w:val="clear" w:color="auto" w:fill="FFFFFF"/>
          <w:lang w:val="en-GB" w:eastAsia="en-US"/>
          <w14:ligatures w14:val="standardContextual"/>
        </w:rPr>
        <w:t>Total num</w:t>
      </w:r>
      <w:r w:rsidR="00A01176" w:rsidRPr="00A01176">
        <w:rPr>
          <w:rFonts w:ascii="Verdana" w:eastAsiaTheme="minorHAnsi" w:hAnsi="Verdana" w:cs="Segoe UI"/>
          <w:color w:val="000000"/>
          <w:kern w:val="2"/>
          <w:sz w:val="20"/>
          <w:szCs w:val="20"/>
          <w:shd w:val="clear" w:color="auto" w:fill="FFFFFF"/>
          <w:lang w:val="en-GB" w:eastAsia="en-US"/>
          <w14:ligatures w14:val="standardContextual"/>
        </w:rPr>
        <w:t>b</w:t>
      </w:r>
      <w:r w:rsidRPr="00A01176">
        <w:rPr>
          <w:rFonts w:ascii="Verdana" w:eastAsiaTheme="minorHAnsi" w:hAnsi="Verdana" w:cs="Segoe UI"/>
          <w:color w:val="000000"/>
          <w:kern w:val="2"/>
          <w:sz w:val="20"/>
          <w:szCs w:val="20"/>
          <w:shd w:val="clear" w:color="auto" w:fill="FFFFFF"/>
          <w:lang w:val="en-GB" w:eastAsia="en-US"/>
          <w14:ligatures w14:val="standardContextual"/>
        </w:rPr>
        <w:t>er of words: 581</w:t>
      </w:r>
    </w:p>
    <w:p w14:paraId="043EF308" w14:textId="77777777" w:rsidR="004B6BC6" w:rsidRPr="008945FD" w:rsidRDefault="004B6BC6" w:rsidP="007A0092">
      <w:pPr>
        <w:pStyle w:val="Standaard1"/>
        <w:spacing w:before="120" w:line="240" w:lineRule="auto"/>
        <w:contextualSpacing w:val="0"/>
        <w:rPr>
          <w:rFonts w:ascii="Verdana" w:hAnsi="Verdana" w:cstheme="minorHAnsi"/>
          <w:b/>
          <w:sz w:val="20"/>
          <w:szCs w:val="20"/>
          <w:lang w:val="nl-NL"/>
        </w:rPr>
      </w:pPr>
    </w:p>
    <w:p w14:paraId="4DA38A42" w14:textId="77777777" w:rsidR="007A0092" w:rsidRPr="00B47135" w:rsidRDefault="007A0092" w:rsidP="007A0092">
      <w:pPr>
        <w:pStyle w:val="Standaard1"/>
        <w:spacing w:before="120" w:line="240" w:lineRule="auto"/>
        <w:contextualSpacing w:val="0"/>
        <w:rPr>
          <w:rFonts w:ascii="Verdana" w:hAnsi="Verdana" w:cstheme="minorHAnsi"/>
          <w:b/>
          <w:sz w:val="16"/>
          <w:szCs w:val="16"/>
          <w:lang w:val="nl-NL"/>
        </w:rPr>
      </w:pPr>
      <w:r w:rsidRPr="00B47135">
        <w:rPr>
          <w:rFonts w:ascii="Verdana" w:hAnsi="Verdana" w:cstheme="minorHAnsi"/>
          <w:b/>
          <w:sz w:val="16"/>
          <w:szCs w:val="16"/>
          <w:lang w:val="nl-NL"/>
        </w:rPr>
        <w:t>Background information</w:t>
      </w:r>
    </w:p>
    <w:p w14:paraId="15FBD6C1" w14:textId="4A815D5F" w:rsidR="007A0092" w:rsidRPr="00B47135" w:rsidRDefault="007A0092" w:rsidP="007A0092">
      <w:pPr>
        <w:spacing w:before="120" w:line="240" w:lineRule="auto"/>
        <w:rPr>
          <w:rFonts w:ascii="Verdana" w:eastAsia="Calibri" w:hAnsi="Verdana"/>
          <w:sz w:val="16"/>
          <w:szCs w:val="16"/>
          <w:lang w:val="en-US"/>
        </w:rPr>
      </w:pPr>
      <w:r w:rsidRPr="00B47135">
        <w:rPr>
          <w:rFonts w:ascii="Verdana" w:hAnsi="Verdana" w:cstheme="minorHAnsi"/>
          <w:b/>
          <w:sz w:val="16"/>
          <w:szCs w:val="16"/>
          <w:lang w:val="en-US"/>
        </w:rPr>
        <w:t>Type of text:</w:t>
      </w:r>
      <w:r w:rsidRPr="00B47135">
        <w:rPr>
          <w:rFonts w:ascii="Verdana" w:hAnsi="Verdana" w:cstheme="minorHAnsi"/>
          <w:sz w:val="16"/>
          <w:szCs w:val="16"/>
          <w:lang w:val="en-US"/>
        </w:rPr>
        <w:t xml:space="preserve"> Extract from a judgment </w:t>
      </w:r>
      <w:r w:rsidRPr="00B47135">
        <w:rPr>
          <w:rFonts w:ascii="Verdana" w:eastAsia="Calibri" w:hAnsi="Verdana"/>
          <w:sz w:val="16"/>
          <w:szCs w:val="16"/>
          <w:lang w:val="en-US"/>
        </w:rPr>
        <w:t>(</w:t>
      </w:r>
      <w:r w:rsidR="006D2DC3" w:rsidRPr="00B47135">
        <w:rPr>
          <w:rFonts w:ascii="Verdana" w:eastAsia="Calibri" w:hAnsi="Verdana"/>
          <w:sz w:val="16"/>
          <w:szCs w:val="16"/>
          <w:lang w:val="en-US"/>
        </w:rPr>
        <w:t xml:space="preserve">concerning Dutch law, </w:t>
      </w:r>
      <w:r w:rsidR="008945FD" w:rsidRPr="00B47135">
        <w:rPr>
          <w:rFonts w:ascii="Verdana" w:eastAsia="Calibri" w:hAnsi="Verdana"/>
          <w:sz w:val="16"/>
          <w:szCs w:val="16"/>
          <w:lang w:val="en-US"/>
        </w:rPr>
        <w:t>EU law</w:t>
      </w:r>
      <w:r w:rsidR="006D2DC3" w:rsidRPr="00B47135">
        <w:rPr>
          <w:rFonts w:ascii="Verdana" w:eastAsia="Calibri" w:hAnsi="Verdana"/>
          <w:sz w:val="16"/>
          <w:szCs w:val="16"/>
          <w:lang w:val="en-US"/>
        </w:rPr>
        <w:t xml:space="preserve"> and international law</w:t>
      </w:r>
      <w:r w:rsidRPr="00B47135">
        <w:rPr>
          <w:rFonts w:ascii="Verdana" w:eastAsia="Calibri" w:hAnsi="Verdana"/>
          <w:sz w:val="16"/>
          <w:szCs w:val="16"/>
          <w:lang w:val="en-US"/>
        </w:rPr>
        <w:t>)</w:t>
      </w:r>
    </w:p>
    <w:p w14:paraId="796A563E" w14:textId="77777777" w:rsidR="007A0092" w:rsidRPr="00B47135" w:rsidRDefault="007A0092" w:rsidP="007A0092">
      <w:pPr>
        <w:pStyle w:val="Standaard1"/>
        <w:spacing w:before="120" w:line="240" w:lineRule="auto"/>
        <w:contextualSpacing w:val="0"/>
        <w:rPr>
          <w:rFonts w:ascii="Verdana" w:hAnsi="Verdana" w:cstheme="minorHAnsi"/>
          <w:sz w:val="16"/>
          <w:szCs w:val="16"/>
          <w:lang w:val="en-US"/>
        </w:rPr>
      </w:pPr>
      <w:r w:rsidRPr="00B47135">
        <w:rPr>
          <w:rFonts w:ascii="Verdana" w:hAnsi="Verdana" w:cstheme="minorHAnsi"/>
          <w:b/>
          <w:sz w:val="16"/>
          <w:szCs w:val="16"/>
          <w:lang w:val="en-US"/>
        </w:rPr>
        <w:t xml:space="preserve">Target group: </w:t>
      </w:r>
      <w:r w:rsidRPr="00B47135">
        <w:rPr>
          <w:rFonts w:ascii="Verdana" w:hAnsi="Verdana" w:cstheme="minorHAnsi"/>
          <w:sz w:val="16"/>
          <w:szCs w:val="16"/>
          <w:lang w:val="en-US"/>
        </w:rPr>
        <w:t>International partners with legal expertise</w:t>
      </w:r>
      <w:r w:rsidRPr="00B47135">
        <w:rPr>
          <w:rFonts w:ascii="Verdana" w:hAnsi="Verdana" w:cstheme="minorHAnsi"/>
          <w:i/>
          <w:sz w:val="16"/>
          <w:szCs w:val="16"/>
          <w:lang w:val="en-US"/>
        </w:rPr>
        <w:t xml:space="preserve"> </w:t>
      </w:r>
    </w:p>
    <w:p w14:paraId="7F7B8833" w14:textId="77777777" w:rsidR="007A0092" w:rsidRPr="00B47135" w:rsidRDefault="007A0092" w:rsidP="007A0092">
      <w:pPr>
        <w:pStyle w:val="Standaard1"/>
        <w:spacing w:before="120" w:line="240" w:lineRule="auto"/>
        <w:contextualSpacing w:val="0"/>
        <w:rPr>
          <w:rFonts w:ascii="Verdana" w:hAnsi="Verdana" w:cstheme="minorHAnsi"/>
          <w:sz w:val="16"/>
          <w:szCs w:val="16"/>
          <w:lang w:val="en-US"/>
        </w:rPr>
      </w:pPr>
      <w:r w:rsidRPr="00B47135">
        <w:rPr>
          <w:rFonts w:ascii="Verdana" w:hAnsi="Verdana" w:cstheme="minorHAnsi"/>
          <w:b/>
          <w:sz w:val="16"/>
          <w:szCs w:val="16"/>
          <w:lang w:val="en-US"/>
        </w:rPr>
        <w:t>Style:</w:t>
      </w:r>
      <w:r w:rsidRPr="00B47135">
        <w:rPr>
          <w:rFonts w:ascii="Verdana" w:hAnsi="Verdana" w:cstheme="minorHAnsi"/>
          <w:sz w:val="16"/>
          <w:szCs w:val="16"/>
          <w:lang w:val="en-US"/>
        </w:rPr>
        <w:t xml:space="preserve"> Formal, legal</w:t>
      </w:r>
    </w:p>
    <w:p w14:paraId="429D53C1" w14:textId="77777777" w:rsidR="007A0092" w:rsidRDefault="007A0092" w:rsidP="007A0092">
      <w:pPr>
        <w:pStyle w:val="Standaard1"/>
        <w:spacing w:line="240" w:lineRule="auto"/>
        <w:contextualSpacing w:val="0"/>
        <w:rPr>
          <w:rFonts w:asciiTheme="minorHAnsi" w:hAnsiTheme="minorHAnsi" w:cstheme="minorHAnsi"/>
          <w:sz w:val="16"/>
          <w:szCs w:val="16"/>
          <w:lang w:val="en-US"/>
        </w:rPr>
      </w:pPr>
    </w:p>
    <w:p w14:paraId="39144CE6" w14:textId="77777777" w:rsidR="008945FD" w:rsidRPr="003C351B" w:rsidRDefault="008945FD" w:rsidP="007A0092">
      <w:pPr>
        <w:pStyle w:val="Standaard1"/>
        <w:spacing w:line="240" w:lineRule="auto"/>
        <w:contextualSpacing w:val="0"/>
        <w:rPr>
          <w:rFonts w:asciiTheme="minorHAnsi" w:hAnsiTheme="minorHAnsi" w:cstheme="minorHAnsi"/>
          <w:sz w:val="16"/>
          <w:szCs w:val="16"/>
          <w:lang w:val="en-US"/>
        </w:rPr>
      </w:pPr>
    </w:p>
    <w:p w14:paraId="1D32C09D" w14:textId="4F22AEF9" w:rsidR="00F35193" w:rsidRPr="008945FD" w:rsidRDefault="00F35193" w:rsidP="008945FD">
      <w:pPr>
        <w:jc w:val="center"/>
        <w:rPr>
          <w:rFonts w:ascii="Verdana" w:hAnsi="Verdana"/>
          <w:sz w:val="20"/>
          <w:szCs w:val="20"/>
        </w:rPr>
      </w:pPr>
      <w:r w:rsidRPr="008945FD">
        <w:rPr>
          <w:rFonts w:ascii="Verdana" w:hAnsi="Verdana"/>
          <w:sz w:val="20"/>
          <w:szCs w:val="20"/>
        </w:rPr>
        <w:t>[…]</w:t>
      </w:r>
    </w:p>
    <w:p w14:paraId="03CBE814" w14:textId="7ABB2ED2" w:rsidR="00BB75D8" w:rsidRPr="008945FD" w:rsidRDefault="00BB75D8" w:rsidP="00BB75D8">
      <w:pPr>
        <w:rPr>
          <w:rFonts w:ascii="Verdana" w:hAnsi="Verdana"/>
          <w:sz w:val="20"/>
          <w:szCs w:val="20"/>
        </w:rPr>
      </w:pPr>
      <w:r w:rsidRPr="008945FD">
        <w:rPr>
          <w:rFonts w:ascii="Verdana" w:hAnsi="Verdana"/>
          <w:sz w:val="20"/>
          <w:szCs w:val="20"/>
        </w:rPr>
        <w:t>1.3</w:t>
      </w:r>
      <w:r w:rsidRPr="008945FD">
        <w:rPr>
          <w:rFonts w:ascii="Verdana" w:hAnsi="Verdana"/>
          <w:sz w:val="20"/>
          <w:szCs w:val="20"/>
        </w:rPr>
        <w:tab/>
        <w:t>Het hof besluit prejudiciële vragen te stellen aan het Hof van Justitie van de EU over de uitleg van het Unierecht met betrekking tot het vrij verkeer van goederen.</w:t>
      </w:r>
    </w:p>
    <w:p w14:paraId="1A4A33B0" w14:textId="77777777" w:rsidR="00741AE7" w:rsidRPr="008945FD" w:rsidRDefault="00741AE7" w:rsidP="00BB75D8">
      <w:pPr>
        <w:rPr>
          <w:rFonts w:ascii="Verdana" w:hAnsi="Verdana"/>
          <w:i/>
          <w:iCs/>
          <w:sz w:val="20"/>
          <w:szCs w:val="20"/>
        </w:rPr>
      </w:pPr>
    </w:p>
    <w:p w14:paraId="700C69F3" w14:textId="5171EAD1" w:rsidR="00BB75D8" w:rsidRPr="008945FD" w:rsidRDefault="00BB75D8" w:rsidP="00BB75D8">
      <w:pPr>
        <w:rPr>
          <w:rFonts w:ascii="Verdana" w:hAnsi="Verdana"/>
          <w:i/>
          <w:iCs/>
          <w:sz w:val="20"/>
          <w:szCs w:val="20"/>
        </w:rPr>
      </w:pPr>
      <w:r w:rsidRPr="008945FD">
        <w:rPr>
          <w:rFonts w:ascii="Verdana" w:hAnsi="Verdana"/>
          <w:i/>
          <w:iCs/>
          <w:sz w:val="20"/>
          <w:szCs w:val="20"/>
        </w:rPr>
        <w:t>2</w:t>
      </w:r>
      <w:r w:rsidRPr="008945FD">
        <w:rPr>
          <w:rFonts w:ascii="Verdana" w:hAnsi="Verdana"/>
          <w:i/>
          <w:iCs/>
          <w:sz w:val="20"/>
          <w:szCs w:val="20"/>
        </w:rPr>
        <w:tab/>
        <w:t>Het juridisch kader</w:t>
      </w:r>
    </w:p>
    <w:p w14:paraId="4B9C58CF" w14:textId="77777777" w:rsidR="00BB75D8" w:rsidRPr="008945FD" w:rsidRDefault="00BB75D8" w:rsidP="00BB75D8">
      <w:pPr>
        <w:rPr>
          <w:rFonts w:ascii="Verdana" w:hAnsi="Verdana"/>
          <w:i/>
          <w:iCs/>
          <w:sz w:val="20"/>
          <w:szCs w:val="20"/>
        </w:rPr>
      </w:pPr>
      <w:r w:rsidRPr="008945FD">
        <w:rPr>
          <w:rFonts w:ascii="Verdana" w:hAnsi="Verdana"/>
          <w:i/>
          <w:iCs/>
          <w:sz w:val="20"/>
          <w:szCs w:val="20"/>
        </w:rPr>
        <w:t>De Wegenverkeerswet 1994 (</w:t>
      </w:r>
      <w:proofErr w:type="spellStart"/>
      <w:r w:rsidRPr="008945FD">
        <w:rPr>
          <w:rFonts w:ascii="Verdana" w:hAnsi="Verdana"/>
          <w:i/>
          <w:iCs/>
          <w:sz w:val="20"/>
          <w:szCs w:val="20"/>
        </w:rPr>
        <w:t>WVW</w:t>
      </w:r>
      <w:proofErr w:type="spellEnd"/>
      <w:r w:rsidRPr="008945FD">
        <w:rPr>
          <w:rFonts w:ascii="Verdana" w:hAnsi="Verdana"/>
          <w:i/>
          <w:iCs/>
          <w:sz w:val="20"/>
          <w:szCs w:val="20"/>
        </w:rPr>
        <w:t>)</w:t>
      </w:r>
    </w:p>
    <w:p w14:paraId="4807CDAC" w14:textId="77777777" w:rsidR="00BB75D8" w:rsidRPr="008945FD" w:rsidRDefault="00BB75D8" w:rsidP="00BB75D8">
      <w:pPr>
        <w:rPr>
          <w:rFonts w:ascii="Verdana" w:hAnsi="Verdana"/>
          <w:sz w:val="20"/>
          <w:szCs w:val="20"/>
        </w:rPr>
      </w:pPr>
      <w:r w:rsidRPr="008945FD">
        <w:rPr>
          <w:rFonts w:ascii="Verdana" w:hAnsi="Verdana"/>
          <w:sz w:val="20"/>
          <w:szCs w:val="20"/>
        </w:rPr>
        <w:t>2.1</w:t>
      </w:r>
      <w:r w:rsidRPr="008945FD">
        <w:rPr>
          <w:rFonts w:ascii="Verdana" w:hAnsi="Verdana"/>
          <w:sz w:val="20"/>
          <w:szCs w:val="20"/>
        </w:rPr>
        <w:tab/>
        <w:t xml:space="preserve">Aan de eigenaar of houder van een motorrijtuig of een aanhangwagen op de weg moet door de Dienst Wegverkeer (RDW) een geldig kenteken zijn afgegeven (artikel 36 leden 1 en 2 </w:t>
      </w:r>
      <w:proofErr w:type="spellStart"/>
      <w:r w:rsidRPr="008945FD">
        <w:rPr>
          <w:rFonts w:ascii="Verdana" w:hAnsi="Verdana"/>
          <w:sz w:val="20"/>
          <w:szCs w:val="20"/>
        </w:rPr>
        <w:t>WVW</w:t>
      </w:r>
      <w:proofErr w:type="spellEnd"/>
      <w:r w:rsidRPr="008945FD">
        <w:rPr>
          <w:rFonts w:ascii="Verdana" w:hAnsi="Verdana"/>
          <w:sz w:val="20"/>
          <w:szCs w:val="20"/>
        </w:rPr>
        <w:t xml:space="preserve">). Het voertuig moet overeenkomen met de gegevens in het kentekenbewijs en met de gegevens die omtrent het voertuig zijn opgenomen in het kentekenregister (artikel 36 lid 5 </w:t>
      </w:r>
      <w:proofErr w:type="spellStart"/>
      <w:r w:rsidRPr="008945FD">
        <w:rPr>
          <w:rFonts w:ascii="Verdana" w:hAnsi="Verdana"/>
          <w:sz w:val="20"/>
          <w:szCs w:val="20"/>
        </w:rPr>
        <w:t>WVW</w:t>
      </w:r>
      <w:proofErr w:type="spellEnd"/>
      <w:r w:rsidRPr="008945FD">
        <w:rPr>
          <w:rFonts w:ascii="Verdana" w:hAnsi="Verdana"/>
          <w:sz w:val="20"/>
          <w:szCs w:val="20"/>
        </w:rPr>
        <w:t xml:space="preserve">). In het kentekenregister worden gegevens over het voertuig opgenomen, zodat het voertuig bij gebruik op de openbare weg kan worden geïdentificeerd (artikel 42 </w:t>
      </w:r>
      <w:proofErr w:type="spellStart"/>
      <w:r w:rsidRPr="008945FD">
        <w:rPr>
          <w:rFonts w:ascii="Verdana" w:hAnsi="Verdana"/>
          <w:sz w:val="20"/>
          <w:szCs w:val="20"/>
        </w:rPr>
        <w:t>WVW</w:t>
      </w:r>
      <w:proofErr w:type="spellEnd"/>
      <w:r w:rsidRPr="008945FD">
        <w:rPr>
          <w:rFonts w:ascii="Verdana" w:hAnsi="Verdana"/>
          <w:sz w:val="20"/>
          <w:szCs w:val="20"/>
        </w:rPr>
        <w:t xml:space="preserve">). De bestuurder van het voertuig is in beginsel aansprakelijk voor het niet voldoen aan de kentekenplicht (artikel 36 lid 6 </w:t>
      </w:r>
      <w:proofErr w:type="spellStart"/>
      <w:r w:rsidRPr="008945FD">
        <w:rPr>
          <w:rFonts w:ascii="Verdana" w:hAnsi="Verdana"/>
          <w:sz w:val="20"/>
          <w:szCs w:val="20"/>
        </w:rPr>
        <w:t>WVW</w:t>
      </w:r>
      <w:proofErr w:type="spellEnd"/>
      <w:r w:rsidRPr="008945FD">
        <w:rPr>
          <w:rFonts w:ascii="Verdana" w:hAnsi="Verdana"/>
          <w:sz w:val="20"/>
          <w:szCs w:val="20"/>
        </w:rPr>
        <w:t>).</w:t>
      </w:r>
    </w:p>
    <w:p w14:paraId="77D31164" w14:textId="1560B3F6" w:rsidR="00BB75D8" w:rsidRPr="008945FD" w:rsidRDefault="00BB75D8" w:rsidP="00BB75D8">
      <w:pPr>
        <w:rPr>
          <w:rFonts w:ascii="Verdana" w:hAnsi="Verdana"/>
          <w:sz w:val="20"/>
          <w:szCs w:val="20"/>
        </w:rPr>
      </w:pPr>
      <w:r w:rsidRPr="008945FD">
        <w:rPr>
          <w:rFonts w:ascii="Verdana" w:hAnsi="Verdana"/>
          <w:sz w:val="20"/>
          <w:szCs w:val="20"/>
        </w:rPr>
        <w:t>2.2</w:t>
      </w:r>
      <w:r w:rsidRPr="008945FD">
        <w:rPr>
          <w:rFonts w:ascii="Verdana" w:hAnsi="Verdana"/>
          <w:sz w:val="20"/>
          <w:szCs w:val="20"/>
        </w:rPr>
        <w:tab/>
        <w:t xml:space="preserve">Artikel 37 lid 1 onder b </w:t>
      </w:r>
      <w:proofErr w:type="spellStart"/>
      <w:r w:rsidRPr="008945FD">
        <w:rPr>
          <w:rFonts w:ascii="Verdana" w:hAnsi="Verdana"/>
          <w:sz w:val="20"/>
          <w:szCs w:val="20"/>
        </w:rPr>
        <w:t>WVW</w:t>
      </w:r>
      <w:proofErr w:type="spellEnd"/>
      <w:r w:rsidRPr="008945FD">
        <w:rPr>
          <w:rFonts w:ascii="Verdana" w:hAnsi="Verdana"/>
          <w:sz w:val="20"/>
          <w:szCs w:val="20"/>
        </w:rPr>
        <w:t xml:space="preserve"> maakt een uitzondering op deze kentekenplicht voor voertuigen met een buitenlands kenteken. Volgens deze bepaling is artikel 36 </w:t>
      </w:r>
      <w:proofErr w:type="spellStart"/>
      <w:r w:rsidRPr="008945FD">
        <w:rPr>
          <w:rFonts w:ascii="Verdana" w:hAnsi="Verdana"/>
          <w:sz w:val="20"/>
          <w:szCs w:val="20"/>
        </w:rPr>
        <w:t>VWW</w:t>
      </w:r>
      <w:proofErr w:type="spellEnd"/>
      <w:r w:rsidRPr="008945FD">
        <w:rPr>
          <w:rFonts w:ascii="Verdana" w:hAnsi="Verdana"/>
          <w:sz w:val="20"/>
          <w:szCs w:val="20"/>
        </w:rPr>
        <w:t xml:space="preserve"> niet van toepassing op:</w:t>
      </w:r>
    </w:p>
    <w:p w14:paraId="774F1572" w14:textId="77777777" w:rsidR="00BB75D8" w:rsidRPr="008945FD" w:rsidRDefault="00BB75D8" w:rsidP="00BB75D8">
      <w:pPr>
        <w:rPr>
          <w:rFonts w:ascii="Verdana" w:hAnsi="Verdana"/>
          <w:sz w:val="20"/>
          <w:szCs w:val="20"/>
        </w:rPr>
      </w:pPr>
      <w:r w:rsidRPr="008945FD">
        <w:rPr>
          <w:rFonts w:ascii="Verdana" w:hAnsi="Verdana"/>
          <w:sz w:val="20"/>
          <w:szCs w:val="20"/>
        </w:rPr>
        <w:t>“(…)in het buitenland geregistreerde motorrijtuigen en aanhangwagens, die zich in het internationaal verkeer bevinden, mits ter zake van de registratie van het betrokken voertuig door het daartoe bevoegde gezag in het buitenland een bewijs is afgegeven dat voldoet aan de daaraan gestelde eisen in de tussen Nederland en het betrokken land van kracht zijnde internationale overeenkomst en het betrokken voertuig voldoet aan de eisen die in die overeenkomst dan wel bij algemene maatregel van bestuur ter uitvoering van die overeenkomst aan dat voertuig worden gesteld met betrekking tot de toelating tot het internationaal verkeer.”</w:t>
      </w:r>
    </w:p>
    <w:p w14:paraId="17DC31EF" w14:textId="29D9DA4B" w:rsidR="00BB75D8" w:rsidRPr="008945FD" w:rsidRDefault="00BB75D8" w:rsidP="00BB75D8">
      <w:pPr>
        <w:rPr>
          <w:rFonts w:ascii="Verdana" w:hAnsi="Verdana"/>
          <w:sz w:val="20"/>
          <w:szCs w:val="20"/>
        </w:rPr>
      </w:pPr>
      <w:r w:rsidRPr="008945FD">
        <w:rPr>
          <w:rFonts w:ascii="Verdana" w:hAnsi="Verdana"/>
          <w:sz w:val="20"/>
          <w:szCs w:val="20"/>
        </w:rPr>
        <w:t>2.3</w:t>
      </w:r>
      <w:r w:rsidRPr="008945FD">
        <w:rPr>
          <w:rFonts w:ascii="Verdana" w:hAnsi="Verdana"/>
          <w:sz w:val="20"/>
          <w:szCs w:val="20"/>
        </w:rPr>
        <w:tab/>
        <w:t>Sinds 1 januari 2026 geldt een nieuwe regeling voor handelaarskentekens. De oude Regeling handelaarskentekens en -kentekenbewijzen is per 1 januari 2026 ingetrokken. Het nieuwe systeem bundelt meerdere erkenningen (zoals handelaarskentekens, bedrijfsvoorraad, APK enzovoort) onder één basiserkenning met daaraan gekoppelde bevoegdheden.</w:t>
      </w:r>
      <w:r w:rsidR="007B55FD" w:rsidRPr="008945FD">
        <w:rPr>
          <w:rFonts w:ascii="Verdana" w:hAnsi="Verdana"/>
          <w:sz w:val="20"/>
          <w:szCs w:val="20"/>
        </w:rPr>
        <w:t xml:space="preserve"> […]</w:t>
      </w:r>
      <w:r w:rsidRPr="008945FD">
        <w:rPr>
          <w:rFonts w:ascii="Verdana" w:hAnsi="Verdana"/>
          <w:sz w:val="20"/>
          <w:szCs w:val="20"/>
        </w:rPr>
        <w:t xml:space="preserve"> Bedrijven die beschikken over een erkenning handelaarskenteken kunnen één of meer handelaarskentekens aanvragen. Bedrijven die op 1 januari 2026 al beschikten over een of meer erkenningen behouden die in het nieuwe systeem.  Op 7 mei 2025 waren 365.48 Nederlandse handelaarskentekens in gebruik, op een totaal van 15.597.148 geldige reguliere Nederlandse kentekens.</w:t>
      </w:r>
    </w:p>
    <w:p w14:paraId="7574648E" w14:textId="77777777" w:rsidR="00BB75D8" w:rsidRPr="008945FD" w:rsidRDefault="00BB75D8" w:rsidP="00BB75D8">
      <w:pPr>
        <w:rPr>
          <w:rFonts w:ascii="Verdana" w:hAnsi="Verdana"/>
          <w:i/>
          <w:iCs/>
          <w:sz w:val="20"/>
          <w:szCs w:val="20"/>
        </w:rPr>
      </w:pPr>
      <w:r w:rsidRPr="008945FD">
        <w:rPr>
          <w:rFonts w:ascii="Verdana" w:hAnsi="Verdana"/>
          <w:i/>
          <w:iCs/>
          <w:sz w:val="20"/>
          <w:szCs w:val="20"/>
        </w:rPr>
        <w:lastRenderedPageBreak/>
        <w:t>Het verdrag van Wenen</w:t>
      </w:r>
    </w:p>
    <w:p w14:paraId="0D428769" w14:textId="2B032BB3" w:rsidR="00BB75D8" w:rsidRPr="008945FD" w:rsidRDefault="00BB75D8" w:rsidP="00BB75D8">
      <w:pPr>
        <w:rPr>
          <w:rFonts w:ascii="Verdana" w:hAnsi="Verdana"/>
          <w:sz w:val="20"/>
          <w:szCs w:val="20"/>
        </w:rPr>
      </w:pPr>
      <w:r w:rsidRPr="008945FD">
        <w:rPr>
          <w:rFonts w:ascii="Verdana" w:hAnsi="Verdana"/>
          <w:sz w:val="20"/>
          <w:szCs w:val="20"/>
        </w:rPr>
        <w:t>2.4</w:t>
      </w:r>
      <w:r w:rsidRPr="008945FD">
        <w:rPr>
          <w:rFonts w:ascii="Verdana" w:hAnsi="Verdana"/>
          <w:sz w:val="20"/>
          <w:szCs w:val="20"/>
        </w:rPr>
        <w:tab/>
        <w:t xml:space="preserve">Naast een groot aantal andere landen zijn vrijwel alle lidstaten van de Europese Unie partij bij het Verdrag van Wenen inzake het wegverkeer van 8 november 1968. Artikel 35 lid 1 onder a) in samenhang met artikel 3 lid 3 van het Verdrag van Wenen bepaalt dat de verdragsluitende partijen het verkeer van motorvoertuigen die door een andere verdragsluitende partij zijn geregistreerd, niet mogen verbieden, op voorwaarde dat de bestuurder een kentekenbewijs bij zich heeft. De </w:t>
      </w:r>
      <w:proofErr w:type="spellStart"/>
      <w:r w:rsidRPr="008945FD">
        <w:rPr>
          <w:rFonts w:ascii="Verdana" w:hAnsi="Verdana"/>
          <w:sz w:val="20"/>
          <w:szCs w:val="20"/>
        </w:rPr>
        <w:t>verdragslui</w:t>
      </w:r>
      <w:r w:rsidR="00E052E0" w:rsidRPr="008945FD">
        <w:rPr>
          <w:rFonts w:ascii="Verdana" w:hAnsi="Verdana"/>
          <w:sz w:val="20"/>
          <w:szCs w:val="20"/>
        </w:rPr>
        <w:t>d</w:t>
      </w:r>
      <w:r w:rsidRPr="008945FD">
        <w:rPr>
          <w:rFonts w:ascii="Verdana" w:hAnsi="Verdana"/>
          <w:sz w:val="20"/>
          <w:szCs w:val="20"/>
        </w:rPr>
        <w:t>ende</w:t>
      </w:r>
      <w:proofErr w:type="spellEnd"/>
      <w:r w:rsidRPr="008945FD">
        <w:rPr>
          <w:rFonts w:ascii="Verdana" w:hAnsi="Verdana"/>
          <w:sz w:val="20"/>
          <w:szCs w:val="20"/>
        </w:rPr>
        <w:t xml:space="preserve"> partijen moeten ook kentekenbewijzen erkennen die door andere verdragsluitende partijen overeenkomstig het Verdrag zijn afgegeven. Het Verdrag bevat geen bepalingen die de verdragsluitende partijen verplichten of toestaan het vrije verkeer van voertuigen die niet aan het Verdrag voldoen, te verbieden.</w:t>
      </w:r>
    </w:p>
    <w:p w14:paraId="5952810B" w14:textId="77777777" w:rsidR="00502DD6" w:rsidRPr="008945FD" w:rsidRDefault="00502DD6" w:rsidP="00502DD6">
      <w:pPr>
        <w:rPr>
          <w:rFonts w:ascii="Verdana" w:hAnsi="Verdana"/>
          <w:i/>
          <w:iCs/>
          <w:sz w:val="20"/>
          <w:szCs w:val="20"/>
        </w:rPr>
      </w:pPr>
      <w:r w:rsidRPr="008945FD">
        <w:rPr>
          <w:rFonts w:ascii="Verdana" w:hAnsi="Verdana"/>
          <w:i/>
          <w:iCs/>
          <w:sz w:val="20"/>
          <w:szCs w:val="20"/>
        </w:rPr>
        <w:t>EU-regelgeving met betrekking tot de registratie van voertuigen</w:t>
      </w:r>
    </w:p>
    <w:p w14:paraId="4D2D5950" w14:textId="77777777" w:rsidR="00502DD6" w:rsidRPr="008945FD" w:rsidRDefault="00502DD6" w:rsidP="00502DD6">
      <w:pPr>
        <w:rPr>
          <w:rFonts w:ascii="Verdana" w:hAnsi="Verdana"/>
          <w:sz w:val="20"/>
          <w:szCs w:val="20"/>
        </w:rPr>
      </w:pPr>
      <w:r w:rsidRPr="008945FD">
        <w:rPr>
          <w:rFonts w:ascii="Verdana" w:hAnsi="Verdana"/>
          <w:sz w:val="20"/>
          <w:szCs w:val="20"/>
        </w:rPr>
        <w:t>2.5</w:t>
      </w:r>
      <w:r w:rsidRPr="008945FD">
        <w:rPr>
          <w:rFonts w:ascii="Verdana" w:hAnsi="Verdana"/>
          <w:sz w:val="20"/>
          <w:szCs w:val="20"/>
        </w:rPr>
        <w:tab/>
        <w:t>Richtlijn 1999/37/EG (hierna: de Kentekenbewijzenrichtlijn)  maakt het mogelijk dat in een lidstaat ingeschreven voertuigen vrij gebruik kunnen maken van de weg op het grondgebied van de andere lidstaten. De Kentekenbewijzenrichtlijn voorziet in uitwisseling tussen de lidstaten van gegevens met betrekking tot de inschrijving van voertuigen, onder meer ter bestrijding van fraude en handel in gestolen auto’s.</w:t>
      </w:r>
    </w:p>
    <w:p w14:paraId="0C5C91FE" w14:textId="5FC8357E" w:rsidR="00BB75D8" w:rsidRPr="008945FD" w:rsidRDefault="00502DD6" w:rsidP="00502DD6">
      <w:pPr>
        <w:rPr>
          <w:rFonts w:ascii="Verdana" w:hAnsi="Verdana"/>
          <w:sz w:val="20"/>
          <w:szCs w:val="20"/>
        </w:rPr>
      </w:pPr>
      <w:r w:rsidRPr="008945FD">
        <w:rPr>
          <w:rFonts w:ascii="Verdana" w:hAnsi="Verdana"/>
          <w:sz w:val="20"/>
          <w:szCs w:val="20"/>
        </w:rPr>
        <w:t>2.6</w:t>
      </w:r>
      <w:r w:rsidRPr="008945FD">
        <w:rPr>
          <w:rFonts w:ascii="Verdana" w:hAnsi="Verdana"/>
          <w:sz w:val="20"/>
          <w:szCs w:val="20"/>
        </w:rPr>
        <w:tab/>
        <w:t>In haar ‘Interpretatieve mededeling over de procedures voor de registratie van uit een andere lidstaat afkomstige motorvoertuigen’  heeft de Europese Commissie onder meer het volgende overwogen met betrekking tot (tijdelijke) handelaarskentekens:</w:t>
      </w:r>
    </w:p>
    <w:p w14:paraId="1415A545" w14:textId="5B2C3AC3" w:rsidR="00F35193" w:rsidRPr="008945FD" w:rsidRDefault="00F35193" w:rsidP="008945FD">
      <w:pPr>
        <w:jc w:val="center"/>
        <w:rPr>
          <w:rFonts w:ascii="Verdana" w:hAnsi="Verdana"/>
          <w:sz w:val="20"/>
          <w:szCs w:val="20"/>
        </w:rPr>
      </w:pPr>
      <w:r w:rsidRPr="008945FD">
        <w:rPr>
          <w:rFonts w:ascii="Verdana" w:hAnsi="Verdana"/>
          <w:sz w:val="20"/>
          <w:szCs w:val="20"/>
        </w:rPr>
        <w:t>[…]</w:t>
      </w:r>
    </w:p>
    <w:sectPr w:rsidR="00F35193" w:rsidRPr="008945FD" w:rsidSect="004B6BC6">
      <w:footerReference w:type="default" r:id="rId6"/>
      <w:footerReference w:type="first" r:id="rId7"/>
      <w:pgSz w:w="11906" w:h="16838"/>
      <w:pgMar w:top="1440" w:right="1440" w:bottom="1440" w:left="144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9E347" w14:textId="77777777" w:rsidR="00BB75D8" w:rsidRDefault="00BB75D8" w:rsidP="00BB75D8">
      <w:pPr>
        <w:spacing w:after="0" w:line="240" w:lineRule="auto"/>
      </w:pPr>
      <w:r>
        <w:separator/>
      </w:r>
    </w:p>
  </w:endnote>
  <w:endnote w:type="continuationSeparator" w:id="0">
    <w:p w14:paraId="0E9DC518" w14:textId="77777777" w:rsidR="00BB75D8" w:rsidRDefault="00BB75D8" w:rsidP="00BB7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098893"/>
      <w:docPartObj>
        <w:docPartGallery w:val="Page Numbers (Bottom of Page)"/>
        <w:docPartUnique/>
      </w:docPartObj>
    </w:sdtPr>
    <w:sdtEndPr>
      <w:rPr>
        <w:noProof/>
      </w:rPr>
    </w:sdtEndPr>
    <w:sdtContent>
      <w:p w14:paraId="4DAF1D65" w14:textId="110C6477" w:rsidR="004B6BC6" w:rsidRPr="004B6BC6" w:rsidRDefault="004B6BC6" w:rsidP="004B6BC6">
        <w:pPr>
          <w:pStyle w:val="Standaard1"/>
          <w:spacing w:line="240" w:lineRule="auto"/>
          <w:ind w:left="3540" w:firstLine="708"/>
          <w:contextualSpacing w:val="0"/>
          <w:rPr>
            <w:rFonts w:asciiTheme="minorHAnsi" w:hAnsiTheme="minorHAnsi" w:cstheme="minorHAnsi"/>
            <w:i/>
            <w:lang w:val="en-US"/>
          </w:rPr>
        </w:pPr>
        <w:r w:rsidRPr="001B42E3">
          <w:rPr>
            <w:rFonts w:ascii="Verdana" w:hAnsi="Verdana"/>
            <w:sz w:val="20"/>
            <w:szCs w:val="20"/>
          </w:rPr>
          <w:fldChar w:fldCharType="begin"/>
        </w:r>
        <w:r w:rsidRPr="001B42E3">
          <w:rPr>
            <w:rFonts w:ascii="Verdana" w:hAnsi="Verdana"/>
            <w:sz w:val="20"/>
            <w:szCs w:val="20"/>
          </w:rPr>
          <w:instrText xml:space="preserve"> PAGE   \* MERGEFORMAT </w:instrText>
        </w:r>
        <w:r w:rsidRPr="001B42E3">
          <w:rPr>
            <w:rFonts w:ascii="Verdana" w:hAnsi="Verdana"/>
            <w:sz w:val="20"/>
            <w:szCs w:val="20"/>
          </w:rPr>
          <w:fldChar w:fldCharType="separate"/>
        </w:r>
        <w:r w:rsidRPr="001B42E3">
          <w:rPr>
            <w:rFonts w:ascii="Verdana" w:hAnsi="Verdana"/>
            <w:noProof/>
            <w:sz w:val="20"/>
            <w:szCs w:val="20"/>
          </w:rPr>
          <w:t>2</w:t>
        </w:r>
        <w:r w:rsidRPr="001B42E3">
          <w:rPr>
            <w:rFonts w:ascii="Verdana" w:hAnsi="Verdana"/>
            <w:noProof/>
            <w:sz w:val="20"/>
            <w:szCs w:val="20"/>
          </w:rPr>
          <w:fldChar w:fldCharType="end"/>
        </w:r>
        <w:r w:rsidRPr="001B42E3">
          <w:rPr>
            <w:rFonts w:ascii="Verdana" w:hAnsi="Verdana"/>
            <w:noProof/>
            <w:sz w:val="20"/>
            <w:szCs w:val="20"/>
          </w:rPr>
          <w:t xml:space="preserve"> </w:t>
        </w:r>
        <w:r w:rsidRPr="001B42E3">
          <w:rPr>
            <w:rFonts w:ascii="Verdana" w:hAnsi="Verdana"/>
            <w:noProof/>
            <w:sz w:val="20"/>
            <w:szCs w:val="20"/>
          </w:rPr>
          <w:tab/>
        </w:r>
        <w:r w:rsidRPr="001B42E3">
          <w:rPr>
            <w:rFonts w:ascii="Verdana" w:hAnsi="Verdana"/>
            <w:noProof/>
            <w:sz w:val="20"/>
            <w:szCs w:val="20"/>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478A" w14:textId="57EE6BF1" w:rsidR="004B6BC6" w:rsidRPr="001B42E3" w:rsidRDefault="004B6BC6" w:rsidP="004B6BC6">
    <w:pPr>
      <w:pStyle w:val="Footer"/>
      <w:jc w:val="center"/>
      <w:rPr>
        <w:rFonts w:ascii="Verdana" w:hAnsi="Verdana"/>
        <w:sz w:val="20"/>
        <w:szCs w:val="20"/>
      </w:rPr>
    </w:pPr>
    <w:r>
      <w:tab/>
    </w:r>
    <w:r>
      <w:tab/>
    </w:r>
    <w:r w:rsidRPr="001B42E3">
      <w:rPr>
        <w:rFonts w:ascii="Verdana" w:hAnsi="Verdana"/>
        <w:i/>
        <w:iCs/>
        <w:sz w:val="20"/>
        <w:szCs w:val="20"/>
      </w:rPr>
      <w:t>[</w:t>
    </w:r>
    <w:proofErr w:type="spellStart"/>
    <w:r w:rsidRPr="001B42E3">
      <w:rPr>
        <w:rFonts w:ascii="Verdana" w:hAnsi="Verdana"/>
        <w:i/>
        <w:iCs/>
        <w:sz w:val="20"/>
        <w:szCs w:val="20"/>
      </w:rPr>
      <w:t>Continued</w:t>
    </w:r>
    <w:proofErr w:type="spellEnd"/>
    <w:r w:rsidRPr="001B42E3">
      <w:rPr>
        <w:rFonts w:ascii="Verdana" w:hAnsi="Verdana"/>
        <w:i/>
        <w:iCs/>
        <w:sz w:val="20"/>
        <w:szCs w:val="20"/>
      </w:rPr>
      <w:t xml:space="preserve"> on next page]</w:t>
    </w:r>
    <w:r w:rsidRPr="001B42E3">
      <w:rPr>
        <w:rFonts w:ascii="Verdana" w:hAnsi="Verdana"/>
        <w:sz w:val="20"/>
        <w:szCs w:val="20"/>
      </w:rPr>
      <w:tab/>
    </w:r>
  </w:p>
  <w:p w14:paraId="50EF14BD" w14:textId="70AFD197" w:rsidR="004B6BC6" w:rsidRPr="004B6BC6" w:rsidRDefault="004B6BC6" w:rsidP="004B6BC6">
    <w:pPr>
      <w:pStyle w:val="Footer"/>
      <w:jc w:val="center"/>
      <w:rPr>
        <w:i/>
        <w:iCs/>
      </w:rPr>
    </w:pPr>
    <w:r w:rsidRPr="001B42E3">
      <w:rPr>
        <w:rFonts w:ascii="Verdana" w:hAnsi="Verdana"/>
        <w:sz w:val="20"/>
        <w:szCs w:val="20"/>
      </w:rPr>
      <w:tab/>
      <w:t>1</w:t>
    </w: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8990B" w14:textId="77777777" w:rsidR="00BB75D8" w:rsidRDefault="00BB75D8" w:rsidP="00BB75D8">
      <w:pPr>
        <w:spacing w:after="0" w:line="240" w:lineRule="auto"/>
      </w:pPr>
      <w:r>
        <w:separator/>
      </w:r>
    </w:p>
  </w:footnote>
  <w:footnote w:type="continuationSeparator" w:id="0">
    <w:p w14:paraId="308B16E4" w14:textId="77777777" w:rsidR="00BB75D8" w:rsidRDefault="00BB75D8" w:rsidP="00BB75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5D8"/>
    <w:rsid w:val="001B42E3"/>
    <w:rsid w:val="002B19E9"/>
    <w:rsid w:val="003D1CA5"/>
    <w:rsid w:val="004B6BC6"/>
    <w:rsid w:val="004C50A4"/>
    <w:rsid w:val="00502DD6"/>
    <w:rsid w:val="006D2DC3"/>
    <w:rsid w:val="006D753D"/>
    <w:rsid w:val="00741AE7"/>
    <w:rsid w:val="007A0092"/>
    <w:rsid w:val="007B55FD"/>
    <w:rsid w:val="00875763"/>
    <w:rsid w:val="008945FD"/>
    <w:rsid w:val="00A01176"/>
    <w:rsid w:val="00A3772E"/>
    <w:rsid w:val="00AB1210"/>
    <w:rsid w:val="00AB44AD"/>
    <w:rsid w:val="00AC05EE"/>
    <w:rsid w:val="00B47135"/>
    <w:rsid w:val="00BB75D8"/>
    <w:rsid w:val="00E052E0"/>
    <w:rsid w:val="00E43505"/>
    <w:rsid w:val="00F351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A8C0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5D8"/>
    <w:rPr>
      <w:rFonts w:eastAsiaTheme="majorEastAsia" w:cstheme="majorBidi"/>
      <w:color w:val="272727" w:themeColor="text1" w:themeTint="D8"/>
    </w:rPr>
  </w:style>
  <w:style w:type="paragraph" w:styleId="Title">
    <w:name w:val="Title"/>
    <w:basedOn w:val="Normal"/>
    <w:next w:val="Normal"/>
    <w:link w:val="TitleChar"/>
    <w:uiPriority w:val="10"/>
    <w:qFormat/>
    <w:rsid w:val="00BB7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5D8"/>
    <w:pPr>
      <w:spacing w:before="160"/>
      <w:jc w:val="center"/>
    </w:pPr>
    <w:rPr>
      <w:i/>
      <w:iCs/>
      <w:color w:val="404040" w:themeColor="text1" w:themeTint="BF"/>
    </w:rPr>
  </w:style>
  <w:style w:type="character" w:customStyle="1" w:styleId="QuoteChar">
    <w:name w:val="Quote Char"/>
    <w:basedOn w:val="DefaultParagraphFont"/>
    <w:link w:val="Quote"/>
    <w:uiPriority w:val="29"/>
    <w:rsid w:val="00BB75D8"/>
    <w:rPr>
      <w:i/>
      <w:iCs/>
      <w:color w:val="404040" w:themeColor="text1" w:themeTint="BF"/>
    </w:rPr>
  </w:style>
  <w:style w:type="paragraph" w:styleId="ListParagraph">
    <w:name w:val="List Paragraph"/>
    <w:basedOn w:val="Normal"/>
    <w:uiPriority w:val="34"/>
    <w:qFormat/>
    <w:rsid w:val="00BB75D8"/>
    <w:pPr>
      <w:ind w:left="720"/>
      <w:contextualSpacing/>
    </w:pPr>
  </w:style>
  <w:style w:type="character" w:styleId="IntenseEmphasis">
    <w:name w:val="Intense Emphasis"/>
    <w:basedOn w:val="DefaultParagraphFont"/>
    <w:uiPriority w:val="21"/>
    <w:qFormat/>
    <w:rsid w:val="00BB75D8"/>
    <w:rPr>
      <w:i/>
      <w:iCs/>
      <w:color w:val="0F4761" w:themeColor="accent1" w:themeShade="BF"/>
    </w:rPr>
  </w:style>
  <w:style w:type="paragraph" w:styleId="IntenseQuote">
    <w:name w:val="Intense Quote"/>
    <w:basedOn w:val="Normal"/>
    <w:next w:val="Normal"/>
    <w:link w:val="IntenseQuoteChar"/>
    <w:uiPriority w:val="30"/>
    <w:qFormat/>
    <w:rsid w:val="00BB7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5D8"/>
    <w:rPr>
      <w:i/>
      <w:iCs/>
      <w:color w:val="0F4761" w:themeColor="accent1" w:themeShade="BF"/>
    </w:rPr>
  </w:style>
  <w:style w:type="character" w:styleId="IntenseReference">
    <w:name w:val="Intense Reference"/>
    <w:basedOn w:val="DefaultParagraphFont"/>
    <w:uiPriority w:val="32"/>
    <w:qFormat/>
    <w:rsid w:val="00BB75D8"/>
    <w:rPr>
      <w:b/>
      <w:bCs/>
      <w:smallCaps/>
      <w:color w:val="0F4761" w:themeColor="accent1" w:themeShade="BF"/>
      <w:spacing w:val="5"/>
    </w:rPr>
  </w:style>
  <w:style w:type="paragraph" w:customStyle="1" w:styleId="Standaard1">
    <w:name w:val="Standaard1"/>
    <w:rsid w:val="007A0092"/>
    <w:pPr>
      <w:spacing w:after="0" w:line="276" w:lineRule="auto"/>
      <w:contextualSpacing/>
    </w:pPr>
    <w:rPr>
      <w:rFonts w:ascii="Arial" w:eastAsia="Arial" w:hAnsi="Arial" w:cs="Arial"/>
      <w:kern w:val="0"/>
      <w:sz w:val="22"/>
      <w:szCs w:val="22"/>
      <w:lang w:val="nl" w:eastAsia="nl-NL"/>
      <w14:ligatures w14:val="none"/>
    </w:rPr>
  </w:style>
  <w:style w:type="paragraph" w:styleId="Header">
    <w:name w:val="header"/>
    <w:basedOn w:val="Normal"/>
    <w:link w:val="HeaderChar"/>
    <w:uiPriority w:val="99"/>
    <w:unhideWhenUsed/>
    <w:rsid w:val="004B6B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BC6"/>
  </w:style>
  <w:style w:type="paragraph" w:styleId="Footer">
    <w:name w:val="footer"/>
    <w:basedOn w:val="Normal"/>
    <w:link w:val="FooterChar"/>
    <w:uiPriority w:val="99"/>
    <w:unhideWhenUsed/>
    <w:rsid w:val="004B6B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2026-10-22T13:39:00Z</dcterms:created>
  <dcterms:modified xsi:type="dcterms:W3CDTF">2026-10-22T13:40:00Z</dcterms:modified>
</cp:coreProperties>
</file>