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18FD" w:rsidRDefault="00000000">
      <w:pPr>
        <w:spacing w:after="120"/>
      </w:pPr>
      <w:r>
        <w:rPr>
          <w:b/>
          <w:bCs/>
          <w:sz w:val="32"/>
          <w:szCs w:val="32"/>
        </w:rPr>
        <w:t>Demonstratiecasus ronde 2 (K4)</w:t>
      </w:r>
    </w:p>
    <w:p w:rsidR="008218FD" w:rsidRDefault="00000000">
      <w:pPr>
        <w:spacing w:after="120"/>
      </w:pPr>
      <w:r>
        <w:t>Europese openbare aanbesteding Applicant Tracking Systeem (ATS) en Vendor Management Systeem (VMS) – Regio West-Brabant | kenmerk K011612</w:t>
      </w:r>
    </w:p>
    <w:p w:rsidR="008218FD" w:rsidRDefault="00000000">
      <w:pPr>
        <w:spacing w:after="120"/>
      </w:pPr>
      <w:r>
        <w:rPr>
          <w:i/>
          <w:iCs/>
        </w:rPr>
        <w:t>Hoofdstuk 1 en 2 (opzet en spelregels) worden gelijktijdig met de tweede Nota van Inlichtingen aan alle geïnteresseerde partijen beschikbaar gesteld. De hoofdstukken 3 en 4 (de volledige casus met casusgegevens) worden verstrekt bij de uitnodiging voor ronde 2, en in elk geval ten minste tien werkdagen vóór de eerste sessie.</w:t>
      </w:r>
    </w:p>
    <w:p w:rsidR="008218FD" w:rsidRDefault="00000000">
      <w:pPr>
        <w:pStyle w:val="Kop1"/>
        <w:spacing w:before="280" w:after="140"/>
      </w:pPr>
      <w:r>
        <w:rPr>
          <w:b/>
          <w:bCs/>
          <w:color w:val="1F3864"/>
          <w:sz w:val="26"/>
          <w:szCs w:val="26"/>
        </w:rPr>
        <w:t>1. Doel en status van dit document</w:t>
      </w:r>
    </w:p>
    <w:p w:rsidR="008218FD" w:rsidRDefault="00000000">
      <w:pPr>
        <w:spacing w:after="120"/>
      </w:pPr>
      <w:r>
        <w:t>Dit document bevat de casus die iedere uitgenodigde inschrijver tijdens de demonstratie en presentatie (subgunningscriterium K4) doorloopt. De casus maakt de demonstraties onderling vergelijkbaar en is afgeleid van de dagelijkse praktijk van de aanbestedende dienst en de Deelnemende Organisaties.</w:t>
      </w:r>
    </w:p>
    <w:p w:rsidR="008218FD" w:rsidRDefault="00000000">
      <w:pPr>
        <w:spacing w:after="120"/>
      </w:pPr>
      <w:r>
        <w:t>De casus voegt geen eisen of gunningscriteria toe. De beoordeling vindt plaats op de in paragraaf 4.6.10 van het beschrijvend document genoemde aspecten. Alle gegevens in dit document zijn fictief; herleidbaarheid tot bestaande personen of leveranciers is niet beoogd.</w:t>
      </w:r>
    </w:p>
    <w:p w:rsidR="008218FD" w:rsidRDefault="00000000">
      <w:pPr>
        <w:spacing w:after="120"/>
      </w:pPr>
      <w:r>
        <w:t>Alle uitgenodigde inschrijvers binnen een perceel ontvangen dezelfde casus, krijgen een sessie van gelijke duur en worden beoordeeld door hetzelfde beoordelingsteam. Van een eventuele wijziging in de casus wordt iedere uitgenodigde inschrijver gelijktijdig op de hoogte gesteld.</w:t>
      </w:r>
    </w:p>
    <w:p w:rsidR="008218FD" w:rsidRDefault="00000000">
      <w:pPr>
        <w:pStyle w:val="Kop1"/>
        <w:spacing w:before="280" w:after="140"/>
      </w:pPr>
      <w:r>
        <w:rPr>
          <w:b/>
          <w:bCs/>
          <w:color w:val="1F3864"/>
          <w:sz w:val="26"/>
          <w:szCs w:val="26"/>
        </w:rPr>
        <w:t>2. Opzet van de sessie en spelregels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1300"/>
        <w:gridCol w:w="5600"/>
      </w:tblGrid>
      <w:tr w:rsidR="008218FD">
        <w:tblPrEx>
          <w:tblCellMar>
            <w:top w:w="0" w:type="dxa"/>
            <w:bottom w:w="0" w:type="dxa"/>
          </w:tblCellMar>
        </w:tblPrEx>
        <w:trPr>
          <w:tblHeader/>
        </w:trPr>
        <w:tc>
          <w:tcPr>
            <w:tcW w:w="2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Onderdeel</w:t>
            </w:r>
          </w:p>
        </w:tc>
        <w:tc>
          <w:tcPr>
            <w:tcW w:w="1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Duur</w:t>
            </w:r>
          </w:p>
        </w:tc>
        <w:tc>
          <w:tcPr>
            <w:tcW w:w="56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Toelichting</w:t>
            </w:r>
          </w:p>
        </w:tc>
      </w:tr>
      <w:tr w:rsidR="008218FD">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Doorlopen van de casus</w:t>
            </w:r>
          </w:p>
        </w:tc>
        <w:tc>
          <w:tcPr>
            <w:tcW w:w="1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circa 90 minuten</w:t>
            </w:r>
          </w:p>
        </w:tc>
        <w:tc>
          <w:tcPr>
            <w:tcW w:w="5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De inschrijver doorloopt de scenario’s uit hoofdstuk 3 (perceel 1) respectievelijk hoofdstuk 4 (perceel 2) in de aangegeven volgorde, live in het systeem.</w:t>
            </w:r>
          </w:p>
        </w:tc>
      </w:tr>
      <w:tr w:rsidR="008218FD">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Rapportage, sturing en doorontwikkeling</w:t>
            </w:r>
          </w:p>
        </w:tc>
        <w:tc>
          <w:tcPr>
            <w:tcW w:w="1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circa 45 minuten</w:t>
            </w:r>
          </w:p>
        </w:tc>
        <w:tc>
          <w:tcPr>
            <w:tcW w:w="5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Demonstratie van de rapportage- en sturingsmogelijkheden en toelichting op de releasesystematiek en doorontwikkeling.</w:t>
            </w:r>
          </w:p>
        </w:tc>
      </w:tr>
      <w:tr w:rsidR="008218FD">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Verdiepende vragen</w:t>
            </w:r>
          </w:p>
        </w:tc>
        <w:tc>
          <w:tcPr>
            <w:tcW w:w="1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circa 45 minuten</w:t>
            </w:r>
          </w:p>
        </w:tc>
        <w:tc>
          <w:tcPr>
            <w:tcW w:w="5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Vragen van het beoordelingsteam. De vragenlijst wordt niet vooraf verstrekt en is voor alle inschrijvers binnen een perceel gelijk.</w:t>
            </w:r>
          </w:p>
        </w:tc>
      </w:tr>
      <w:tr w:rsidR="008218FD">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Totaal</w:t>
            </w:r>
          </w:p>
        </w:tc>
        <w:tc>
          <w:tcPr>
            <w:tcW w:w="1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maximaal 180 minuten</w:t>
            </w:r>
          </w:p>
        </w:tc>
        <w:tc>
          <w:tcPr>
            <w:tcW w:w="56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Er is geen ruimte voor een voorstelronde, bedrijfspresentatie of algemene introductie.</w:t>
            </w:r>
          </w:p>
        </w:tc>
      </w:tr>
    </w:tbl>
    <w:p w:rsidR="008218FD" w:rsidRDefault="00000000">
      <w:pPr>
        <w:spacing w:before="200"/>
      </w:pPr>
      <w:r>
        <w:rPr>
          <w:b/>
          <w:bCs/>
        </w:rPr>
        <w:t>Spelregels</w:t>
      </w:r>
    </w:p>
    <w:p w:rsidR="008218FD" w:rsidRDefault="00000000">
      <w:pPr>
        <w:pStyle w:val="Lijstalinea"/>
        <w:numPr>
          <w:ilvl w:val="0"/>
          <w:numId w:val="1"/>
        </w:numPr>
        <w:spacing w:after="60"/>
      </w:pPr>
      <w:r>
        <w:t>De demonstratie vindt plaats in een werkende live-omgeving. Een beveiligde demo- of acceptatieomgeving met synthetische data geldt als werkende live-omgeving, mits daarin dezelfde softwareversie draait die in productie beschikbaar is.</w:t>
      </w:r>
    </w:p>
    <w:p w:rsidR="008218FD" w:rsidRDefault="00000000">
      <w:pPr>
        <w:pStyle w:val="Lijstalinea"/>
        <w:numPr>
          <w:ilvl w:val="0"/>
          <w:numId w:val="1"/>
        </w:numPr>
        <w:spacing w:after="60"/>
      </w:pPr>
      <w:r>
        <w:t>Mock-ups, vooraf opgenomen video’s en uitsluitend statische presentaties gelden niet als bewijs van functionaliteit.</w:t>
      </w:r>
    </w:p>
    <w:p w:rsidR="008218FD" w:rsidRDefault="00000000">
      <w:pPr>
        <w:pStyle w:val="Lijstalinea"/>
        <w:numPr>
          <w:ilvl w:val="0"/>
          <w:numId w:val="1"/>
        </w:numPr>
        <w:spacing w:after="60"/>
      </w:pPr>
      <w:r>
        <w:t>Externe koppelingen die nog niet beschikbaar zijn, mogen worden gesimuleerd, mits de inschrijver dat vooraf en tijdens de sessie meldt. Gesimuleerde koppelingen gelden niet als aangetoonde werkende koppeling.</w:t>
      </w:r>
    </w:p>
    <w:p w:rsidR="008218FD" w:rsidRDefault="00000000">
      <w:pPr>
        <w:pStyle w:val="Lijstalinea"/>
        <w:numPr>
          <w:ilvl w:val="0"/>
          <w:numId w:val="1"/>
        </w:numPr>
        <w:spacing w:after="60"/>
      </w:pPr>
      <w:r>
        <w:t>De inschrijver geeft bij elk onderdeel aan of het standaard beschikbaar is, configureerbaar binnen de standaardoplossing, of aanvullende inrichting of maatwerk vergt.</w:t>
      </w:r>
    </w:p>
    <w:p w:rsidR="008218FD" w:rsidRDefault="00000000">
      <w:pPr>
        <w:pStyle w:val="Lijstalinea"/>
        <w:numPr>
          <w:ilvl w:val="0"/>
          <w:numId w:val="1"/>
        </w:numPr>
        <w:spacing w:after="60"/>
      </w:pPr>
      <w:r>
        <w:t>De inschrijver richt de omgeving vooraf in met de casusgegevens uit dit document. Inrichtingswerkzaamheden tijdens de sessie gaan ten koste van de beschikbare tijd.</w:t>
      </w:r>
    </w:p>
    <w:p w:rsidR="008218FD" w:rsidRDefault="00000000">
      <w:pPr>
        <w:pStyle w:val="Lijstalinea"/>
        <w:numPr>
          <w:ilvl w:val="0"/>
          <w:numId w:val="1"/>
        </w:numPr>
        <w:spacing w:after="60"/>
      </w:pPr>
      <w:r>
        <w:t>De aanbestedende dienst zorgt voor een bekabelde internetverbinding en een reserveverbinding; de inschrijver zorgt voor eigen apparatuur en een eigen mobiele verbinding als terugvaloptie.</w:t>
      </w:r>
    </w:p>
    <w:p w:rsidR="008218FD" w:rsidRDefault="00000000">
      <w:pPr>
        <w:pStyle w:val="Lijstalinea"/>
        <w:numPr>
          <w:ilvl w:val="0"/>
          <w:numId w:val="1"/>
        </w:numPr>
        <w:spacing w:after="60"/>
      </w:pPr>
      <w:r>
        <w:t>Van iedere sessie worden een verslag en een beeld- en geluidsopname gemaakt, uitsluitend ten behoeve van de beoordeling.</w:t>
      </w:r>
    </w:p>
    <w:p w:rsidR="008218FD" w:rsidRDefault="00000000">
      <w:pPr>
        <w:pStyle w:val="Lijstalinea"/>
        <w:numPr>
          <w:ilvl w:val="0"/>
          <w:numId w:val="1"/>
        </w:numPr>
        <w:spacing w:after="60"/>
      </w:pPr>
      <w:r>
        <w:t>Getoonde functionaliteit maakt onderdeel uit van het overeengekomen prestatieniveau en moet overeenstemmen met de schriftelijke inschrijving.</w:t>
      </w:r>
    </w:p>
    <w:p w:rsidR="008218FD" w:rsidRDefault="00000000">
      <w:pPr>
        <w:pStyle w:val="Kop1"/>
        <w:spacing w:before="280" w:after="140"/>
      </w:pPr>
      <w:r>
        <w:rPr>
          <w:b/>
          <w:bCs/>
          <w:color w:val="1F3864"/>
          <w:sz w:val="26"/>
          <w:szCs w:val="26"/>
        </w:rPr>
        <w:t>3. Casus perceel 1 – Applicant Tracking Systeem</w:t>
      </w:r>
    </w:p>
    <w:p w:rsidR="008218FD" w:rsidRDefault="00000000">
      <w:pPr>
        <w:spacing w:after="120"/>
      </w:pPr>
      <w:r>
        <w:rPr>
          <w:b/>
          <w:bCs/>
        </w:rPr>
        <w:t>Context</w:t>
      </w:r>
    </w:p>
    <w:p w:rsidR="008218FD" w:rsidRDefault="00000000">
      <w:pPr>
        <w:spacing w:after="120"/>
      </w:pPr>
      <w:r>
        <w:lastRenderedPageBreak/>
        <w:t>Een Deelnemende Organisatie met circa 900 medewerkers werft een Adviseur Omgevingsrecht (schaal 10, 32 uur). De vacature wordt regionaal opengesteld: eerst intern en voor de regionale mobiliteitskandidaten, daarna extern. De selectiecommissie bestaat uit de teammanager van de vacaturehoudende organisatie, een recruiter van de regionale recruitmentpool en een vakinhoudelijk adviseur van een andere Deelnemende Organisatie.</w:t>
      </w:r>
    </w:p>
    <w:p w:rsidR="008218FD" w:rsidRDefault="00000000">
      <w:pPr>
        <w:spacing w:before="160"/>
      </w:pPr>
      <w:r>
        <w:rPr>
          <w:b/>
          <w:bCs/>
        </w:rPr>
        <w:t>Casusgegevens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8218FD">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Gegeven</w:t>
            </w:r>
          </w:p>
        </w:tc>
        <w:tc>
          <w:tcPr>
            <w:tcW w:w="6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Waarde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Vacature</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Adviseur Omgevingsrecht, schaal 10, 32 uur per week, standplaats Etten-Leur</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Vacaturehouder</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T. de Wit, teammanager Vergunningen</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Recruiter</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S. Jansen, regionale recruitmentpool</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Derde commissielid</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M. el Amrani, vakinhoudelijk adviseur, andere Deelnemende Organisatie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Sluitingsdatum</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drie weken na publicatie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Kandidaten</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K1 Pietersen (voldoet, wordt uitgenodigd en aangenomen)</w:t>
            </w:r>
          </w:p>
          <w:p w:rsidR="008218FD" w:rsidRDefault="00000000">
            <w:r>
              <w:rPr>
                <w:sz w:val="18"/>
                <w:szCs w:val="18"/>
              </w:rPr>
              <w:t>K2 Bakker (voldoet deels, afwijzing met toestemming voor opname in de kandidatenbank)</w:t>
            </w:r>
          </w:p>
          <w:p w:rsidR="008218FD" w:rsidRDefault="00000000">
            <w:r>
              <w:rPr>
                <w:sz w:val="18"/>
                <w:szCs w:val="18"/>
              </w:rPr>
              <w:t>K3 Yildirim (voldoet niet, standaardafwijzing)</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Variabele gegevens</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salarisschaal en salarisbedragen uit de centrale salaristabel</w:t>
            </w:r>
          </w:p>
        </w:tc>
      </w:tr>
    </w:tbl>
    <w:p w:rsidR="008218FD" w:rsidRDefault="00000000">
      <w:pPr>
        <w:spacing w:before="160"/>
      </w:pPr>
      <w:r>
        <w:rPr>
          <w:b/>
          <w:bCs/>
        </w:rPr>
        <w:t>Scenario’s</w:t>
      </w:r>
    </w:p>
    <w:p w:rsidR="008218FD" w:rsidRDefault="00000000">
      <w:pPr>
        <w:pStyle w:val="Kop2"/>
        <w:spacing w:before="220" w:after="100"/>
      </w:pPr>
      <w:r>
        <w:rPr>
          <w:b/>
          <w:bCs/>
          <w:sz w:val="22"/>
          <w:szCs w:val="22"/>
        </w:rPr>
        <w:t>3.1 Vacature opstellen en laten goedkeuren (circa 15 minuten)</w:t>
      </w:r>
    </w:p>
    <w:p w:rsidR="008218FD" w:rsidRDefault="00000000">
      <w:pPr>
        <w:pStyle w:val="Lijstalinea"/>
        <w:numPr>
          <w:ilvl w:val="0"/>
          <w:numId w:val="2"/>
        </w:numPr>
        <w:spacing w:after="60"/>
      </w:pPr>
      <w:r>
        <w:t>Maak de vacature aan op basis van een sjabloon, met gebruikmaking van dynamische variabelen voor salarisschaal en salarisbedragen.</w:t>
      </w:r>
    </w:p>
    <w:p w:rsidR="008218FD" w:rsidRDefault="00000000">
      <w:pPr>
        <w:pStyle w:val="Lijstalinea"/>
        <w:numPr>
          <w:ilvl w:val="0"/>
          <w:numId w:val="2"/>
        </w:numPr>
        <w:spacing w:after="60"/>
      </w:pPr>
      <w:r>
        <w:t>Toon wat er gebeurt wanneer de centrale salaristabel wijzigt terwijl de vacature loopt.</w:t>
      </w:r>
    </w:p>
    <w:p w:rsidR="008218FD" w:rsidRDefault="00000000">
      <w:pPr>
        <w:pStyle w:val="Lijstalinea"/>
        <w:numPr>
          <w:ilvl w:val="0"/>
          <w:numId w:val="2"/>
        </w:numPr>
        <w:spacing w:after="60"/>
      </w:pPr>
      <w:r>
        <w:t>Laat de vacature goedkeuren via de workflow, met zichtbare status en historie.</w:t>
      </w:r>
    </w:p>
    <w:p w:rsidR="008218FD" w:rsidRDefault="00000000">
      <w:pPr>
        <w:pStyle w:val="Lijstalinea"/>
        <w:numPr>
          <w:ilvl w:val="0"/>
          <w:numId w:val="2"/>
        </w:numPr>
        <w:spacing w:after="60"/>
      </w:pPr>
      <w:r>
        <w:t>Toon hoe een tweede Deelnemende Organisatie dezelfde vacature met een eigen huisstijl en eigen sjabloon zou publiceren.</w:t>
      </w:r>
    </w:p>
    <w:p w:rsidR="008218FD" w:rsidRDefault="00000000">
      <w:pPr>
        <w:pStyle w:val="Kop2"/>
        <w:spacing w:before="220" w:after="100"/>
      </w:pPr>
      <w:r>
        <w:rPr>
          <w:b/>
          <w:bCs/>
          <w:sz w:val="22"/>
          <w:szCs w:val="22"/>
        </w:rPr>
        <w:t>3.2 Publiceren op meerdere kanalen (circa 10 minuten)</w:t>
      </w:r>
    </w:p>
    <w:p w:rsidR="008218FD" w:rsidRDefault="00000000">
      <w:pPr>
        <w:pStyle w:val="Lijstalinea"/>
        <w:numPr>
          <w:ilvl w:val="0"/>
          <w:numId w:val="2"/>
        </w:numPr>
        <w:spacing w:after="60"/>
      </w:pPr>
      <w:r>
        <w:t>Publiceer intern en richting de regionale mobiliteitskandidaten, met een afwijkende startdatum ten opzichte van de externe publicatie.</w:t>
      </w:r>
    </w:p>
    <w:p w:rsidR="008218FD" w:rsidRDefault="00000000">
      <w:pPr>
        <w:pStyle w:val="Lijstalinea"/>
        <w:numPr>
          <w:ilvl w:val="0"/>
          <w:numId w:val="2"/>
        </w:numPr>
        <w:spacing w:after="60"/>
      </w:pPr>
      <w:r>
        <w:t>Publiceer extern naar de publieke websites en naar ten minste één jobboard of socialemediakanaal, met per kanaal een eigen start- en einddatum.</w:t>
      </w:r>
    </w:p>
    <w:p w:rsidR="008218FD" w:rsidRDefault="00000000">
      <w:pPr>
        <w:pStyle w:val="Lijstalinea"/>
        <w:numPr>
          <w:ilvl w:val="0"/>
          <w:numId w:val="2"/>
        </w:numPr>
        <w:spacing w:after="60"/>
      </w:pPr>
      <w:r>
        <w:t>Toon de statusinformatie die vanuit het systeem naar de website wordt teruggeleverd en hoe een gepubliceerde vacature tussentijds wordt gewijzigd of ingetrokken.</w:t>
      </w:r>
    </w:p>
    <w:p w:rsidR="008218FD" w:rsidRDefault="00000000">
      <w:pPr>
        <w:pStyle w:val="Kop2"/>
        <w:spacing w:before="220" w:after="100"/>
      </w:pPr>
      <w:r>
        <w:rPr>
          <w:b/>
          <w:bCs/>
          <w:sz w:val="22"/>
          <w:szCs w:val="22"/>
        </w:rPr>
        <w:t>3.3 De kandidaatreis (circa 20 minuten)</w:t>
      </w:r>
    </w:p>
    <w:p w:rsidR="008218FD" w:rsidRDefault="00000000">
      <w:pPr>
        <w:pStyle w:val="Lijstalinea"/>
        <w:numPr>
          <w:ilvl w:val="0"/>
          <w:numId w:val="2"/>
        </w:numPr>
        <w:spacing w:after="60"/>
      </w:pPr>
      <w:r>
        <w:t>Doorloop de sollicitatie vanuit het perspectief van kandidaat K1: vacature vinden, solliciteren zonder account, documenten uploaden en een bevestiging ontvangen.</w:t>
      </w:r>
    </w:p>
    <w:p w:rsidR="008218FD" w:rsidRDefault="00000000">
      <w:pPr>
        <w:pStyle w:val="Lijstalinea"/>
        <w:numPr>
          <w:ilvl w:val="0"/>
          <w:numId w:val="2"/>
        </w:numPr>
        <w:spacing w:after="60"/>
      </w:pPr>
      <w:r>
        <w:t>Toon het solliciteren met een account, het zelfbeheer in de kandidatenbank, het instellen van een jobalert en het uitschrijven via een link zonder in te loggen.</w:t>
      </w:r>
    </w:p>
    <w:p w:rsidR="008218FD" w:rsidRDefault="00000000">
      <w:pPr>
        <w:pStyle w:val="Lijstalinea"/>
        <w:numPr>
          <w:ilvl w:val="0"/>
          <w:numId w:val="2"/>
        </w:numPr>
        <w:spacing w:after="60"/>
      </w:pPr>
      <w:r>
        <w:t>Toon de statuscommunicatie aan de kandidaat en de mogelijkheid voor de kandidaat om de sollicitatie in te trekken.</w:t>
      </w:r>
    </w:p>
    <w:p w:rsidR="008218FD" w:rsidRDefault="00000000">
      <w:pPr>
        <w:pStyle w:val="Lijstalinea"/>
        <w:numPr>
          <w:ilvl w:val="0"/>
          <w:numId w:val="2"/>
        </w:numPr>
        <w:spacing w:after="60"/>
      </w:pPr>
      <w:r>
        <w:t>Toon de toegankelijkheid van het sollicitatieproces, waaronder bediening met het toetsenbord en op een mobiel scherm.</w:t>
      </w:r>
    </w:p>
    <w:p w:rsidR="008218FD" w:rsidRDefault="00000000">
      <w:pPr>
        <w:pStyle w:val="Kop2"/>
        <w:spacing w:before="220" w:after="100"/>
      </w:pPr>
      <w:r>
        <w:rPr>
          <w:b/>
          <w:bCs/>
          <w:sz w:val="22"/>
          <w:szCs w:val="22"/>
        </w:rPr>
        <w:t>3.4 Beoordeling door de selectiecommissie (circa 20 minuten)</w:t>
      </w:r>
    </w:p>
    <w:p w:rsidR="008218FD" w:rsidRDefault="00000000">
      <w:pPr>
        <w:pStyle w:val="Lijstalinea"/>
        <w:numPr>
          <w:ilvl w:val="0"/>
          <w:numId w:val="2"/>
        </w:numPr>
        <w:spacing w:after="60"/>
      </w:pPr>
      <w:r>
        <w:t>Verdeel de sollicitaties onder de drie commissieleden, onder wie een lid van een andere Deelnemende Organisatie, en toon de rechten per rol.</w:t>
      </w:r>
    </w:p>
    <w:p w:rsidR="008218FD" w:rsidRDefault="00000000">
      <w:pPr>
        <w:pStyle w:val="Lijstalinea"/>
        <w:numPr>
          <w:ilvl w:val="0"/>
          <w:numId w:val="2"/>
        </w:numPr>
        <w:spacing w:after="60"/>
      </w:pPr>
      <w:r>
        <w:t>Beoordeel de kandidaten, inclusief onderbouwing per kandidaat en de onderlinge zichtbaarheid van beoordelingen.</w:t>
      </w:r>
    </w:p>
    <w:p w:rsidR="008218FD" w:rsidRDefault="00000000">
      <w:pPr>
        <w:pStyle w:val="Lijstalinea"/>
        <w:numPr>
          <w:ilvl w:val="0"/>
          <w:numId w:val="2"/>
        </w:numPr>
        <w:spacing w:after="60"/>
      </w:pPr>
      <w:r>
        <w:t>Plan een gesprek met K1 in, inclusief uitnodiging en agendakoppeling.</w:t>
      </w:r>
    </w:p>
    <w:p w:rsidR="008218FD" w:rsidRDefault="00000000">
      <w:pPr>
        <w:pStyle w:val="Lijstalinea"/>
        <w:numPr>
          <w:ilvl w:val="0"/>
          <w:numId w:val="2"/>
        </w:numPr>
        <w:spacing w:after="60"/>
      </w:pPr>
      <w:r>
        <w:lastRenderedPageBreak/>
        <w:t>Wijs K2 af met toestemming voor opname in de kandidatenbank en wijs K3 af met een standaardbericht.</w:t>
      </w:r>
    </w:p>
    <w:p w:rsidR="008218FD" w:rsidRDefault="00000000">
      <w:pPr>
        <w:pStyle w:val="Kop2"/>
        <w:spacing w:before="220" w:after="100"/>
      </w:pPr>
      <w:r>
        <w:rPr>
          <w:b/>
          <w:bCs/>
          <w:sz w:val="22"/>
          <w:szCs w:val="22"/>
        </w:rPr>
        <w:t>3.5 AI-functionaliteit (circa 10 minuten)</w:t>
      </w:r>
    </w:p>
    <w:p w:rsidR="008218FD" w:rsidRDefault="00000000">
      <w:pPr>
        <w:pStyle w:val="Lijstalinea"/>
        <w:numPr>
          <w:ilvl w:val="0"/>
          <w:numId w:val="2"/>
        </w:numPr>
        <w:spacing w:after="60"/>
      </w:pPr>
      <w:r>
        <w:t>Toon live de beschikbare AI-ondersteuning, bijvoorbeeld bij het opstellen van de vacaturetekst, bij het verrijken van een kandidaatprofiel of bij matching.</w:t>
      </w:r>
    </w:p>
    <w:p w:rsidR="008218FD" w:rsidRDefault="00000000">
      <w:pPr>
        <w:pStyle w:val="Lijstalinea"/>
        <w:numPr>
          <w:ilvl w:val="0"/>
          <w:numId w:val="2"/>
        </w:numPr>
        <w:spacing w:after="60"/>
      </w:pPr>
      <w:r>
        <w:t>Toon hoe zichtbaar is dat AI is toegepast, welke audittrail wordt vastgelegd en hoe de gebruiker de uitkomst kan beoordelen en overrulen.</w:t>
      </w:r>
    </w:p>
    <w:p w:rsidR="008218FD" w:rsidRDefault="00000000">
      <w:pPr>
        <w:pStyle w:val="Lijstalinea"/>
        <w:numPr>
          <w:ilvl w:val="0"/>
          <w:numId w:val="2"/>
        </w:numPr>
        <w:spacing w:after="60"/>
      </w:pPr>
      <w:r>
        <w:t>Toon hoe de beheerder AI-functionaliteit centraal aan- en uitzet, en licht toe waar de verwerking plaatsvindt.</w:t>
      </w:r>
    </w:p>
    <w:p w:rsidR="008218FD" w:rsidRDefault="00000000">
      <w:pPr>
        <w:pStyle w:val="Kop2"/>
        <w:spacing w:before="220" w:after="100"/>
      </w:pPr>
      <w:r>
        <w:rPr>
          <w:b/>
          <w:bCs/>
          <w:sz w:val="22"/>
          <w:szCs w:val="22"/>
        </w:rPr>
        <w:t>3.6 Aanstelling en doorstroom (circa 15 minuten)</w:t>
      </w:r>
    </w:p>
    <w:p w:rsidR="008218FD" w:rsidRDefault="00000000">
      <w:pPr>
        <w:pStyle w:val="Lijstalinea"/>
        <w:numPr>
          <w:ilvl w:val="0"/>
          <w:numId w:val="2"/>
        </w:numPr>
        <w:spacing w:after="60"/>
      </w:pPr>
      <w:r>
        <w:t>Rond de aanstelling van K1 af en toon de overdracht van gegevens naar het HR-systeem.</w:t>
      </w:r>
    </w:p>
    <w:p w:rsidR="008218FD" w:rsidRDefault="00000000">
      <w:pPr>
        <w:pStyle w:val="Lijstalinea"/>
        <w:numPr>
          <w:ilvl w:val="0"/>
          <w:numId w:val="2"/>
        </w:numPr>
        <w:spacing w:after="60"/>
      </w:pPr>
      <w:r>
        <w:t>Toon hoe het dossier wordt afgesloten, welke bewaartermijnen gelden en hoe gegevens na afloop worden verwijderd of geanonimiseerd.</w:t>
      </w:r>
    </w:p>
    <w:p w:rsidR="008218FD" w:rsidRDefault="00000000">
      <w:pPr>
        <w:pStyle w:val="Lijstalinea"/>
        <w:numPr>
          <w:ilvl w:val="0"/>
          <w:numId w:val="2"/>
        </w:numPr>
        <w:spacing w:after="60"/>
      </w:pPr>
      <w:r>
        <w:t>Toon hoe een kandidaat uit de kandidatenbank kan doorstromen naar een flexibele inzet, en licht toe welke gegevens daarvoor met een VMS kunnen worden uitgewisseld.</w:t>
      </w:r>
    </w:p>
    <w:p w:rsidR="008218FD" w:rsidRDefault="00000000">
      <w:pPr>
        <w:pStyle w:val="Kop1"/>
        <w:spacing w:before="280" w:after="140"/>
      </w:pPr>
      <w:r>
        <w:rPr>
          <w:b/>
          <w:bCs/>
          <w:color w:val="1F3864"/>
          <w:sz w:val="26"/>
          <w:szCs w:val="26"/>
        </w:rPr>
        <w:t>4. Casus perceel 2 – Vendor Management Systeem</w:t>
      </w:r>
    </w:p>
    <w:p w:rsidR="008218FD" w:rsidRDefault="00000000">
      <w:pPr>
        <w:spacing w:after="120"/>
      </w:pPr>
      <w:r>
        <w:t>Het perceel VMS kent twee casussen: casus A betreft een aanvraag die via het Dynamisch Aankoopsysteem wordt uitgezet, casus B een aanvraag die rechtstreeks bij een mantelpartij wordt belegd. Beide routes komen in de praktijk van de Inhuurdesk voor en verschillen wezenlijk van elkaar.</w:t>
      </w:r>
    </w:p>
    <w:p w:rsidR="008218FD" w:rsidRDefault="00000000">
      <w:pPr>
        <w:pStyle w:val="Kop2"/>
        <w:spacing w:before="220" w:after="100"/>
      </w:pPr>
      <w:r>
        <w:rPr>
          <w:b/>
          <w:bCs/>
          <w:sz w:val="22"/>
          <w:szCs w:val="22"/>
        </w:rPr>
        <w:t>Casus A – Aanvraag via het Dynamisch Aankoopsysteem</w:t>
      </w:r>
    </w:p>
    <w:p w:rsidR="008218FD" w:rsidRDefault="00000000">
      <w:pPr>
        <w:spacing w:after="120"/>
      </w:pPr>
      <w:r>
        <w:rPr>
          <w:b/>
          <w:bCs/>
        </w:rPr>
        <w:t>Context</w:t>
      </w:r>
    </w:p>
    <w:p w:rsidR="008218FD" w:rsidRDefault="00000000">
      <w:pPr>
        <w:spacing w:after="120"/>
      </w:pPr>
      <w:r>
        <w:t>Een Deelnemende Organisatie heeft een inhuurbehoefte voor een Projectleider Energietransitie (schaal 11, 32 uur, zes maanden met verlengingsoptie). De organisatie dient de aanvraag in; de Inhuurdesk van Flex West-Brabant beoordeelt en completeert de aanvraag en zet deze uit via het Dynamisch Aankoopsysteem.</w:t>
      </w:r>
    </w:p>
    <w:p w:rsidR="008218FD" w:rsidRDefault="00000000">
      <w:pPr>
        <w:spacing w:before="160"/>
      </w:pPr>
      <w:r>
        <w:rPr>
          <w:b/>
          <w:bCs/>
        </w:rPr>
        <w:t>Casusgegevens</w:t>
      </w:r>
    </w:p>
    <w:tbl>
      <w:tblPr>
        <w:tblW w:w="950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8218FD">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Gegeven</w:t>
            </w:r>
          </w:p>
        </w:tc>
        <w:tc>
          <w:tcPr>
            <w:tcW w:w="6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Waarde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Aanvraag</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Projectleider Energietransitie, schaal 11, 32 uur, zes maanden, verlengingsoptie van tweemaal drie maanden</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Indiener</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A. Verhoeven, afdelingsmanager van de Deelnemende Organisatie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Inhuurdesk</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R. de Groot, Flex West-Brabant (beoordeelt, keurt goed en zet de aanvraag uit)</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Aanbiedingen</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L1: zzp’er die zich rechtstreeks op de DAS-aanvraag aanbiedt (modelovereenkomst)</w:t>
            </w:r>
          </w:p>
          <w:p w:rsidR="008218FD" w:rsidRDefault="00000000">
            <w:r>
              <w:rPr>
                <w:sz w:val="18"/>
                <w:szCs w:val="18"/>
              </w:rPr>
              <w:t>L2: zzp’er die via een intermediair wordt aangeboden</w:t>
            </w:r>
          </w:p>
          <w:p w:rsidR="008218FD" w:rsidRDefault="00000000">
            <w:r>
              <w:rPr>
                <w:sz w:val="18"/>
                <w:szCs w:val="18"/>
              </w:rPr>
              <w:t>L3: detacheringskracht die door een leverancier wordt aangeboden</w:t>
            </w:r>
          </w:p>
          <w:p w:rsidR="008218FD" w:rsidRDefault="00000000">
            <w:r>
              <w:rPr>
                <w:sz w:val="18"/>
                <w:szCs w:val="18"/>
              </w:rPr>
              <w:t>L4: aanbieding die niet aan een knock-outeis voldoet</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Tarieven</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L1 € 95, L2 € 105, L3 € 89 per uur, exclusief btw</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Interne pool</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twee consultants van het Mobiliteitscentrum, gelijktijdig inzetbaar op één opdracht</w:t>
            </w:r>
          </w:p>
        </w:tc>
      </w:tr>
    </w:tbl>
    <w:p w:rsidR="008218FD" w:rsidRDefault="00000000">
      <w:pPr>
        <w:spacing w:before="160"/>
      </w:pPr>
      <w:r>
        <w:rPr>
          <w:b/>
          <w:bCs/>
        </w:rPr>
        <w:t>Scenario’s</w:t>
      </w:r>
    </w:p>
    <w:p w:rsidR="008218FD" w:rsidRDefault="00000000">
      <w:pPr>
        <w:pStyle w:val="Kop2"/>
        <w:spacing w:before="220" w:after="100"/>
      </w:pPr>
      <w:r>
        <w:rPr>
          <w:b/>
          <w:bCs/>
          <w:sz w:val="22"/>
          <w:szCs w:val="22"/>
        </w:rPr>
        <w:t>4.1 Aanvraag opstellen, goedkeuren en uitzetten (circa 12 minuten)</w:t>
      </w:r>
    </w:p>
    <w:p w:rsidR="008218FD" w:rsidRDefault="00000000">
      <w:pPr>
        <w:pStyle w:val="Lijstalinea"/>
        <w:numPr>
          <w:ilvl w:val="0"/>
          <w:numId w:val="2"/>
        </w:numPr>
        <w:spacing w:after="60"/>
      </w:pPr>
      <w:r>
        <w:t>Stel de aanvraag op met functieprofiel, knock-outeisen, gewogen wensen, maximumtarief en beoordelingswijze.</w:t>
      </w:r>
    </w:p>
    <w:p w:rsidR="008218FD" w:rsidRDefault="00000000">
      <w:pPr>
        <w:pStyle w:val="Lijstalinea"/>
        <w:numPr>
          <w:ilvl w:val="0"/>
          <w:numId w:val="2"/>
        </w:numPr>
        <w:spacing w:after="60"/>
      </w:pPr>
      <w:r>
        <w:t>Toon de route van de aanvraag naar de Inhuurdesk: de medewerker van de Inhuurdesk controleert en completeert de aanvraag, keurt deze goed of stuurt deze terug naar de indiener, en zet de aanvraag vervolgens zelf uit.</w:t>
      </w:r>
    </w:p>
    <w:p w:rsidR="008218FD" w:rsidRDefault="00000000">
      <w:pPr>
        <w:pStyle w:val="Lijstalinea"/>
        <w:numPr>
          <w:ilvl w:val="0"/>
          <w:numId w:val="2"/>
        </w:numPr>
        <w:spacing w:after="60"/>
      </w:pPr>
      <w:r>
        <w:t>Zet de aanvraag uit via het Dynamisch Aankoopsysteem, met de geldende termijnen voor het stellen van vragen en voor indiening, en toon de vragenronde.</w:t>
      </w:r>
    </w:p>
    <w:p w:rsidR="008218FD" w:rsidRDefault="00000000">
      <w:pPr>
        <w:pStyle w:val="Kop2"/>
        <w:spacing w:before="220" w:after="100"/>
      </w:pPr>
      <w:r>
        <w:rPr>
          <w:b/>
          <w:bCs/>
          <w:sz w:val="22"/>
          <w:szCs w:val="22"/>
        </w:rPr>
        <w:t>4.2 Aanbiedingen en beoordeling (circa 18 minuten)</w:t>
      </w:r>
    </w:p>
    <w:p w:rsidR="008218FD" w:rsidRDefault="00000000">
      <w:pPr>
        <w:pStyle w:val="Lijstalinea"/>
        <w:numPr>
          <w:ilvl w:val="0"/>
          <w:numId w:val="2"/>
        </w:numPr>
        <w:spacing w:after="60"/>
      </w:pPr>
      <w:r>
        <w:t>Toon de aanbiedingen van L1 tot en met L4, inclusief de wijze waarop L4 op de knock-outeis afvalt.</w:t>
      </w:r>
    </w:p>
    <w:p w:rsidR="008218FD" w:rsidRDefault="00000000">
      <w:pPr>
        <w:pStyle w:val="Lijstalinea"/>
        <w:numPr>
          <w:ilvl w:val="0"/>
          <w:numId w:val="2"/>
        </w:numPr>
        <w:spacing w:after="60"/>
      </w:pPr>
      <w:r>
        <w:t>Toon de beoordeling van de wensen, de prijsscore, de ranking en de onderbouwing per aanbieding, en de inzage voor een beoordelaar die geen gebruiker van het systeem is.</w:t>
      </w:r>
    </w:p>
    <w:p w:rsidR="008218FD" w:rsidRDefault="00000000">
      <w:pPr>
        <w:pStyle w:val="Lijstalinea"/>
        <w:numPr>
          <w:ilvl w:val="0"/>
          <w:numId w:val="2"/>
        </w:numPr>
        <w:spacing w:after="60"/>
      </w:pPr>
      <w:r>
        <w:t>Gun de opdracht aan L1 en wijs de overige aanbiedingen gemotiveerd af; toon de workflowhistorie.</w:t>
      </w:r>
    </w:p>
    <w:p w:rsidR="008218FD" w:rsidRDefault="00000000">
      <w:pPr>
        <w:pStyle w:val="Kop2"/>
        <w:spacing w:before="220" w:after="100"/>
      </w:pPr>
      <w:r>
        <w:rPr>
          <w:b/>
          <w:bCs/>
          <w:sz w:val="22"/>
          <w:szCs w:val="22"/>
        </w:rPr>
        <w:t>4.3 Contractering en rechtmatigheid (circa 15 minuten)</w:t>
      </w:r>
    </w:p>
    <w:p w:rsidR="008218FD" w:rsidRDefault="00000000">
      <w:pPr>
        <w:pStyle w:val="Lijstalinea"/>
        <w:numPr>
          <w:ilvl w:val="0"/>
          <w:numId w:val="2"/>
        </w:numPr>
        <w:spacing w:after="60"/>
      </w:pPr>
      <w:r>
        <w:t>Toon de contractering van L1 met de modelovereenkomst en de borging van de Wet DBA, inclusief het digitale dossier en de verplichte documenten zoals de VOG.</w:t>
      </w:r>
    </w:p>
    <w:p w:rsidR="008218FD" w:rsidRDefault="00000000">
      <w:pPr>
        <w:pStyle w:val="Lijstalinea"/>
        <w:numPr>
          <w:ilvl w:val="0"/>
          <w:numId w:val="2"/>
        </w:numPr>
        <w:spacing w:after="60"/>
      </w:pPr>
      <w:r>
        <w:t>Toon het verschil in contractering en facturatie wanneer dezelfde kandidaat via een intermediair (L2) of als detacheringskracht van een leverancier (L3) zou zijn ingezet.</w:t>
      </w:r>
    </w:p>
    <w:p w:rsidR="008218FD" w:rsidRDefault="00000000">
      <w:pPr>
        <w:pStyle w:val="Lijstalinea"/>
        <w:numPr>
          <w:ilvl w:val="0"/>
          <w:numId w:val="2"/>
        </w:numPr>
        <w:spacing w:after="60"/>
      </w:pPr>
      <w:r>
        <w:t>Toon de overdracht van de opdracht na gunning aan de partij waarmee de raamovereenkomst voor zzp-contractmanagement is gesloten.</w:t>
      </w:r>
    </w:p>
    <w:p w:rsidR="008218FD" w:rsidRDefault="00000000">
      <w:pPr>
        <w:pStyle w:val="Kop2"/>
        <w:spacing w:before="220" w:after="100"/>
      </w:pPr>
      <w:r>
        <w:rPr>
          <w:b/>
          <w:bCs/>
          <w:sz w:val="22"/>
          <w:szCs w:val="22"/>
        </w:rPr>
        <w:t>4.4 Uitvoering: uren, vergoedingen en facturatie (circa 20 minuten)</w:t>
      </w:r>
    </w:p>
    <w:p w:rsidR="008218FD" w:rsidRDefault="00000000">
      <w:pPr>
        <w:pStyle w:val="Lijstalinea"/>
        <w:numPr>
          <w:ilvl w:val="0"/>
          <w:numId w:val="2"/>
        </w:numPr>
        <w:spacing w:after="60"/>
      </w:pPr>
      <w:r>
        <w:t>Registreer uren, inclusief een correctie met terugwerkende kracht en een vergoeding met bijlage, en doorloop de accordering.</w:t>
      </w:r>
    </w:p>
    <w:p w:rsidR="008218FD" w:rsidRDefault="00000000">
      <w:pPr>
        <w:pStyle w:val="Lijstalinea"/>
        <w:numPr>
          <w:ilvl w:val="0"/>
          <w:numId w:val="2"/>
        </w:numPr>
        <w:spacing w:after="60"/>
      </w:pPr>
      <w:r>
        <w:t>Toon de facturatie, waaronder self-billing en de factuurspecificatie, en laat zien hoe de factuurgegevens gereed worden gezet voor uitwisseling met de financiële administratie (bijvoorbeeld als UBL- of Peppol-bericht dan wel als exportbestand). Een werkende koppeling met een financieel systeem is tijdens de demonstratie niet vereist; de inschrijver licht toe hoe de koppeling in de praktijk wordt gerealiseerd.</w:t>
      </w:r>
    </w:p>
    <w:p w:rsidR="008218FD" w:rsidRDefault="00000000">
      <w:pPr>
        <w:pStyle w:val="Lijstalinea"/>
        <w:numPr>
          <w:ilvl w:val="0"/>
          <w:numId w:val="2"/>
        </w:numPr>
        <w:spacing w:after="60"/>
      </w:pPr>
      <w:r>
        <w:t>Toon een verlenging en een tussentijdse wijziging van de opdracht, en de gevolgen daarvan voor urenregistratie en facturatie.</w:t>
      </w:r>
    </w:p>
    <w:p w:rsidR="008218FD" w:rsidRDefault="00000000">
      <w:pPr>
        <w:pStyle w:val="Lijstalinea"/>
        <w:numPr>
          <w:ilvl w:val="0"/>
          <w:numId w:val="2"/>
        </w:numPr>
        <w:spacing w:after="60"/>
      </w:pPr>
      <w:r>
        <w:t>Toon de beëindiging van de opdracht en de blokkering van urenregistratie na de ingestelde termijn.</w:t>
      </w:r>
    </w:p>
    <w:p w:rsidR="008218FD" w:rsidRDefault="00000000">
      <w:pPr>
        <w:pStyle w:val="Kop2"/>
        <w:spacing w:before="220" w:after="100"/>
      </w:pPr>
      <w:r>
        <w:rPr>
          <w:b/>
          <w:bCs/>
          <w:sz w:val="22"/>
          <w:szCs w:val="22"/>
        </w:rPr>
        <w:t>4.5 Pools en interne consultants (circa 10 minuten)</w:t>
      </w:r>
    </w:p>
    <w:p w:rsidR="008218FD" w:rsidRDefault="00000000">
      <w:pPr>
        <w:pStyle w:val="Lijstalinea"/>
        <w:numPr>
          <w:ilvl w:val="0"/>
          <w:numId w:val="2"/>
        </w:numPr>
        <w:spacing w:after="60"/>
      </w:pPr>
      <w:r>
        <w:t>Toon het opzetten en beheren van een externe pool en het uitzetten van een poolaanvraag met matching.</w:t>
      </w:r>
    </w:p>
    <w:p w:rsidR="008218FD" w:rsidRDefault="00000000">
      <w:pPr>
        <w:pStyle w:val="Lijstalinea"/>
        <w:numPr>
          <w:ilvl w:val="0"/>
          <w:numId w:val="2"/>
        </w:numPr>
        <w:spacing w:after="60"/>
      </w:pPr>
      <w:r>
        <w:t>Toon de interne pool van het Mobiliteitscentrum: aanbieden op een aanvraag, opdrachtverstrekking, en de inzet van twee consultants op één opdracht met afzonderlijke en herleidbare urenregistratie, tarieven en facturatie.</w:t>
      </w:r>
    </w:p>
    <w:p w:rsidR="008218FD" w:rsidRDefault="00000000">
      <w:pPr>
        <w:pStyle w:val="Lijstalinea"/>
        <w:numPr>
          <w:ilvl w:val="0"/>
          <w:numId w:val="2"/>
        </w:numPr>
        <w:spacing w:after="60"/>
      </w:pPr>
      <w:r>
        <w:t>Toon hoe een kandidaat vanuit een ATS kan instromen in de flexibele schil, en welke gegevens daarvoor kunnen worden uitgewisseld.</w:t>
      </w:r>
    </w:p>
    <w:p w:rsidR="008218FD" w:rsidRDefault="00000000">
      <w:pPr>
        <w:pStyle w:val="Kop2"/>
        <w:spacing w:before="220" w:after="100"/>
      </w:pPr>
      <w:r>
        <w:rPr>
          <w:b/>
          <w:bCs/>
          <w:sz w:val="22"/>
          <w:szCs w:val="22"/>
        </w:rPr>
        <w:t>Casus B – Aanvraag rechtstreeks bij een mantelpartij (circa 15 minuten)</w:t>
      </w:r>
    </w:p>
    <w:p w:rsidR="008218FD" w:rsidRDefault="00000000">
      <w:pPr>
        <w:spacing w:after="120"/>
      </w:pPr>
      <w:r>
        <w:rPr>
          <w:b/>
          <w:bCs/>
        </w:rPr>
        <w:t>Context</w:t>
      </w:r>
    </w:p>
    <w:p w:rsidR="008218FD" w:rsidRDefault="00000000">
      <w:pPr>
        <w:spacing w:after="120"/>
      </w:pPr>
      <w:r>
        <w:t>Een Deelnemende Organisatie heeft op korte termijn een Medewerker Burgerzaken nodig (schaal 8, 28 uur, drie maanden, met kans op verlenging) wegens langdurige uitval. Voor functies tot en met schaal 8 verloopt de inhuur niet via het Dynamisch Aankoopsysteem, maar rechtstreeks via de mantelpartij waarmee een raamovereenkomst is gesloten. Er vindt geen aanbestedingsprocedure, ranking of gunningsbeslissing plaats; de Inhuurdesk legt de behoefte bij de mantelpartij neer en die draagt een kandidaat voor.</w:t>
      </w:r>
    </w:p>
    <w:p w:rsidR="008218FD" w:rsidRDefault="00000000">
      <w:pPr>
        <w:spacing w:before="160"/>
      </w:pPr>
      <w:r>
        <w:rPr>
          <w:b/>
          <w:bCs/>
        </w:rPr>
        <w:t>Casusgegevens</w:t>
      </w:r>
    </w:p>
    <w:tbl>
      <w:tblPr>
        <w:tblW w:w="950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6300"/>
      </w:tblGrid>
      <w:tr w:rsidR="008218FD">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Gegeven</w:t>
            </w:r>
          </w:p>
        </w:tc>
        <w:tc>
          <w:tcPr>
            <w:tcW w:w="6300" w:type="dxa"/>
            <w:tcBorders>
              <w:top w:val="single" w:sz="4" w:space="0" w:color="BFBFBF"/>
              <w:left w:val="single" w:sz="4" w:space="0" w:color="BFBFBF"/>
              <w:bottom w:val="single" w:sz="4" w:space="0" w:color="BFBFBF"/>
              <w:right w:val="single" w:sz="4" w:space="0" w:color="BFBFBF"/>
            </w:tcBorders>
            <w:shd w:val="clear" w:color="auto" w:fill="1F3864"/>
            <w:tcMar>
              <w:top w:w="60" w:type="dxa"/>
              <w:left w:w="90" w:type="dxa"/>
              <w:bottom w:w="60" w:type="dxa"/>
              <w:right w:w="90" w:type="dxa"/>
            </w:tcMar>
          </w:tcPr>
          <w:p w:rsidR="008218FD" w:rsidRDefault="00000000">
            <w:r>
              <w:rPr>
                <w:b/>
                <w:bCs/>
                <w:color w:val="FFFFFF"/>
                <w:sz w:val="18"/>
                <w:szCs w:val="18"/>
              </w:rPr>
              <w:t>Waarde</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Aanvraag</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Medewerker Burgerzaken, schaal 8, 28 uur, drie maanden, startdatum binnen twee weken</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Indiener</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J. Smits, teamleider Publiekszaken</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Inhuurdesk</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R. de Groot, Flex West-Brabant</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Mantelpartij</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M1, raamcontractant voor functies tot en met schaal 8</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Kandidaten</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C1 (wordt voorgedragen en geaccepteerd), C2 (wordt afgewezen)</w:t>
            </w:r>
          </w:p>
        </w:tc>
      </w:tr>
      <w:tr w:rsidR="008218FD">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Tarief</w:t>
            </w:r>
          </w:p>
        </w:tc>
        <w:tc>
          <w:tcPr>
            <w:tcW w:w="6300" w:type="dxa"/>
            <w:tcBorders>
              <w:top w:val="single" w:sz="4" w:space="0" w:color="BFBFBF"/>
              <w:left w:val="single" w:sz="4" w:space="0" w:color="BFBFBF"/>
              <w:bottom w:val="single" w:sz="4" w:space="0" w:color="BFBFBF"/>
              <w:right w:val="single" w:sz="4" w:space="0" w:color="BFBFBF"/>
            </w:tcBorders>
            <w:tcMar>
              <w:top w:w="60" w:type="dxa"/>
              <w:left w:w="90" w:type="dxa"/>
              <w:bottom w:w="60" w:type="dxa"/>
              <w:right w:w="90" w:type="dxa"/>
            </w:tcMar>
          </w:tcPr>
          <w:p w:rsidR="008218FD" w:rsidRDefault="00000000">
            <w:r>
              <w:rPr>
                <w:sz w:val="18"/>
                <w:szCs w:val="18"/>
              </w:rPr>
              <w:t>conform de in de raamovereenkomst vastgelegde tariefafspraak</w:t>
            </w:r>
          </w:p>
        </w:tc>
      </w:tr>
    </w:tbl>
    <w:p w:rsidR="008218FD" w:rsidRDefault="00000000">
      <w:pPr>
        <w:spacing w:before="160"/>
      </w:pPr>
      <w:r>
        <w:rPr>
          <w:b/>
          <w:bCs/>
        </w:rPr>
        <w:t>Scenario</w:t>
      </w:r>
    </w:p>
    <w:p w:rsidR="008218FD" w:rsidRDefault="00000000">
      <w:pPr>
        <w:pStyle w:val="Lijstalinea"/>
        <w:numPr>
          <w:ilvl w:val="0"/>
          <w:numId w:val="2"/>
        </w:numPr>
        <w:spacing w:after="60"/>
      </w:pPr>
      <w:r>
        <w:t>Toon hoe de aanvraag wordt ingediend en hoe de Inhuurdesk vaststelt dat deze niet via het Dynamisch Aankoopsysteem loopt maar naar de mantelpartij gaat, en welke velden en processtappen daarbij vervallen.</w:t>
      </w:r>
    </w:p>
    <w:p w:rsidR="008218FD" w:rsidRDefault="00000000">
      <w:pPr>
        <w:pStyle w:val="Lijstalinea"/>
        <w:numPr>
          <w:ilvl w:val="0"/>
          <w:numId w:val="2"/>
        </w:numPr>
        <w:spacing w:after="60"/>
      </w:pPr>
      <w:r>
        <w:t>Zet de aanvraag uit bij mantelpartij M1 en toon de voordracht van C1 en C2, inclusief de toepassing van de in de raamovereenkomst vastgelegde tarieven.</w:t>
      </w:r>
    </w:p>
    <w:p w:rsidR="008218FD" w:rsidRDefault="00000000">
      <w:pPr>
        <w:pStyle w:val="Lijstalinea"/>
        <w:numPr>
          <w:ilvl w:val="0"/>
          <w:numId w:val="2"/>
        </w:numPr>
        <w:spacing w:after="60"/>
      </w:pPr>
      <w:r>
        <w:t>Accepteer C1 en wijs C2 af; toon de opdrachtverstrekking en het digitale dossier, en de verschillen ten opzichte van de DAS-route (geen ranking, geen prijsscore, geen gunningsbeslissing).</w:t>
      </w:r>
    </w:p>
    <w:p w:rsidR="008218FD" w:rsidRDefault="00000000">
      <w:pPr>
        <w:pStyle w:val="Lijstalinea"/>
        <w:numPr>
          <w:ilvl w:val="0"/>
          <w:numId w:val="2"/>
        </w:numPr>
        <w:spacing w:after="60"/>
      </w:pPr>
      <w:r>
        <w:t>Toon de urenregistratie en de facturatie voor deze opdracht, en de wijze waarop de inhuur via een mantelpartij herkenbaar terugkomt in de rapportages naast de inhuur via het Dynamisch Aankoopsysteem.</w:t>
      </w:r>
    </w:p>
    <w:p w:rsidR="008218FD" w:rsidRDefault="00000000">
      <w:pPr>
        <w:pStyle w:val="Kop1"/>
        <w:spacing w:before="280" w:after="140"/>
      </w:pPr>
      <w:r>
        <w:rPr>
          <w:b/>
          <w:bCs/>
          <w:color w:val="1F3864"/>
          <w:sz w:val="26"/>
          <w:szCs w:val="26"/>
        </w:rPr>
        <w:t>5. Na de casus</w:t>
      </w:r>
    </w:p>
    <w:p w:rsidR="008218FD" w:rsidRDefault="00000000">
      <w:pPr>
        <w:spacing w:after="120"/>
      </w:pPr>
      <w:r>
        <w:t>Aansluitend op de casus demonstreert de inschrijver circa 45 minuten lang de rapportage- en sturingsmogelijkheden en licht hij de doorontwikkeling toe. Daarbij komen in ieder geval aan de orde:</w:t>
      </w:r>
    </w:p>
    <w:p w:rsidR="008218FD" w:rsidRDefault="00000000">
      <w:pPr>
        <w:pStyle w:val="Lijstalinea"/>
        <w:numPr>
          <w:ilvl w:val="0"/>
          <w:numId w:val="1"/>
        </w:numPr>
        <w:spacing w:after="60"/>
      </w:pPr>
      <w:r>
        <w:t>standaardrapportages en dashboards voor de Deelnemende Organisaties en voor de regio als geheel, en de mogelijkheid tot eigen selecties en exports;</w:t>
      </w:r>
    </w:p>
    <w:p w:rsidR="008218FD" w:rsidRDefault="00000000">
      <w:pPr>
        <w:pStyle w:val="Lijstalinea"/>
        <w:numPr>
          <w:ilvl w:val="0"/>
          <w:numId w:val="1"/>
        </w:numPr>
        <w:spacing w:after="60"/>
      </w:pPr>
      <w:r>
        <w:t>de ontsluiting van gegevens naar het regionale datawarehouse;</w:t>
      </w:r>
    </w:p>
    <w:p w:rsidR="008218FD" w:rsidRDefault="00000000">
      <w:pPr>
        <w:pStyle w:val="Lijstalinea"/>
        <w:numPr>
          <w:ilvl w:val="0"/>
          <w:numId w:val="1"/>
        </w:numPr>
        <w:spacing w:after="60"/>
      </w:pPr>
      <w:r>
        <w:t>de releasefrequentie, de wijze waarop gebruikerswensen worden gewogen en de gevolgen van releases voor de Deelnemende Organisaties.</w:t>
      </w:r>
    </w:p>
    <w:p w:rsidR="008218FD" w:rsidRDefault="00000000">
      <w:pPr>
        <w:spacing w:after="120"/>
      </w:pPr>
      <w:r>
        <w:t>Daarna stelt het beoordelingsteam gedurende circa 45 minuten verdiepende vragen.</w:t>
      </w:r>
    </w:p>
    <w:sectPr w:rsidR="008218FD">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0CFE" w:rsidRDefault="00600CFE">
      <w:r>
        <w:separator/>
      </w:r>
    </w:p>
  </w:endnote>
  <w:endnote w:type="continuationSeparator" w:id="0">
    <w:p w:rsidR="00600CFE" w:rsidRDefault="0060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18FD" w:rsidRDefault="00000000">
    <w:pPr>
      <w:jc w:val="right"/>
    </w:pPr>
    <w:r>
      <w:rPr>
        <w:sz w:val="16"/>
        <w:szCs w:val="16"/>
      </w:rPr>
      <w:t xml:space="preserve">Demonstratiecasus ronde 2 | K011612 | pagina </w:t>
    </w:r>
    <w:r>
      <w:rPr>
        <w:sz w:val="16"/>
        <w:szCs w:val="16"/>
      </w:rPr>
      <w:fldChar w:fldCharType="begin"/>
    </w:r>
    <w:r>
      <w:rPr>
        <w:sz w:val="16"/>
        <w:szCs w:val="16"/>
      </w:rPr>
      <w:instrText>PAGE</w:instrText>
    </w:r>
    <w:r>
      <w:rPr>
        <w:sz w:val="16"/>
        <w:szCs w:val="16"/>
      </w:rPr>
      <w:fldChar w:fldCharType="separate"/>
    </w:r>
    <w:r w:rsidR="004A69BF">
      <w:rPr>
        <w:noProof/>
        <w:sz w:val="16"/>
        <w:szCs w:val="16"/>
      </w:rPr>
      <w:t>1</w:t>
    </w:r>
    <w:r>
      <w:rPr>
        <w:sz w:val="16"/>
        <w:szCs w:val="16"/>
      </w:rPr>
      <w:fldChar w:fldCharType="end"/>
    </w:r>
    <w:r>
      <w:rPr>
        <w:sz w:val="16"/>
        <w:szCs w:val="16"/>
      </w:rPr>
      <w:t xml:space="preserve"> van </w:t>
    </w:r>
    <w:r>
      <w:rPr>
        <w:sz w:val="16"/>
        <w:szCs w:val="16"/>
      </w:rPr>
      <w:fldChar w:fldCharType="begin"/>
    </w:r>
    <w:r>
      <w:rPr>
        <w:sz w:val="16"/>
        <w:szCs w:val="16"/>
      </w:rPr>
      <w:instrText>NUMPAGES</w:instrText>
    </w:r>
    <w:r>
      <w:rPr>
        <w:sz w:val="16"/>
        <w:szCs w:val="16"/>
      </w:rPr>
      <w:fldChar w:fldCharType="separate"/>
    </w:r>
    <w:r w:rsidR="004A69BF">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0CFE" w:rsidRDefault="00600CFE">
      <w:r>
        <w:separator/>
      </w:r>
    </w:p>
  </w:footnote>
  <w:footnote w:type="continuationSeparator" w:id="0">
    <w:p w:rsidR="00600CFE" w:rsidRDefault="00600C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A46A0"/>
    <w:multiLevelType w:val="hybridMultilevel"/>
    <w:tmpl w:val="425E8A98"/>
    <w:lvl w:ilvl="0" w:tplc="8738E066">
      <w:start w:val="1"/>
      <w:numFmt w:val="decimal"/>
      <w:lvlText w:val="%1."/>
      <w:lvlJc w:val="left"/>
      <w:pPr>
        <w:ind w:left="720" w:hanging="360"/>
      </w:pPr>
    </w:lvl>
    <w:lvl w:ilvl="1" w:tplc="4A8C664C">
      <w:numFmt w:val="decimal"/>
      <w:lvlText w:val=""/>
      <w:lvlJc w:val="left"/>
    </w:lvl>
    <w:lvl w:ilvl="2" w:tplc="FAAC45D6">
      <w:numFmt w:val="decimal"/>
      <w:lvlText w:val=""/>
      <w:lvlJc w:val="left"/>
    </w:lvl>
    <w:lvl w:ilvl="3" w:tplc="B5BCA45A">
      <w:numFmt w:val="decimal"/>
      <w:lvlText w:val=""/>
      <w:lvlJc w:val="left"/>
    </w:lvl>
    <w:lvl w:ilvl="4" w:tplc="8A205902">
      <w:numFmt w:val="decimal"/>
      <w:lvlText w:val=""/>
      <w:lvlJc w:val="left"/>
    </w:lvl>
    <w:lvl w:ilvl="5" w:tplc="142C3F86">
      <w:numFmt w:val="decimal"/>
      <w:lvlText w:val=""/>
      <w:lvlJc w:val="left"/>
    </w:lvl>
    <w:lvl w:ilvl="6" w:tplc="6788663A">
      <w:numFmt w:val="decimal"/>
      <w:lvlText w:val=""/>
      <w:lvlJc w:val="left"/>
    </w:lvl>
    <w:lvl w:ilvl="7" w:tplc="59D6DF84">
      <w:numFmt w:val="decimal"/>
      <w:lvlText w:val=""/>
      <w:lvlJc w:val="left"/>
    </w:lvl>
    <w:lvl w:ilvl="8" w:tplc="471EE13E">
      <w:numFmt w:val="decimal"/>
      <w:lvlText w:val=""/>
      <w:lvlJc w:val="left"/>
    </w:lvl>
  </w:abstractNum>
  <w:abstractNum w:abstractNumId="1" w15:restartNumberingAfterBreak="0">
    <w:nsid w:val="21FE4014"/>
    <w:multiLevelType w:val="hybridMultilevel"/>
    <w:tmpl w:val="DF660846"/>
    <w:lvl w:ilvl="0" w:tplc="C1B01084">
      <w:start w:val="1"/>
      <w:numFmt w:val="bullet"/>
      <w:lvlText w:val="●"/>
      <w:lvlJc w:val="left"/>
      <w:pPr>
        <w:ind w:left="720" w:hanging="360"/>
      </w:pPr>
    </w:lvl>
    <w:lvl w:ilvl="1" w:tplc="E124E04E">
      <w:start w:val="1"/>
      <w:numFmt w:val="bullet"/>
      <w:lvlText w:val="○"/>
      <w:lvlJc w:val="left"/>
      <w:pPr>
        <w:ind w:left="1440" w:hanging="360"/>
      </w:pPr>
    </w:lvl>
    <w:lvl w:ilvl="2" w:tplc="A20AC444">
      <w:start w:val="1"/>
      <w:numFmt w:val="bullet"/>
      <w:lvlText w:val="■"/>
      <w:lvlJc w:val="left"/>
      <w:pPr>
        <w:ind w:left="2160" w:hanging="360"/>
      </w:pPr>
    </w:lvl>
    <w:lvl w:ilvl="3" w:tplc="F1F864D4">
      <w:start w:val="1"/>
      <w:numFmt w:val="bullet"/>
      <w:lvlText w:val="●"/>
      <w:lvlJc w:val="left"/>
      <w:pPr>
        <w:ind w:left="2880" w:hanging="360"/>
      </w:pPr>
    </w:lvl>
    <w:lvl w:ilvl="4" w:tplc="A4CC973C">
      <w:start w:val="1"/>
      <w:numFmt w:val="bullet"/>
      <w:lvlText w:val="○"/>
      <w:lvlJc w:val="left"/>
      <w:pPr>
        <w:ind w:left="3600" w:hanging="360"/>
      </w:pPr>
    </w:lvl>
    <w:lvl w:ilvl="5" w:tplc="5F04B596">
      <w:start w:val="1"/>
      <w:numFmt w:val="bullet"/>
      <w:lvlText w:val="■"/>
      <w:lvlJc w:val="left"/>
      <w:pPr>
        <w:ind w:left="4320" w:hanging="360"/>
      </w:pPr>
    </w:lvl>
    <w:lvl w:ilvl="6" w:tplc="AF32C4B8">
      <w:start w:val="1"/>
      <w:numFmt w:val="bullet"/>
      <w:lvlText w:val="●"/>
      <w:lvlJc w:val="left"/>
      <w:pPr>
        <w:ind w:left="5040" w:hanging="360"/>
      </w:pPr>
    </w:lvl>
    <w:lvl w:ilvl="7" w:tplc="7534BB82">
      <w:start w:val="1"/>
      <w:numFmt w:val="bullet"/>
      <w:lvlText w:val="●"/>
      <w:lvlJc w:val="left"/>
      <w:pPr>
        <w:ind w:left="5760" w:hanging="360"/>
      </w:pPr>
    </w:lvl>
    <w:lvl w:ilvl="8" w:tplc="F2A42F16">
      <w:start w:val="1"/>
      <w:numFmt w:val="bullet"/>
      <w:lvlText w:val="●"/>
      <w:lvlJc w:val="left"/>
      <w:pPr>
        <w:ind w:left="6480" w:hanging="360"/>
      </w:pPr>
    </w:lvl>
  </w:abstractNum>
  <w:num w:numId="1" w16cid:durableId="1396196441">
    <w:abstractNumId w:val="1"/>
    <w:lvlOverride w:ilvl="0">
      <w:startOverride w:val="1"/>
    </w:lvlOverride>
  </w:num>
  <w:num w:numId="2" w16cid:durableId="1592894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8FD"/>
    <w:rsid w:val="004A69BF"/>
    <w:rsid w:val="00600CFE"/>
    <w:rsid w:val="008218FD"/>
    <w:rsid w:val="008E77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30F86-80AE-4C4D-9CCE-1C2266CE5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1979</Words>
  <Characters>12177</Characters>
  <Application>Microsoft Office Word</Application>
  <DocSecurity>0</DocSecurity>
  <Lines>289</Lines>
  <Paragraphs>87</Paragraphs>
  <ScaleCrop>false</ScaleCrop>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Sven Beks</cp:lastModifiedBy>
  <cp:revision>2</cp:revision>
  <dcterms:created xsi:type="dcterms:W3CDTF">2026-10-20T14:48:00Z</dcterms:created>
  <dcterms:modified xsi:type="dcterms:W3CDTF">2026-10-20T14:48:00Z</dcterms:modified>
</cp:coreProperties>
</file>