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6DBDABE3"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9B04AE">
        <w:rPr>
          <w:b/>
          <w:bCs/>
          <w:color w:val="2F5496" w:themeColor="accent1" w:themeShade="BF"/>
          <w:sz w:val="24"/>
          <w:szCs w:val="24"/>
          <w:lang w:eastAsia="nl-NL"/>
        </w:rPr>
        <w:t>b</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4638DCF2" w14:textId="77777777" w:rsidR="009D06A6" w:rsidRPr="00C32D47" w:rsidRDefault="009D06A6" w:rsidP="00A7601F">
      <w:pPr>
        <w:rPr>
          <w:rFonts w:cs="Times New Roman"/>
          <w:lang w:eastAsia="nl-NL"/>
        </w:rPr>
      </w:pPr>
    </w:p>
    <w:p w14:paraId="0E810DBA" w14:textId="419B021A" w:rsidR="009D06A6" w:rsidRPr="00C32D47" w:rsidRDefault="009D06A6" w:rsidP="00A7601F">
      <w:pPr>
        <w:rPr>
          <w:rFonts w:cs="Times New Roman"/>
          <w:lang w:eastAsia="nl-NL"/>
        </w:rPr>
      </w:pPr>
      <w:r w:rsidRPr="3A33BEDE">
        <w:rPr>
          <w:rFonts w:cs="Times New Roman"/>
          <w:lang w:eastAsia="nl-NL"/>
        </w:rPr>
        <w:t xml:space="preserve">Zie paragraaf </w:t>
      </w:r>
      <w:r w:rsidR="00A077AE">
        <w:rPr>
          <w:rFonts w:cs="Times New Roman"/>
          <w:lang w:eastAsia="nl-NL"/>
        </w:rPr>
        <w:t>5.2</w:t>
      </w:r>
      <w:r w:rsidRPr="3A33BEDE">
        <w:rPr>
          <w:rFonts w:cs="Times New Roman"/>
          <w:lang w:eastAsia="nl-NL"/>
        </w:rPr>
        <w:t xml:space="preserve"> van het </w:t>
      </w:r>
      <w:r w:rsidR="00453803" w:rsidRPr="3A33BEDE">
        <w:rPr>
          <w:rFonts w:cs="Times New Roman"/>
          <w:lang w:eastAsia="nl-NL"/>
        </w:rPr>
        <w:t>A</w:t>
      </w:r>
      <w:r w:rsidRPr="3A33BEDE">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2239"/>
        <w:gridCol w:w="7184"/>
      </w:tblGrid>
      <w:tr w:rsidR="00923060" w:rsidRPr="0031308C" w14:paraId="09543B54" w14:textId="77777777" w:rsidTr="00B8676A">
        <w:trPr>
          <w:trHeight w:val="284"/>
          <w:tblHeader/>
        </w:trPr>
        <w:tc>
          <w:tcPr>
            <w:tcW w:w="5000" w:type="pct"/>
            <w:gridSpan w:val="2"/>
            <w:shd w:val="clear" w:color="auto" w:fill="B4C6E7" w:themeFill="accent1" w:themeFillTint="66"/>
            <w:hideMark/>
          </w:tcPr>
          <w:p w14:paraId="6B2F1C0E" w14:textId="77A1AC4C" w:rsidR="00923060" w:rsidRPr="0031308C" w:rsidRDefault="00923060" w:rsidP="00B8676A">
            <w:pPr>
              <w:spacing w:after="120"/>
              <w:rPr>
                <w:b/>
                <w:szCs w:val="18"/>
                <w:highlight w:val="yellow"/>
              </w:rPr>
            </w:pPr>
            <w:bookmarkStart w:id="1" w:name="_Hlk29886005"/>
            <w:r w:rsidRPr="00102E36">
              <w:rPr>
                <w:b/>
                <w:szCs w:val="18"/>
              </w:rPr>
              <w:t xml:space="preserve">Kwaliteitswens </w:t>
            </w:r>
            <w:r w:rsidR="006A785C">
              <w:rPr>
                <w:b/>
                <w:szCs w:val="18"/>
              </w:rPr>
              <w:t>2</w:t>
            </w:r>
            <w:r w:rsidRPr="00102E36">
              <w:rPr>
                <w:b/>
                <w:szCs w:val="18"/>
              </w:rPr>
              <w:t xml:space="preserve">: </w:t>
            </w:r>
            <w:r w:rsidR="003E3BBB" w:rsidRPr="003E3BBB">
              <w:rPr>
                <w:b/>
                <w:szCs w:val="18"/>
              </w:rPr>
              <w:t>Samenhang tussen meerdere standaarden.</w:t>
            </w:r>
          </w:p>
        </w:tc>
      </w:tr>
      <w:tr w:rsidR="00AD7CD0" w:rsidRPr="0031308C" w14:paraId="6F307012" w14:textId="77777777" w:rsidTr="00B8676A">
        <w:tc>
          <w:tcPr>
            <w:tcW w:w="1188" w:type="pct"/>
            <w:shd w:val="clear" w:color="auto" w:fill="B4C6E7" w:themeFill="accent1" w:themeFillTint="66"/>
          </w:tcPr>
          <w:p w14:paraId="7F74AAE7" w14:textId="77777777" w:rsidR="00AD7CD0" w:rsidRPr="0031308C" w:rsidRDefault="00AD7CD0" w:rsidP="00AD7CD0">
            <w:pPr>
              <w:spacing w:after="120"/>
              <w:rPr>
                <w:b/>
                <w:szCs w:val="18"/>
              </w:rPr>
            </w:pPr>
            <w:r w:rsidRPr="0031308C">
              <w:rPr>
                <w:b/>
                <w:szCs w:val="18"/>
              </w:rPr>
              <w:t>Achtergrond</w:t>
            </w:r>
          </w:p>
        </w:tc>
        <w:tc>
          <w:tcPr>
            <w:tcW w:w="3812" w:type="pct"/>
            <w:shd w:val="clear" w:color="auto" w:fill="FFFFFF" w:themeFill="background1"/>
          </w:tcPr>
          <w:p w14:paraId="36419483" w14:textId="77777777" w:rsidR="00AD7CD0" w:rsidRDefault="00AD7CD0" w:rsidP="00AD7CD0">
            <w:pPr>
              <w:rPr>
                <w:szCs w:val="18"/>
              </w:rPr>
            </w:pPr>
            <w:r w:rsidRPr="00513460">
              <w:rPr>
                <w:szCs w:val="18"/>
              </w:rPr>
              <w:t xml:space="preserve">Standaarden (inclusief methodieken, referentiebronnen, checklists etc.) zijn er om de praktijk te ondersteunen. Dat kan een voorschrijvend karakter met zich meebrengen, maar het is nooit beoogd een keurslijf te zijn die een concrete </w:t>
            </w:r>
            <w:proofErr w:type="spellStart"/>
            <w:r w:rsidRPr="00513460">
              <w:rPr>
                <w:szCs w:val="18"/>
              </w:rPr>
              <w:t>pentest</w:t>
            </w:r>
            <w:proofErr w:type="spellEnd"/>
            <w:r w:rsidRPr="00513460">
              <w:rPr>
                <w:szCs w:val="18"/>
              </w:rPr>
              <w:t xml:space="preserve"> of de uitvoering ervan obstrueert of onnodig bemoeilijkt. Dit kan zich snel voordoen in situaties waarin meerdere standaarden in samenhang worden gebruikt. Soms vullen ze elkaar aan, maar ze kunnen elkaar vanuit eigen invalshoeken qua interpretatie of keuze ook weerspreken, dan wel kunnen vragen opkomen in hoeverre een standaard in een andere standaard grijpt. Dit heeft direct gevolg voor de verantwoording over de kwaliteit van de uitgevoerde pentest. Niet alles is tevoren te voorspellen of te bepalen.</w:t>
            </w:r>
          </w:p>
          <w:p w14:paraId="2E362B86" w14:textId="55DDBA51" w:rsidR="00AD7CD0" w:rsidRPr="0031308C" w:rsidRDefault="00AD7CD0" w:rsidP="00AD7CD0">
            <w:pPr>
              <w:spacing w:after="120"/>
              <w:rPr>
                <w:szCs w:val="18"/>
              </w:rPr>
            </w:pPr>
          </w:p>
        </w:tc>
      </w:tr>
      <w:tr w:rsidR="00AD7CD0" w:rsidRPr="002F26CC" w14:paraId="60F42CB4" w14:textId="77777777" w:rsidTr="00B8676A">
        <w:tc>
          <w:tcPr>
            <w:tcW w:w="1188" w:type="pct"/>
            <w:shd w:val="clear" w:color="auto" w:fill="B4C6E7" w:themeFill="accent1" w:themeFillTint="66"/>
            <w:hideMark/>
          </w:tcPr>
          <w:p w14:paraId="30484BD1" w14:textId="77777777" w:rsidR="00AD7CD0" w:rsidRPr="0031308C" w:rsidRDefault="00AD7CD0" w:rsidP="00AD7CD0">
            <w:pPr>
              <w:spacing w:after="120"/>
              <w:rPr>
                <w:b/>
                <w:szCs w:val="18"/>
              </w:rPr>
            </w:pPr>
            <w:r w:rsidRPr="0031308C">
              <w:rPr>
                <w:b/>
                <w:szCs w:val="18"/>
              </w:rPr>
              <w:t>Doelstelling</w:t>
            </w:r>
          </w:p>
        </w:tc>
        <w:tc>
          <w:tcPr>
            <w:tcW w:w="3812" w:type="pct"/>
            <w:shd w:val="clear" w:color="auto" w:fill="FFFFFF" w:themeFill="background1"/>
          </w:tcPr>
          <w:p w14:paraId="3510319D" w14:textId="77777777" w:rsidR="00AD7CD0" w:rsidRDefault="00AD7CD0" w:rsidP="00AD7CD0">
            <w:pPr>
              <w:rPr>
                <w:szCs w:val="18"/>
              </w:rPr>
            </w:pPr>
            <w:r w:rsidRPr="00513460">
              <w:rPr>
                <w:szCs w:val="18"/>
              </w:rPr>
              <w:t xml:space="preserve">Opdrachtnemer combineert meerdere standaarden op een zodanige manier dat deze elkaar aanvullen en deze integratie meerwaarde heeft voor het succes van een </w:t>
            </w:r>
            <w:proofErr w:type="spellStart"/>
            <w:r w:rsidRPr="00513460">
              <w:rPr>
                <w:szCs w:val="18"/>
              </w:rPr>
              <w:t>pentest</w:t>
            </w:r>
            <w:proofErr w:type="spellEnd"/>
            <w:r w:rsidRPr="00513460">
              <w:rPr>
                <w:szCs w:val="18"/>
              </w:rPr>
              <w:t xml:space="preserve"> voor de Deelnemer. Opdrachtnemer heeft een heldere en gestructureerde visie en werkwijze op basis waarvan hij de aanvulling en integratie van standaarden voor pentesten verantwoordt en niet vervalt in silo-denken.</w:t>
            </w:r>
          </w:p>
          <w:p w14:paraId="35B0F6AD" w14:textId="0CEB2C53" w:rsidR="00AD7CD0" w:rsidRPr="00480FE7" w:rsidRDefault="00AD7CD0" w:rsidP="00AD7CD0">
            <w:pPr>
              <w:rPr>
                <w:szCs w:val="18"/>
              </w:rPr>
            </w:pPr>
          </w:p>
        </w:tc>
      </w:tr>
      <w:tr w:rsidR="00AD7CD0" w:rsidRPr="0031308C" w14:paraId="6CA0A5C3" w14:textId="77777777" w:rsidTr="00B8676A">
        <w:tc>
          <w:tcPr>
            <w:tcW w:w="1188" w:type="pct"/>
            <w:shd w:val="clear" w:color="auto" w:fill="B4C6E7" w:themeFill="accent1" w:themeFillTint="66"/>
            <w:hideMark/>
          </w:tcPr>
          <w:p w14:paraId="1263D7C6" w14:textId="77777777" w:rsidR="00AD7CD0" w:rsidRPr="0031308C" w:rsidRDefault="00AD7CD0" w:rsidP="00AD7CD0">
            <w:pPr>
              <w:spacing w:after="120"/>
              <w:rPr>
                <w:b/>
                <w:szCs w:val="18"/>
              </w:rPr>
            </w:pPr>
            <w:r w:rsidRPr="0031308C">
              <w:rPr>
                <w:b/>
                <w:szCs w:val="18"/>
              </w:rPr>
              <w:t xml:space="preserve">Vraagstelling </w:t>
            </w:r>
          </w:p>
        </w:tc>
        <w:tc>
          <w:tcPr>
            <w:tcW w:w="3812" w:type="pct"/>
            <w:shd w:val="clear" w:color="auto" w:fill="FFFFFF" w:themeFill="background1"/>
          </w:tcPr>
          <w:p w14:paraId="06F9850C" w14:textId="77777777" w:rsidR="00AD7CD0" w:rsidRDefault="00AD7CD0" w:rsidP="00AD7CD0">
            <w:pPr>
              <w:rPr>
                <w:szCs w:val="18"/>
              </w:rPr>
            </w:pPr>
            <w:r w:rsidRPr="00513460">
              <w:rPr>
                <w:szCs w:val="18"/>
              </w:rPr>
              <w:t xml:space="preserve">Beschrijf hoe u meerdere standaarden (inclusief methodieken, referentiebronnen, methodieken etc.) in samenhang toepast om in combinatie meerwaarde te bieden voor het succes van een </w:t>
            </w:r>
            <w:proofErr w:type="spellStart"/>
            <w:r w:rsidRPr="00513460">
              <w:rPr>
                <w:szCs w:val="18"/>
              </w:rPr>
              <w:t>pentest</w:t>
            </w:r>
            <w:proofErr w:type="spellEnd"/>
            <w:r w:rsidRPr="00513460">
              <w:rPr>
                <w:szCs w:val="18"/>
              </w:rPr>
              <w:t xml:space="preserve">, en hoe overlap, tegenstrijdigheden of doublures en het voorkomen van silo-denken worden beheerst. </w:t>
            </w:r>
          </w:p>
          <w:p w14:paraId="53EE00C7" w14:textId="494C161F" w:rsidR="00AD7CD0" w:rsidRPr="0031308C" w:rsidRDefault="00AD7CD0" w:rsidP="00AD7CD0">
            <w:pPr>
              <w:spacing w:after="120"/>
              <w:rPr>
                <w:szCs w:val="18"/>
              </w:rPr>
            </w:pPr>
          </w:p>
        </w:tc>
      </w:tr>
      <w:tr w:rsidR="00AD7CD0" w:rsidRPr="0031308C" w14:paraId="5B7D66E6" w14:textId="77777777" w:rsidTr="00B8676A">
        <w:tc>
          <w:tcPr>
            <w:tcW w:w="1188" w:type="pct"/>
            <w:shd w:val="clear" w:color="auto" w:fill="B4C6E7" w:themeFill="accent1" w:themeFillTint="66"/>
          </w:tcPr>
          <w:p w14:paraId="6A041104" w14:textId="77777777" w:rsidR="00AD7CD0" w:rsidRPr="0031308C" w:rsidRDefault="00AD7CD0" w:rsidP="00AD7CD0">
            <w:pPr>
              <w:spacing w:after="120"/>
              <w:rPr>
                <w:b/>
                <w:szCs w:val="18"/>
              </w:rPr>
            </w:pPr>
            <w:r w:rsidRPr="003618D8">
              <w:rPr>
                <w:b/>
                <w:szCs w:val="18"/>
              </w:rPr>
              <w:t>Beoordeling en waardering</w:t>
            </w:r>
          </w:p>
        </w:tc>
        <w:tc>
          <w:tcPr>
            <w:tcW w:w="3812" w:type="pct"/>
            <w:shd w:val="clear" w:color="auto" w:fill="FFFFFF" w:themeFill="background1"/>
          </w:tcPr>
          <w:p w14:paraId="02A1D0B4" w14:textId="77777777" w:rsidR="00AD7CD0" w:rsidRPr="00513460" w:rsidRDefault="00AD7CD0" w:rsidP="00AD7CD0">
            <w:pPr>
              <w:pStyle w:val="Lijstalinea"/>
              <w:numPr>
                <w:ilvl w:val="0"/>
                <w:numId w:val="22"/>
              </w:numPr>
            </w:pPr>
            <w:r w:rsidRPr="00513460">
              <w:t>Relevante en expliciete beschrijving van de rol van/per standaard(en) en de mogelijkheden voor onderlinge aanvulling en integratie van standaarden.</w:t>
            </w:r>
          </w:p>
          <w:p w14:paraId="348DE426" w14:textId="77777777" w:rsidR="00AD7CD0" w:rsidRPr="00AD7CD0" w:rsidRDefault="00AD7CD0" w:rsidP="00AD7CD0">
            <w:pPr>
              <w:pStyle w:val="Lijstalinea"/>
              <w:numPr>
                <w:ilvl w:val="0"/>
                <w:numId w:val="22"/>
              </w:numPr>
              <w:rPr>
                <w:rFonts w:cs="Times New Roman"/>
                <w:szCs w:val="18"/>
              </w:rPr>
            </w:pPr>
            <w:r w:rsidRPr="00513460">
              <w:t>Overtuiging dat overlap, tegenstrijdigheid of doublures bij toepassing van meerdere standaarden en het voorkomen van silo-denken beheerst wordt.</w:t>
            </w:r>
          </w:p>
          <w:p w14:paraId="390DA4F0" w14:textId="7039E549" w:rsidR="00AD7CD0" w:rsidRPr="00AD7CD0" w:rsidRDefault="00AD7CD0" w:rsidP="00AD7CD0">
            <w:pPr>
              <w:pStyle w:val="Lijstalinea"/>
              <w:ind w:left="360"/>
              <w:rPr>
                <w:rFonts w:cs="Times New Roman"/>
                <w:szCs w:val="18"/>
              </w:rPr>
            </w:pPr>
          </w:p>
        </w:tc>
      </w:tr>
      <w:tr w:rsidR="00D06F01" w:rsidRPr="0031308C" w14:paraId="291B0E01" w14:textId="77777777" w:rsidTr="00923060">
        <w:tc>
          <w:tcPr>
            <w:tcW w:w="5000" w:type="pct"/>
            <w:gridSpan w:val="2"/>
            <w:shd w:val="clear" w:color="auto" w:fill="B4C6E7" w:themeFill="accent1" w:themeFillTint="66"/>
          </w:tcPr>
          <w:p w14:paraId="27D81E9C" w14:textId="23707762" w:rsidR="00D06F01" w:rsidRDefault="00D06F01" w:rsidP="00D06F01">
            <w:pPr>
              <w:spacing w:after="120"/>
              <w:rPr>
                <w:szCs w:val="18"/>
              </w:rPr>
            </w:pPr>
            <w:r w:rsidRPr="00C32D47">
              <w:rPr>
                <w:rFonts w:cs="Times New Roman"/>
                <w:b/>
                <w:bCs/>
                <w:szCs w:val="18"/>
                <w:lang w:eastAsia="nl-NL"/>
              </w:rPr>
              <w:t>Begin uw antwoord op de volgende pagina.</w:t>
            </w:r>
          </w:p>
        </w:tc>
      </w:tr>
      <w:bookmarkEnd w:id="1"/>
    </w:tbl>
    <w:p w14:paraId="04ECC63E" w14:textId="6D388BC3" w:rsidR="004E200B" w:rsidRPr="00C32D47" w:rsidRDefault="004E200B" w:rsidP="00A7601F">
      <w:pPr>
        <w:rPr>
          <w:rFonts w:cs="Times New Roman"/>
          <w:szCs w:val="18"/>
          <w:lang w:eastAsia="nl-NL"/>
        </w:rPr>
      </w:pPr>
    </w:p>
    <w:sectPr w:rsidR="004E200B" w:rsidRPr="00C32D47"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662D8" w14:textId="77777777" w:rsidR="00E84DD1" w:rsidRDefault="00E84DD1" w:rsidP="00691D7C">
      <w:pPr>
        <w:spacing w:line="240" w:lineRule="auto"/>
      </w:pPr>
      <w:r>
        <w:separator/>
      </w:r>
    </w:p>
  </w:endnote>
  <w:endnote w:type="continuationSeparator" w:id="0">
    <w:p w14:paraId="606CBA93" w14:textId="77777777" w:rsidR="00E84DD1" w:rsidRDefault="00E84DD1"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8241"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7610D4A7" w:rsidR="00EB32C3" w:rsidRPr="007E65A6" w:rsidRDefault="00000000" w:rsidP="007C5134">
    <w:pPr>
      <w:pStyle w:val="Voettekst"/>
      <w:rPr>
        <w:szCs w:val="18"/>
      </w:rPr>
    </w:pP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Content>
            <w:r w:rsidR="00A366FC" w:rsidRPr="007E65A6">
              <w:rPr>
                <w:szCs w:val="18"/>
              </w:rPr>
              <w:t xml:space="preserve">Resultaatgerichte ICT-opdrachten </w:t>
            </w:r>
            <w:r w:rsidR="00ED5A81" w:rsidRPr="007E65A6">
              <w:rPr>
                <w:szCs w:val="18"/>
              </w:rPr>
              <w:t>RVICTO 2026</w:t>
            </w:r>
            <w:r w:rsidR="00480FE7">
              <w:rPr>
                <w:szCs w:val="18"/>
              </w:rPr>
              <w:t xml:space="preserve"> </w:t>
            </w:r>
            <w:r w:rsidR="007C6599">
              <w:rPr>
                <w:szCs w:val="18"/>
              </w:rPr>
              <w:t>Informatiebeveiligingsonderzoeken</w:t>
            </w:r>
            <w:r w:rsidR="00EB32C3" w:rsidRPr="007E65A6">
              <w:rPr>
                <w:szCs w:val="18"/>
              </w:rPr>
              <w:tab/>
              <w:t xml:space="preserve">Pagina </w:t>
            </w:r>
            <w:r w:rsidR="00EB32C3" w:rsidRPr="007E65A6">
              <w:rPr>
                <w:b/>
                <w:bCs/>
                <w:szCs w:val="18"/>
              </w:rPr>
              <w:fldChar w:fldCharType="begin"/>
            </w:r>
            <w:r w:rsidR="00EB32C3" w:rsidRPr="007E65A6">
              <w:rPr>
                <w:b/>
                <w:bCs/>
                <w:szCs w:val="18"/>
              </w:rPr>
              <w:instrText>PAGE</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r w:rsidR="00EB32C3" w:rsidRPr="007E65A6">
              <w:rPr>
                <w:szCs w:val="18"/>
              </w:rPr>
              <w:t xml:space="preserve"> van </w:t>
            </w:r>
            <w:r w:rsidR="00EB32C3" w:rsidRPr="007E65A6">
              <w:rPr>
                <w:b/>
                <w:bCs/>
                <w:szCs w:val="18"/>
              </w:rPr>
              <w:fldChar w:fldCharType="begin"/>
            </w:r>
            <w:r w:rsidR="00EB32C3" w:rsidRPr="007E65A6">
              <w:rPr>
                <w:b/>
                <w:bCs/>
                <w:szCs w:val="18"/>
              </w:rPr>
              <w:instrText>NUMPAGES</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sdtContent>
        </w:sdt>
      </w:sdtContent>
    </w:sdt>
  </w:p>
  <w:p w14:paraId="4099F497" w14:textId="7012469B" w:rsidR="00EB32C3" w:rsidRPr="007E65A6" w:rsidRDefault="00EB32C3">
    <w:pPr>
      <w:pStyle w:val="Voettekst"/>
      <w:rPr>
        <w:szCs w:val="18"/>
      </w:rPr>
    </w:pPr>
    <w:r w:rsidRPr="007E65A6">
      <w:rPr>
        <w:szCs w:val="18"/>
      </w:rPr>
      <w:t xml:space="preserve">TenderNed-kenmerk: </w:t>
    </w:r>
    <w:r w:rsidR="00B042FA" w:rsidRPr="00DC10A8">
      <w:rPr>
        <w:szCs w:val="18"/>
      </w:rPr>
      <w:t>609833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83C3" w14:textId="77777777" w:rsidR="00E84DD1" w:rsidRDefault="00E84DD1" w:rsidP="00691D7C">
      <w:pPr>
        <w:spacing w:line="240" w:lineRule="auto"/>
      </w:pPr>
      <w:r>
        <w:separator/>
      </w:r>
    </w:p>
  </w:footnote>
  <w:footnote w:type="continuationSeparator" w:id="0">
    <w:p w14:paraId="45A42055" w14:textId="77777777" w:rsidR="00E84DD1" w:rsidRDefault="00E84DD1"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3B94951"/>
    <w:multiLevelType w:val="hybridMultilevel"/>
    <w:tmpl w:val="D7E64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B73D49"/>
    <w:multiLevelType w:val="hybridMultilevel"/>
    <w:tmpl w:val="A6360BD6"/>
    <w:lvl w:ilvl="0" w:tplc="75AA5B1C">
      <w:start w:val="1"/>
      <w:numFmt w:val="bullet"/>
      <w:lvlText w:val=""/>
      <w:lvlJc w:val="left"/>
      <w:pPr>
        <w:ind w:left="1440" w:hanging="360"/>
      </w:pPr>
      <w:rPr>
        <w:rFonts w:ascii="Symbol" w:hAnsi="Symbol"/>
      </w:rPr>
    </w:lvl>
    <w:lvl w:ilvl="1" w:tplc="CF4C1598">
      <w:start w:val="1"/>
      <w:numFmt w:val="bullet"/>
      <w:lvlText w:val=""/>
      <w:lvlJc w:val="left"/>
      <w:pPr>
        <w:ind w:left="1440" w:hanging="360"/>
      </w:pPr>
      <w:rPr>
        <w:rFonts w:ascii="Symbol" w:hAnsi="Symbol"/>
      </w:rPr>
    </w:lvl>
    <w:lvl w:ilvl="2" w:tplc="B606AED4">
      <w:start w:val="1"/>
      <w:numFmt w:val="bullet"/>
      <w:lvlText w:val=""/>
      <w:lvlJc w:val="left"/>
      <w:pPr>
        <w:ind w:left="1440" w:hanging="360"/>
      </w:pPr>
      <w:rPr>
        <w:rFonts w:ascii="Symbol" w:hAnsi="Symbol"/>
      </w:rPr>
    </w:lvl>
    <w:lvl w:ilvl="3" w:tplc="8CE24874">
      <w:start w:val="1"/>
      <w:numFmt w:val="bullet"/>
      <w:lvlText w:val=""/>
      <w:lvlJc w:val="left"/>
      <w:pPr>
        <w:ind w:left="1440" w:hanging="360"/>
      </w:pPr>
      <w:rPr>
        <w:rFonts w:ascii="Symbol" w:hAnsi="Symbol"/>
      </w:rPr>
    </w:lvl>
    <w:lvl w:ilvl="4" w:tplc="F6D4BC36">
      <w:start w:val="1"/>
      <w:numFmt w:val="bullet"/>
      <w:lvlText w:val=""/>
      <w:lvlJc w:val="left"/>
      <w:pPr>
        <w:ind w:left="1440" w:hanging="360"/>
      </w:pPr>
      <w:rPr>
        <w:rFonts w:ascii="Symbol" w:hAnsi="Symbol"/>
      </w:rPr>
    </w:lvl>
    <w:lvl w:ilvl="5" w:tplc="F806A4D2">
      <w:start w:val="1"/>
      <w:numFmt w:val="bullet"/>
      <w:lvlText w:val=""/>
      <w:lvlJc w:val="left"/>
      <w:pPr>
        <w:ind w:left="1440" w:hanging="360"/>
      </w:pPr>
      <w:rPr>
        <w:rFonts w:ascii="Symbol" w:hAnsi="Symbol"/>
      </w:rPr>
    </w:lvl>
    <w:lvl w:ilvl="6" w:tplc="BC7ED92E">
      <w:start w:val="1"/>
      <w:numFmt w:val="bullet"/>
      <w:lvlText w:val=""/>
      <w:lvlJc w:val="left"/>
      <w:pPr>
        <w:ind w:left="1440" w:hanging="360"/>
      </w:pPr>
      <w:rPr>
        <w:rFonts w:ascii="Symbol" w:hAnsi="Symbol"/>
      </w:rPr>
    </w:lvl>
    <w:lvl w:ilvl="7" w:tplc="34561A3E">
      <w:start w:val="1"/>
      <w:numFmt w:val="bullet"/>
      <w:lvlText w:val=""/>
      <w:lvlJc w:val="left"/>
      <w:pPr>
        <w:ind w:left="1440" w:hanging="360"/>
      </w:pPr>
      <w:rPr>
        <w:rFonts w:ascii="Symbol" w:hAnsi="Symbol"/>
      </w:rPr>
    </w:lvl>
    <w:lvl w:ilvl="8" w:tplc="199AAE02">
      <w:start w:val="1"/>
      <w:numFmt w:val="bullet"/>
      <w:lvlText w:val=""/>
      <w:lvlJc w:val="left"/>
      <w:pPr>
        <w:ind w:left="1440" w:hanging="360"/>
      </w:pPr>
      <w:rPr>
        <w:rFonts w:ascii="Symbol" w:hAnsi="Symbol"/>
      </w:rPr>
    </w:lvl>
  </w:abstractNum>
  <w:abstractNum w:abstractNumId="9"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3"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6921077"/>
    <w:multiLevelType w:val="hybridMultilevel"/>
    <w:tmpl w:val="906861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0" w15:restartNumberingAfterBreak="0">
    <w:nsid w:val="7E1C47EB"/>
    <w:multiLevelType w:val="hybridMultilevel"/>
    <w:tmpl w:val="B2A03980"/>
    <w:lvl w:ilvl="0" w:tplc="37426AE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21"/>
  </w:num>
  <w:num w:numId="2" w16cid:durableId="1443840280">
    <w:abstractNumId w:val="9"/>
  </w:num>
  <w:num w:numId="3" w16cid:durableId="369190335">
    <w:abstractNumId w:val="12"/>
  </w:num>
  <w:num w:numId="4" w16cid:durableId="1374228128">
    <w:abstractNumId w:val="2"/>
  </w:num>
  <w:num w:numId="5" w16cid:durableId="420755501">
    <w:abstractNumId w:val="0"/>
  </w:num>
  <w:num w:numId="6" w16cid:durableId="185216951">
    <w:abstractNumId w:val="13"/>
  </w:num>
  <w:num w:numId="7" w16cid:durableId="2092501651">
    <w:abstractNumId w:val="3"/>
  </w:num>
  <w:num w:numId="8" w16cid:durableId="324357360">
    <w:abstractNumId w:val="10"/>
  </w:num>
  <w:num w:numId="9" w16cid:durableId="991761301">
    <w:abstractNumId w:val="17"/>
  </w:num>
  <w:num w:numId="10" w16cid:durableId="1803420256">
    <w:abstractNumId w:val="7"/>
  </w:num>
  <w:num w:numId="11" w16cid:durableId="1932661829">
    <w:abstractNumId w:val="5"/>
  </w:num>
  <w:num w:numId="12" w16cid:durableId="1690566727">
    <w:abstractNumId w:val="14"/>
  </w:num>
  <w:num w:numId="13" w16cid:durableId="1393504145">
    <w:abstractNumId w:val="15"/>
  </w:num>
  <w:num w:numId="14" w16cid:durableId="786003478">
    <w:abstractNumId w:val="18"/>
  </w:num>
  <w:num w:numId="15" w16cid:durableId="1633899680">
    <w:abstractNumId w:val="1"/>
  </w:num>
  <w:num w:numId="16" w16cid:durableId="1944409834">
    <w:abstractNumId w:val="11"/>
  </w:num>
  <w:num w:numId="17" w16cid:durableId="820849009">
    <w:abstractNumId w:val="6"/>
  </w:num>
  <w:num w:numId="18" w16cid:durableId="1621187970">
    <w:abstractNumId w:val="19"/>
  </w:num>
  <w:num w:numId="19" w16cid:durableId="188684588">
    <w:abstractNumId w:val="8"/>
  </w:num>
  <w:num w:numId="20" w16cid:durableId="1652635834">
    <w:abstractNumId w:val="16"/>
  </w:num>
  <w:num w:numId="21" w16cid:durableId="165243534">
    <w:abstractNumId w:val="20"/>
  </w:num>
  <w:num w:numId="22" w16cid:durableId="39718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260E7"/>
    <w:rsid w:val="00053B00"/>
    <w:rsid w:val="000A6B32"/>
    <w:rsid w:val="000E3C4D"/>
    <w:rsid w:val="00102E36"/>
    <w:rsid w:val="00104809"/>
    <w:rsid w:val="00124F80"/>
    <w:rsid w:val="0015212B"/>
    <w:rsid w:val="001C3F4F"/>
    <w:rsid w:val="001E4EE1"/>
    <w:rsid w:val="00211C2D"/>
    <w:rsid w:val="00231EA9"/>
    <w:rsid w:val="00244F76"/>
    <w:rsid w:val="00291FAD"/>
    <w:rsid w:val="002A1DC6"/>
    <w:rsid w:val="002E56FB"/>
    <w:rsid w:val="00303EDD"/>
    <w:rsid w:val="003745AC"/>
    <w:rsid w:val="003A1FD7"/>
    <w:rsid w:val="003D2185"/>
    <w:rsid w:val="003E3BBB"/>
    <w:rsid w:val="00435A67"/>
    <w:rsid w:val="004373BC"/>
    <w:rsid w:val="00453803"/>
    <w:rsid w:val="00480FE7"/>
    <w:rsid w:val="004C3E53"/>
    <w:rsid w:val="004E200B"/>
    <w:rsid w:val="005231DB"/>
    <w:rsid w:val="00622CDE"/>
    <w:rsid w:val="0062668C"/>
    <w:rsid w:val="00684F53"/>
    <w:rsid w:val="00685B1C"/>
    <w:rsid w:val="00690209"/>
    <w:rsid w:val="00691D7C"/>
    <w:rsid w:val="006A785C"/>
    <w:rsid w:val="006D631E"/>
    <w:rsid w:val="006F4FDA"/>
    <w:rsid w:val="006F63AA"/>
    <w:rsid w:val="007C5134"/>
    <w:rsid w:val="007C6599"/>
    <w:rsid w:val="007E65A6"/>
    <w:rsid w:val="008B0144"/>
    <w:rsid w:val="008C7074"/>
    <w:rsid w:val="008E5883"/>
    <w:rsid w:val="00923060"/>
    <w:rsid w:val="009307AE"/>
    <w:rsid w:val="009B04AE"/>
    <w:rsid w:val="009C1BBF"/>
    <w:rsid w:val="009D06A6"/>
    <w:rsid w:val="00A077AE"/>
    <w:rsid w:val="00A21871"/>
    <w:rsid w:val="00A3064A"/>
    <w:rsid w:val="00A366FC"/>
    <w:rsid w:val="00A7601F"/>
    <w:rsid w:val="00AA48B9"/>
    <w:rsid w:val="00AC74F4"/>
    <w:rsid w:val="00AD15EA"/>
    <w:rsid w:val="00AD7CD0"/>
    <w:rsid w:val="00AF7EDD"/>
    <w:rsid w:val="00B042FA"/>
    <w:rsid w:val="00B37DFD"/>
    <w:rsid w:val="00B44D55"/>
    <w:rsid w:val="00BB47FC"/>
    <w:rsid w:val="00BB6FF9"/>
    <w:rsid w:val="00BF3E29"/>
    <w:rsid w:val="00C32D47"/>
    <w:rsid w:val="00C345C0"/>
    <w:rsid w:val="00C37D2E"/>
    <w:rsid w:val="00C761E2"/>
    <w:rsid w:val="00CA768E"/>
    <w:rsid w:val="00CB1BFE"/>
    <w:rsid w:val="00CC18A4"/>
    <w:rsid w:val="00CC3B88"/>
    <w:rsid w:val="00CE39AA"/>
    <w:rsid w:val="00D06F01"/>
    <w:rsid w:val="00D45874"/>
    <w:rsid w:val="00D56631"/>
    <w:rsid w:val="00DC10A8"/>
    <w:rsid w:val="00E34C8C"/>
    <w:rsid w:val="00E84DD1"/>
    <w:rsid w:val="00EB32C3"/>
    <w:rsid w:val="00ED5A81"/>
    <w:rsid w:val="00F556C2"/>
    <w:rsid w:val="00FA7DC9"/>
    <w:rsid w:val="3A33BEDE"/>
    <w:rsid w:val="674BF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866A1-0027-4307-88BE-814D4FA5BA70}">
  <ds:schemaRefs>
    <ds:schemaRef ds:uri="http://schemas.microsoft.com/office/2006/metadata/properties"/>
    <ds:schemaRef ds:uri="http://schemas.microsoft.com/office/infopath/2007/PartnerControls"/>
    <ds:schemaRef ds:uri="122b6854-06b8-4ffb-ad34-0433e4cc689e"/>
    <ds:schemaRef ds:uri="130062be-93d5-45af-8397-4598fe8ea00a"/>
  </ds:schemaRefs>
</ds:datastoreItem>
</file>

<file path=customXml/itemProps2.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3.xml><?xml version="1.0" encoding="utf-8"?>
<ds:datastoreItem xmlns:ds="http://schemas.openxmlformats.org/officeDocument/2006/customXml" ds:itemID="{8BD8B81D-404C-4217-A27E-2CC16D650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1749</Characters>
  <Application>Microsoft Office Word</Application>
  <DocSecurity>0</DocSecurity>
  <Lines>14</Lines>
  <Paragraphs>4</Paragraphs>
  <ScaleCrop>false</ScaleCrop>
  <Company>Ministerie van Economische Zaken en Klimaat</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Ait El Houssi, ing. H. (Hassan)</cp:lastModifiedBy>
  <cp:revision>13</cp:revision>
  <dcterms:created xsi:type="dcterms:W3CDTF">2026-07-08T12:43:00Z</dcterms:created>
  <dcterms:modified xsi:type="dcterms:W3CDTF">2026-09-02T20:40:00Z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