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27764626"/>
      <w:r>
        <w:lastRenderedPageBreak/>
        <w:t>Verwerkersovereenkomst uitvoering &lt;</w:t>
      </w:r>
      <w:r>
        <w:rPr>
          <w:highlight w:val="yellow"/>
        </w:rPr>
        <w:t>naam hoofdovereenkomst</w:t>
      </w:r>
      <w:r>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lastRenderedPageBreak/>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w:t>
      </w:r>
      <w:r>
        <w:rPr>
          <w:rFonts w:asciiTheme="minorHAnsi" w:hAnsiTheme="minorHAnsi"/>
          <w:sz w:val="20"/>
          <w:szCs w:val="20"/>
        </w:rPr>
        <w:lastRenderedPageBreak/>
        <w:t xml:space="preserve">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lastRenderedPageBreak/>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Pr="008C25F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8D3ECAD" w14:textId="59F627A8" w:rsidR="000221F8" w:rsidRPr="00993546" w:rsidRDefault="00F60774" w:rsidP="008C25F4">
      <w:pPr>
        <w:ind w:left="705" w:hanging="705"/>
        <w:rPr>
          <w:color w:val="0A4E8C"/>
          <w:sz w:val="36"/>
          <w:szCs w:val="36"/>
        </w:rPr>
      </w:pPr>
      <w:r>
        <w:rPr>
          <w:rFonts w:asciiTheme="minorHAnsi" w:hAnsiTheme="minorHAnsi"/>
          <w:sz w:val="20"/>
          <w:szCs w:val="20"/>
        </w:rPr>
        <w:br w:type="page"/>
      </w:r>
      <w:r>
        <w:rPr>
          <w:rFonts w:cstheme="minorHAnsi"/>
          <w:color w:val="0A4E8C"/>
          <w:sz w:val="36"/>
          <w:szCs w:val="36"/>
        </w:rPr>
        <w:lastRenderedPageBreak/>
        <w:br w:type="page"/>
      </w:r>
      <w:r>
        <w:rPr>
          <w:b/>
          <w:bCs/>
          <w:color w:val="004E9A"/>
          <w:sz w:val="36"/>
          <w:szCs w:val="36"/>
        </w:rPr>
        <w:lastRenderedPageBreak/>
        <w:t>Toelichting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t xml:space="preserve">De Standaard Verwerkersovereenkomst gemeenten is een nadere uitwerking voor gemeenten van de Baseline Informatiebeveiliging Overheid (BIO). De BIO is eind 2018 bestuurlijk vastgesteld als gezamenlijke norm voor informatiebeveiliging voor alle Nederlandse overheden. </w:t>
      </w:r>
      <w:r>
        <w:br/>
      </w:r>
      <w:r>
        <w:br/>
        <w:t xml:space="preserve">Op 23 september 2025 heeft het </w:t>
      </w:r>
      <w:bookmarkStart w:id="5" w:name="_Hlk219184200"/>
      <w:r>
        <w:t xml:space="preserve">Overheidsbreed Beleidsoverleg Digitale Overheid </w:t>
      </w:r>
      <w:bookmarkEnd w:id="5"/>
      <w:r>
        <w:t>(OBDO) de Baseline Informatiebeveiliging Overheid versie 2 (BIO2) bestuurlijk vastgesteld. 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Pr>
          <w:rFonts w:cstheme="minorHAnsi"/>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 xml:space="preserve">VNG-Realisatie/IBD beheert deze standaard verwerkersovereenkomst. Zowel gemeenten als leveranciers kunnen verbetervoorstellen mailen naar </w:t>
      </w:r>
      <w:hyperlink r:id="rId15" w:history="1">
        <w:r>
          <w:rPr>
            <w:rStyle w:val="Hyperlink"/>
            <w:rFonts w:cstheme="minorHAnsi"/>
          </w:rPr>
          <w:t>privacy@vng.nl</w:t>
        </w:r>
      </w:hyperlink>
      <w:r>
        <w:rPr>
          <w:rFonts w:cstheme="minorHAnsi"/>
        </w:rPr>
        <w:t xml:space="preserve">. Maximaal tweemaal per jaar beoordeelt de Beheergroep VWO (bestaande uit vertegenwoordigers van gemeenten en leveranciers), de verbetervoorstellen en zo nodig worden deze verwerkt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met de IBD: </w:t>
      </w:r>
      <w:hyperlink r:id="rId16" w:history="1">
        <w:r>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Pr>
          <w:rFonts w:cstheme="minorHAnsi"/>
          <w:b/>
          <w:color w:val="00548A"/>
          <w:sz w:val="24"/>
          <w:szCs w:val="24"/>
        </w:rPr>
        <w:lastRenderedPageBreak/>
        <w:t>Relatie met overige documenten:</w:t>
      </w:r>
    </w:p>
    <w:p w14:paraId="5E8FD11D" w14:textId="2AAB4BEA" w:rsidR="00E61402" w:rsidRDefault="006339AF" w:rsidP="00E61402">
      <w:pPr>
        <w:pStyle w:val="Plattetekst"/>
        <w:numPr>
          <w:ilvl w:val="0"/>
          <w:numId w:val="4"/>
        </w:numPr>
        <w:ind w:left="360"/>
        <w:rPr>
          <w:rFonts w:cstheme="minorHAnsi"/>
        </w:rPr>
      </w:pPr>
      <w:hyperlink r:id="rId17" w:history="1">
        <w:r>
          <w:rPr>
            <w:rStyle w:val="Hyperlink"/>
            <w:rFonts w:cstheme="minorHAnsi"/>
          </w:rPr>
          <w:t>GIBIT 2025</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8" w:history="1">
        <w:r>
          <w:rPr>
            <w:rStyle w:val="Hyperlink"/>
            <w:rFonts w:cstheme="minorHAnsi"/>
          </w:rPr>
          <w:t>Baseline Informatiebeveiliging Overheid (BIO)</w:t>
        </w:r>
      </w:hyperlink>
      <w:r>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9" w:history="1">
        <w:r>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0" w:history="1">
        <w:r>
          <w:rPr>
            <w:rStyle w:val="Hyperlink"/>
            <w:rFonts w:cstheme="minorHAnsi"/>
          </w:rPr>
          <w:t>Handreiking Service Level Agreements</w:t>
        </w:r>
      </w:hyperlink>
      <w:r>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1" w:history="1">
        <w:r>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2" w:history="1">
        <w:r>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726BC0E2" w14:textId="5ED7C90E" w:rsidR="00FD6C7D" w:rsidRDefault="00C14339">
          <w:pPr>
            <w:pStyle w:val="Inhopg2"/>
            <w:rPr>
              <w:rFonts w:eastAsiaTheme="minorEastAsia" w:cstheme="minorBidi"/>
              <w:noProof/>
              <w:kern w:val="2"/>
              <w:sz w:val="24"/>
              <w:szCs w:val="24"/>
              <w:lang w:bidi="ar-SA"/>
              <w14:ligatures w14:val="standardContextual"/>
            </w:rPr>
          </w:pPr>
          <w:r>
            <w:rPr>
              <w:rFonts w:cstheme="minorHAnsi"/>
              <w:b/>
              <w:bCs/>
              <w:sz w:val="20"/>
              <w:szCs w:val="20"/>
            </w:rPr>
            <w:fldChar w:fldCharType="begin"/>
          </w:r>
          <w:r>
            <w:rPr>
              <w:rFonts w:cstheme="minorHAnsi"/>
              <w:sz w:val="20"/>
              <w:szCs w:val="20"/>
            </w:rPr>
            <w:instrText xml:space="preserve"> TOC \o "1-2" \h \z </w:instrText>
          </w:r>
          <w:r>
            <w:rPr>
              <w:rFonts w:cstheme="minorHAnsi"/>
              <w:b/>
              <w:bCs/>
              <w:sz w:val="20"/>
              <w:szCs w:val="20"/>
            </w:rPr>
            <w:fldChar w:fldCharType="separate"/>
          </w:r>
          <w:hyperlink w:anchor="_Toc227764626" w:history="1">
            <w:r>
              <w:rPr>
                <w:rStyle w:val="Hyperlink"/>
                <w:noProof/>
              </w:rPr>
              <w:t>Verwerkersovereenkomst uitvoering &lt;</w:t>
            </w:r>
            <w:r>
              <w:rPr>
                <w:rStyle w:val="Hyperlink"/>
                <w:noProof/>
                <w:highlight w:val="yellow"/>
              </w:rPr>
              <w:t>naam hoofdovereenkomst</w:t>
            </w:r>
            <w:r>
              <w:rPr>
                <w:rStyle w:val="Hyperlink"/>
                <w:noProof/>
              </w:rPr>
              <w:t>&gt;</w:t>
            </w:r>
            <w:r>
              <w:rPr>
                <w:noProof/>
                <w:webHidden/>
              </w:rPr>
              <w:tab/>
            </w:r>
            <w:r>
              <w:rPr>
                <w:noProof/>
                <w:webHidden/>
              </w:rPr>
              <w:fldChar w:fldCharType="begin"/>
            </w:r>
            <w:r>
              <w:rPr>
                <w:noProof/>
                <w:webHidden/>
              </w:rPr>
              <w:instrText xml:space="preserve"> PAGEREF _Toc227764626 \h </w:instrText>
            </w:r>
            <w:r>
              <w:rPr>
                <w:noProof/>
                <w:webHidden/>
              </w:rPr>
            </w:r>
            <w:r>
              <w:rPr>
                <w:noProof/>
                <w:webHidden/>
              </w:rPr>
              <w:fldChar w:fldCharType="separate"/>
            </w:r>
            <w:r>
              <w:rPr>
                <w:noProof/>
                <w:webHidden/>
              </w:rPr>
              <w:t>2</w:t>
            </w:r>
            <w:r>
              <w:rPr>
                <w:noProof/>
                <w:webHidden/>
              </w:rPr>
              <w:fldChar w:fldCharType="end"/>
            </w:r>
          </w:hyperlink>
        </w:p>
        <w:p w14:paraId="2AD39AEF" w14:textId="69DF9CC7" w:rsidR="00FD6C7D" w:rsidRDefault="00FD6C7D">
          <w:pPr>
            <w:pStyle w:val="Inhopg2"/>
            <w:rPr>
              <w:rFonts w:eastAsiaTheme="minorEastAsia" w:cstheme="minorBidi"/>
              <w:noProof/>
              <w:kern w:val="2"/>
              <w:sz w:val="24"/>
              <w:szCs w:val="24"/>
              <w:lang w:bidi="ar-SA"/>
              <w14:ligatures w14:val="standardContextual"/>
            </w:rPr>
          </w:pPr>
          <w:hyperlink w:anchor="_Toc227764627" w:history="1">
            <w:r>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_Toc227764627 \h </w:instrText>
            </w:r>
            <w:r>
              <w:rPr>
                <w:noProof/>
                <w:webHidden/>
              </w:rPr>
            </w:r>
            <w:r>
              <w:rPr>
                <w:noProof/>
                <w:webHidden/>
              </w:rPr>
              <w:fldChar w:fldCharType="separate"/>
            </w:r>
            <w:r>
              <w:rPr>
                <w:noProof/>
                <w:webHidden/>
              </w:rPr>
              <w:t>5</w:t>
            </w:r>
            <w:r>
              <w:rPr>
                <w:noProof/>
                <w:webHidden/>
              </w:rPr>
              <w:fldChar w:fldCharType="end"/>
            </w:r>
          </w:hyperlink>
        </w:p>
        <w:p w14:paraId="12EB8DD5" w14:textId="6E782CBD" w:rsidR="00FD6C7D" w:rsidRDefault="00FD6C7D">
          <w:pPr>
            <w:pStyle w:val="Inhopg2"/>
            <w:rPr>
              <w:rFonts w:eastAsiaTheme="minorEastAsia" w:cstheme="minorBidi"/>
              <w:noProof/>
              <w:kern w:val="2"/>
              <w:sz w:val="24"/>
              <w:szCs w:val="24"/>
              <w:lang w:bidi="ar-SA"/>
              <w14:ligatures w14:val="standardContextual"/>
            </w:rPr>
          </w:pPr>
          <w:hyperlink w:anchor="_Toc227764628" w:history="1">
            <w:r>
              <w:rPr>
                <w:rStyle w:val="Hyperlink"/>
                <w:noProof/>
              </w:rPr>
              <w:t>Bijlage 2: Aantonen passend niveau van beveiliging</w:t>
            </w:r>
            <w:r>
              <w:rPr>
                <w:noProof/>
                <w:webHidden/>
              </w:rPr>
              <w:tab/>
            </w:r>
            <w:r>
              <w:rPr>
                <w:noProof/>
                <w:webHidden/>
              </w:rPr>
              <w:fldChar w:fldCharType="begin"/>
            </w:r>
            <w:r>
              <w:rPr>
                <w:noProof/>
                <w:webHidden/>
              </w:rPr>
              <w:instrText xml:space="preserve"> PAGEREF _Toc227764628 \h </w:instrText>
            </w:r>
            <w:r>
              <w:rPr>
                <w:noProof/>
                <w:webHidden/>
              </w:rPr>
            </w:r>
            <w:r>
              <w:rPr>
                <w:noProof/>
                <w:webHidden/>
              </w:rPr>
              <w:fldChar w:fldCharType="separate"/>
            </w:r>
            <w:r>
              <w:rPr>
                <w:noProof/>
                <w:webHidden/>
              </w:rPr>
              <w:t>6</w:t>
            </w:r>
            <w:r>
              <w:rPr>
                <w:noProof/>
                <w:webHidden/>
              </w:rPr>
              <w:fldChar w:fldCharType="end"/>
            </w:r>
          </w:hyperlink>
        </w:p>
        <w:p w14:paraId="71ACD109" w14:textId="62A697E1" w:rsidR="00FD6C7D" w:rsidRDefault="00FD6C7D">
          <w:pPr>
            <w:pStyle w:val="Inhopg2"/>
            <w:rPr>
              <w:rFonts w:eastAsiaTheme="minorEastAsia" w:cstheme="minorBidi"/>
              <w:noProof/>
              <w:kern w:val="2"/>
              <w:sz w:val="24"/>
              <w:szCs w:val="24"/>
              <w:lang w:bidi="ar-SA"/>
              <w14:ligatures w14:val="standardContextual"/>
            </w:rPr>
          </w:pPr>
          <w:hyperlink w:anchor="_Toc227764629" w:history="1">
            <w:r>
              <w:rPr>
                <w:rStyle w:val="Hyperlink"/>
                <w:noProof/>
              </w:rPr>
              <w:t>Bijlage 3: Relevante GIBIT 2025 artikelen</w:t>
            </w:r>
            <w:r>
              <w:rPr>
                <w:noProof/>
                <w:webHidden/>
              </w:rPr>
              <w:tab/>
            </w:r>
            <w:r>
              <w:rPr>
                <w:noProof/>
                <w:webHidden/>
              </w:rPr>
              <w:fldChar w:fldCharType="begin"/>
            </w:r>
            <w:r>
              <w:rPr>
                <w:noProof/>
                <w:webHidden/>
              </w:rPr>
              <w:instrText xml:space="preserve"> PAGEREF _Toc227764629 \h </w:instrText>
            </w:r>
            <w:r>
              <w:rPr>
                <w:noProof/>
                <w:webHidden/>
              </w:rPr>
            </w:r>
            <w:r>
              <w:rPr>
                <w:noProof/>
                <w:webHidden/>
              </w:rPr>
              <w:fldChar w:fldCharType="separate"/>
            </w:r>
            <w:r>
              <w:rPr>
                <w:noProof/>
                <w:webHidden/>
              </w:rPr>
              <w:t>7</w:t>
            </w:r>
            <w:r>
              <w:rPr>
                <w:noProof/>
                <w:webHidden/>
              </w:rPr>
              <w:fldChar w:fldCharType="end"/>
            </w:r>
          </w:hyperlink>
        </w:p>
        <w:p w14:paraId="0DDC2A01" w14:textId="7FD29BD2"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0" w:history="1">
            <w:r>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Inleiding</w:t>
            </w:r>
            <w:r>
              <w:rPr>
                <w:noProof/>
                <w:webHidden/>
              </w:rPr>
              <w:tab/>
            </w:r>
            <w:r>
              <w:rPr>
                <w:noProof/>
                <w:webHidden/>
              </w:rPr>
              <w:fldChar w:fldCharType="begin"/>
            </w:r>
            <w:r>
              <w:rPr>
                <w:noProof/>
                <w:webHidden/>
              </w:rPr>
              <w:instrText xml:space="preserve"> PAGEREF _Toc227764630 \h </w:instrText>
            </w:r>
            <w:r>
              <w:rPr>
                <w:noProof/>
                <w:webHidden/>
              </w:rPr>
            </w:r>
            <w:r>
              <w:rPr>
                <w:noProof/>
                <w:webHidden/>
              </w:rPr>
              <w:fldChar w:fldCharType="separate"/>
            </w:r>
            <w:r>
              <w:rPr>
                <w:noProof/>
                <w:webHidden/>
              </w:rPr>
              <w:t>15</w:t>
            </w:r>
            <w:r>
              <w:rPr>
                <w:noProof/>
                <w:webHidden/>
              </w:rPr>
              <w:fldChar w:fldCharType="end"/>
            </w:r>
          </w:hyperlink>
        </w:p>
        <w:p w14:paraId="524412D9" w14:textId="13AB09E3"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1" w:history="1">
            <w:r>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Algemeen</w:t>
            </w:r>
            <w:r>
              <w:rPr>
                <w:noProof/>
                <w:webHidden/>
              </w:rPr>
              <w:tab/>
            </w:r>
            <w:r>
              <w:rPr>
                <w:noProof/>
                <w:webHidden/>
              </w:rPr>
              <w:fldChar w:fldCharType="begin"/>
            </w:r>
            <w:r>
              <w:rPr>
                <w:noProof/>
                <w:webHidden/>
              </w:rPr>
              <w:instrText xml:space="preserve"> PAGEREF _Toc227764631 \h </w:instrText>
            </w:r>
            <w:r>
              <w:rPr>
                <w:noProof/>
                <w:webHidden/>
              </w:rPr>
            </w:r>
            <w:r>
              <w:rPr>
                <w:noProof/>
                <w:webHidden/>
              </w:rPr>
              <w:fldChar w:fldCharType="separate"/>
            </w:r>
            <w:r>
              <w:rPr>
                <w:noProof/>
                <w:webHidden/>
              </w:rPr>
              <w:t>16</w:t>
            </w:r>
            <w:r>
              <w:rPr>
                <w:noProof/>
                <w:webHidden/>
              </w:rPr>
              <w:fldChar w:fldCharType="end"/>
            </w:r>
          </w:hyperlink>
        </w:p>
        <w:p w14:paraId="1893E84D" w14:textId="57BB614D" w:rsidR="00FD6C7D" w:rsidRDefault="00FD6C7D">
          <w:pPr>
            <w:pStyle w:val="Inhopg2"/>
            <w:rPr>
              <w:rFonts w:eastAsiaTheme="minorEastAsia" w:cstheme="minorBidi"/>
              <w:noProof/>
              <w:kern w:val="2"/>
              <w:sz w:val="24"/>
              <w:szCs w:val="24"/>
              <w:lang w:bidi="ar-SA"/>
              <w14:ligatures w14:val="standardContextual"/>
            </w:rPr>
          </w:pPr>
          <w:hyperlink w:anchor="_Toc227764632" w:history="1">
            <w:r>
              <w:rPr>
                <w:rStyle w:val="Hyperlink"/>
                <w:noProof/>
              </w:rPr>
              <w:t>2.1</w:t>
            </w:r>
            <w:r>
              <w:rPr>
                <w:rFonts w:eastAsiaTheme="minorEastAsia" w:cstheme="minorBidi"/>
                <w:noProof/>
                <w:kern w:val="2"/>
                <w:sz w:val="24"/>
                <w:szCs w:val="24"/>
                <w:lang w:bidi="ar-SA"/>
                <w14:ligatures w14:val="standardContextual"/>
              </w:rPr>
              <w:tab/>
            </w:r>
            <w:r>
              <w:rPr>
                <w:rStyle w:val="Hyperlink"/>
                <w:noProof/>
              </w:rPr>
              <w:t>Is er wel een verwerkersovereenkomst nodig?</w:t>
            </w:r>
            <w:r>
              <w:rPr>
                <w:noProof/>
                <w:webHidden/>
              </w:rPr>
              <w:tab/>
            </w:r>
            <w:r>
              <w:rPr>
                <w:noProof/>
                <w:webHidden/>
              </w:rPr>
              <w:fldChar w:fldCharType="begin"/>
            </w:r>
            <w:r>
              <w:rPr>
                <w:noProof/>
                <w:webHidden/>
              </w:rPr>
              <w:instrText xml:space="preserve"> PAGEREF _Toc227764632 \h </w:instrText>
            </w:r>
            <w:r>
              <w:rPr>
                <w:noProof/>
                <w:webHidden/>
              </w:rPr>
            </w:r>
            <w:r>
              <w:rPr>
                <w:noProof/>
                <w:webHidden/>
              </w:rPr>
              <w:fldChar w:fldCharType="separate"/>
            </w:r>
            <w:r>
              <w:rPr>
                <w:noProof/>
                <w:webHidden/>
              </w:rPr>
              <w:t>16</w:t>
            </w:r>
            <w:r>
              <w:rPr>
                <w:noProof/>
                <w:webHidden/>
              </w:rPr>
              <w:fldChar w:fldCharType="end"/>
            </w:r>
          </w:hyperlink>
        </w:p>
        <w:p w14:paraId="7D4380CD" w14:textId="29ACBAC7" w:rsidR="00FD6C7D" w:rsidRDefault="00FD6C7D">
          <w:pPr>
            <w:pStyle w:val="Inhopg2"/>
            <w:rPr>
              <w:rFonts w:eastAsiaTheme="minorEastAsia" w:cstheme="minorBidi"/>
              <w:noProof/>
              <w:kern w:val="2"/>
              <w:sz w:val="24"/>
              <w:szCs w:val="24"/>
              <w:lang w:bidi="ar-SA"/>
              <w14:ligatures w14:val="standardContextual"/>
            </w:rPr>
          </w:pPr>
          <w:hyperlink w:anchor="_Toc227764633" w:history="1">
            <w:r>
              <w:rPr>
                <w:rStyle w:val="Hyperlink"/>
                <w:noProof/>
              </w:rPr>
              <w:t>2.2</w:t>
            </w:r>
            <w:r>
              <w:rPr>
                <w:rFonts w:eastAsiaTheme="minorEastAsia" w:cstheme="minorBidi"/>
                <w:noProof/>
                <w:kern w:val="2"/>
                <w:sz w:val="24"/>
                <w:szCs w:val="24"/>
                <w:lang w:bidi="ar-SA"/>
                <w14:ligatures w14:val="standardContextual"/>
              </w:rPr>
              <w:tab/>
            </w:r>
            <w:r>
              <w:rPr>
                <w:rStyle w:val="Hyperlink"/>
                <w:noProof/>
              </w:rPr>
              <w:t>Gedeelde verantwoordelijkheid en vertrouwen</w:t>
            </w:r>
            <w:r>
              <w:rPr>
                <w:noProof/>
                <w:webHidden/>
              </w:rPr>
              <w:tab/>
            </w:r>
            <w:r>
              <w:rPr>
                <w:noProof/>
                <w:webHidden/>
              </w:rPr>
              <w:fldChar w:fldCharType="begin"/>
            </w:r>
            <w:r>
              <w:rPr>
                <w:noProof/>
                <w:webHidden/>
              </w:rPr>
              <w:instrText xml:space="preserve"> PAGEREF _Toc227764633 \h </w:instrText>
            </w:r>
            <w:r>
              <w:rPr>
                <w:noProof/>
                <w:webHidden/>
              </w:rPr>
            </w:r>
            <w:r>
              <w:rPr>
                <w:noProof/>
                <w:webHidden/>
              </w:rPr>
              <w:fldChar w:fldCharType="separate"/>
            </w:r>
            <w:r>
              <w:rPr>
                <w:noProof/>
                <w:webHidden/>
              </w:rPr>
              <w:t>16</w:t>
            </w:r>
            <w:r>
              <w:rPr>
                <w:noProof/>
                <w:webHidden/>
              </w:rPr>
              <w:fldChar w:fldCharType="end"/>
            </w:r>
          </w:hyperlink>
        </w:p>
        <w:p w14:paraId="21B12678" w14:textId="52BCD384" w:rsidR="00FD6C7D" w:rsidRDefault="00FD6C7D">
          <w:pPr>
            <w:pStyle w:val="Inhopg2"/>
            <w:rPr>
              <w:rFonts w:eastAsiaTheme="minorEastAsia" w:cstheme="minorBidi"/>
              <w:noProof/>
              <w:kern w:val="2"/>
              <w:sz w:val="24"/>
              <w:szCs w:val="24"/>
              <w:lang w:bidi="ar-SA"/>
              <w14:ligatures w14:val="standardContextual"/>
            </w:rPr>
          </w:pPr>
          <w:hyperlink w:anchor="_Toc227764634" w:history="1">
            <w:r>
              <w:rPr>
                <w:rStyle w:val="Hyperlink"/>
                <w:noProof/>
              </w:rPr>
              <w:t>2.3</w:t>
            </w:r>
            <w:r>
              <w:rPr>
                <w:rFonts w:eastAsiaTheme="minorEastAsia" w:cstheme="minorBidi"/>
                <w:noProof/>
                <w:kern w:val="2"/>
                <w:sz w:val="24"/>
                <w:szCs w:val="24"/>
                <w:lang w:bidi="ar-SA"/>
                <w14:ligatures w14:val="standardContextual"/>
              </w:rPr>
              <w:tab/>
            </w:r>
            <w:r>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_Toc227764634 \h </w:instrText>
            </w:r>
            <w:r>
              <w:rPr>
                <w:noProof/>
                <w:webHidden/>
              </w:rPr>
            </w:r>
            <w:r>
              <w:rPr>
                <w:noProof/>
                <w:webHidden/>
              </w:rPr>
              <w:fldChar w:fldCharType="separate"/>
            </w:r>
            <w:r>
              <w:rPr>
                <w:noProof/>
                <w:webHidden/>
              </w:rPr>
              <w:t>16</w:t>
            </w:r>
            <w:r>
              <w:rPr>
                <w:noProof/>
                <w:webHidden/>
              </w:rPr>
              <w:fldChar w:fldCharType="end"/>
            </w:r>
          </w:hyperlink>
        </w:p>
        <w:p w14:paraId="241D95F3" w14:textId="18508CCB" w:rsidR="00FD6C7D" w:rsidRDefault="00FD6C7D">
          <w:pPr>
            <w:pStyle w:val="Inhopg2"/>
            <w:rPr>
              <w:rFonts w:eastAsiaTheme="minorEastAsia" w:cstheme="minorBidi"/>
              <w:noProof/>
              <w:kern w:val="2"/>
              <w:sz w:val="24"/>
              <w:szCs w:val="24"/>
              <w:lang w:bidi="ar-SA"/>
              <w14:ligatures w14:val="standardContextual"/>
            </w:rPr>
          </w:pPr>
          <w:hyperlink w:anchor="_Toc227764635" w:history="1">
            <w:r>
              <w:rPr>
                <w:rStyle w:val="Hyperlink"/>
                <w:noProof/>
              </w:rPr>
              <w:t>2.5</w:t>
            </w:r>
            <w:r>
              <w:rPr>
                <w:rFonts w:eastAsiaTheme="minorEastAsia" w:cstheme="minorBidi"/>
                <w:noProof/>
                <w:kern w:val="2"/>
                <w:sz w:val="24"/>
                <w:szCs w:val="24"/>
                <w:lang w:bidi="ar-SA"/>
                <w14:ligatures w14:val="standardContextual"/>
              </w:rPr>
              <w:tab/>
            </w:r>
            <w:r>
              <w:rPr>
                <w:rStyle w:val="Hyperlink"/>
                <w:noProof/>
              </w:rPr>
              <w:t>Artikelsgewijze toelichting</w:t>
            </w:r>
            <w:r>
              <w:rPr>
                <w:noProof/>
                <w:webHidden/>
              </w:rPr>
              <w:tab/>
            </w:r>
            <w:r>
              <w:rPr>
                <w:noProof/>
                <w:webHidden/>
              </w:rPr>
              <w:fldChar w:fldCharType="begin"/>
            </w:r>
            <w:r>
              <w:rPr>
                <w:noProof/>
                <w:webHidden/>
              </w:rPr>
              <w:instrText xml:space="preserve"> PAGEREF _Toc227764635 \h </w:instrText>
            </w:r>
            <w:r>
              <w:rPr>
                <w:noProof/>
                <w:webHidden/>
              </w:rPr>
            </w:r>
            <w:r>
              <w:rPr>
                <w:noProof/>
                <w:webHidden/>
              </w:rPr>
              <w:fldChar w:fldCharType="separate"/>
            </w:r>
            <w:r>
              <w:rPr>
                <w:noProof/>
                <w:webHidden/>
              </w:rPr>
              <w:t>17</w:t>
            </w:r>
            <w:r>
              <w:rPr>
                <w:noProof/>
                <w:webHidden/>
              </w:rPr>
              <w:fldChar w:fldCharType="end"/>
            </w:r>
          </w:hyperlink>
        </w:p>
        <w:p w14:paraId="1E0E4247" w14:textId="63976401" w:rsidR="00FD6C7D" w:rsidRDefault="00FD6C7D">
          <w:pPr>
            <w:pStyle w:val="Inhopg2"/>
            <w:rPr>
              <w:rFonts w:eastAsiaTheme="minorEastAsia" w:cstheme="minorBidi"/>
              <w:noProof/>
              <w:kern w:val="2"/>
              <w:sz w:val="24"/>
              <w:szCs w:val="24"/>
              <w:lang w:bidi="ar-SA"/>
              <w14:ligatures w14:val="standardContextual"/>
            </w:rPr>
          </w:pPr>
          <w:hyperlink w:anchor="_Toc227764636" w:history="1">
            <w:r>
              <w:rPr>
                <w:rStyle w:val="Hyperlink"/>
                <w:noProof/>
              </w:rPr>
              <w:t>2.6</w:t>
            </w:r>
            <w:r>
              <w:rPr>
                <w:rFonts w:eastAsiaTheme="minorEastAsia" w:cstheme="minorBidi"/>
                <w:noProof/>
                <w:kern w:val="2"/>
                <w:sz w:val="24"/>
                <w:szCs w:val="24"/>
                <w:lang w:bidi="ar-SA"/>
                <w14:ligatures w14:val="standardContextual"/>
              </w:rPr>
              <w:tab/>
            </w:r>
            <w:r>
              <w:rPr>
                <w:rStyle w:val="Hyperlink"/>
                <w:noProof/>
              </w:rPr>
              <w:t>Toelichting bijlagen</w:t>
            </w:r>
            <w:r>
              <w:rPr>
                <w:noProof/>
                <w:webHidden/>
              </w:rPr>
              <w:tab/>
            </w:r>
            <w:r>
              <w:rPr>
                <w:noProof/>
                <w:webHidden/>
              </w:rPr>
              <w:fldChar w:fldCharType="begin"/>
            </w:r>
            <w:r>
              <w:rPr>
                <w:noProof/>
                <w:webHidden/>
              </w:rPr>
              <w:instrText xml:space="preserve"> PAGEREF _Toc227764636 \h </w:instrText>
            </w:r>
            <w:r>
              <w:rPr>
                <w:noProof/>
                <w:webHidden/>
              </w:rPr>
            </w:r>
            <w:r>
              <w:rPr>
                <w:noProof/>
                <w:webHidden/>
              </w:rPr>
              <w:fldChar w:fldCharType="separate"/>
            </w:r>
            <w:r>
              <w:rPr>
                <w:noProof/>
                <w:webHidden/>
              </w:rPr>
              <w:t>20</w:t>
            </w:r>
            <w:r>
              <w:rPr>
                <w:noProof/>
                <w:webHidden/>
              </w:rPr>
              <w:fldChar w:fldCharType="end"/>
            </w:r>
          </w:hyperlink>
        </w:p>
        <w:p w14:paraId="24115DB5" w14:textId="74788745"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7" w:history="1">
            <w:r>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Pr>
                <w:rStyle w:val="Hyperlink"/>
                <w:noProof/>
              </w:rPr>
              <w:t>Colofon</w:t>
            </w:r>
            <w:r>
              <w:rPr>
                <w:noProof/>
                <w:webHidden/>
              </w:rPr>
              <w:tab/>
            </w:r>
            <w:r>
              <w:rPr>
                <w:noProof/>
                <w:webHidden/>
              </w:rPr>
              <w:fldChar w:fldCharType="begin"/>
            </w:r>
            <w:r>
              <w:rPr>
                <w:noProof/>
                <w:webHidden/>
              </w:rPr>
              <w:instrText xml:space="preserve"> PAGEREF _Toc227764637 \h </w:instrText>
            </w:r>
            <w:r>
              <w:rPr>
                <w:noProof/>
                <w:webHidden/>
              </w:rPr>
            </w:r>
            <w:r>
              <w:rPr>
                <w:noProof/>
                <w:webHidden/>
              </w:rPr>
              <w:fldChar w:fldCharType="separate"/>
            </w:r>
            <w:r>
              <w:rPr>
                <w:noProof/>
                <w:webHidden/>
              </w:rPr>
              <w:t>26</w:t>
            </w:r>
            <w:r>
              <w:rPr>
                <w:noProof/>
                <w:webHidden/>
              </w:rPr>
              <w:fldChar w:fldCharType="end"/>
            </w:r>
          </w:hyperlink>
        </w:p>
        <w:p w14:paraId="06302B83" w14:textId="4944C045" w:rsidR="007B7F12" w:rsidRPr="00F6583B" w:rsidRDefault="00C14339">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3"/>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27764630"/>
      <w:bookmarkStart w:id="7" w:name="_Toc500776210"/>
      <w:r>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verwerkingsverantwoordelijken en verwerkers.</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Pr>
          <w:rFonts w:cstheme="minorHAnsi"/>
          <w:b/>
          <w:color w:val="004E9A"/>
          <w:sz w:val="24"/>
          <w:szCs w:val="24"/>
        </w:rPr>
        <w:t>Compromis als oplossing voor een complex probleem</w:t>
      </w:r>
    </w:p>
    <w:p w14:paraId="0970D145" w14:textId="631E1707" w:rsidR="00A514A9" w:rsidRDefault="00DE7FEE" w:rsidP="00D64523">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Gemeenten hebben zichzelf op de ALV van de VNG d.d. 5 juni 2019 de verplichting opgelegd om de Standaard VWO te gebruiken. Gemeenten moeten daarom in hun jaarrapportage vastleggen in het geval zij de Standaard VWO niet gebruiken, of daarvan afwijken.</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Pr>
          <w:rFonts w:asciiTheme="minorHAnsi" w:hAnsiTheme="minorHAnsi" w:cstheme="minorHAnsi"/>
          <w:b/>
          <w:bCs/>
          <w:sz w:val="20"/>
          <w:szCs w:val="20"/>
        </w:rPr>
        <w:t>NB</w:t>
      </w:r>
      <w:r>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27764631"/>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27764632"/>
      <w:r>
        <w:t>2.1</w:t>
      </w:r>
      <w:r>
        <w:tab/>
        <w:t>Is er wel een verwerkersovereenkomst nodig?</w:t>
      </w:r>
      <w:bookmarkEnd w:id="9"/>
    </w:p>
    <w:p w14:paraId="2471D6DF" w14:textId="437C55F2" w:rsidR="00D64523" w:rsidRPr="00D64523" w:rsidRDefault="00D64523" w:rsidP="00D64523">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4" w:history="1">
        <w:r>
          <w:rPr>
            <w:rStyle w:val="Hyperlink"/>
            <w:rFonts w:cstheme="minorHAnsi"/>
          </w:rPr>
          <w:t>Factsheet en beslismodel “Is mijn leverancier wel  of geen verwerker”.</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27764633"/>
      <w:r>
        <w:t>2.2</w:t>
      </w:r>
      <w:r>
        <w:tab/>
        <w:t>Gedeelde verantwoordelijkheid en vertrouwen</w:t>
      </w:r>
      <w:bookmarkEnd w:id="10"/>
    </w:p>
    <w:p w14:paraId="0AF37A66" w14:textId="1188F8BA" w:rsidR="00A91115" w:rsidRPr="00D64523" w:rsidRDefault="00D64523" w:rsidP="00D64523">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27764634"/>
      <w:r>
        <w:t>2.3</w:t>
      </w:r>
      <w:r>
        <w:tab/>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Pr>
                <w:rFonts w:cstheme="minorHAnsi"/>
                <w:sz w:val="18"/>
              </w:rPr>
              <w:t>Art. 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Pr>
                <w:rFonts w:cstheme="minorHAnsi"/>
                <w:sz w:val="18"/>
              </w:rPr>
              <w:t>Art. 4.3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Pr>
                <w:rFonts w:cstheme="minorHAnsi"/>
                <w:sz w:val="18"/>
              </w:rPr>
              <w:t>Art. 4.4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Pr>
                <w:rFonts w:cstheme="minorHAnsi"/>
                <w:sz w:val="18"/>
              </w:rPr>
              <w:t>Art. 4.5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Pr>
                <w:rFonts w:cstheme="minorHAnsi"/>
                <w:sz w:val="18"/>
              </w:rPr>
              <w:t>Art. 4.6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Pr>
                <w:rFonts w:cstheme="minorHAnsi"/>
                <w:sz w:val="18"/>
              </w:rPr>
              <w:t>Art. 4.1 / 5 /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Pr>
                <w:rFonts w:cstheme="minorHAnsi"/>
                <w:sz w:val="18"/>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Pr>
                <w:rFonts w:cstheme="minorHAnsi"/>
                <w:sz w:val="18"/>
              </w:rPr>
              <w:t>Art. 2.1 en 7.1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in de hoofdovereenkomst, adviseren wij partijen om dat alsnog te doen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6DE31954" w:rsidR="008647B8" w:rsidRDefault="00AD51C7" w:rsidP="00D64523">
      <w:pPr>
        <w:pStyle w:val="Plattetekst"/>
        <w:rPr>
          <w:rFonts w:cstheme="minorHAnsi"/>
        </w:rPr>
      </w:pPr>
      <w:r>
        <w:rPr>
          <w:rFonts w:cstheme="minorHAnsi"/>
        </w:rPr>
        <w:t>Over de inhoud van de eventueel nader te maken afspraken verwijzen wij naar de GIBIT 2025</w:t>
      </w:r>
      <w:r>
        <w:rPr>
          <w:rStyle w:val="Voetnootmarkering"/>
          <w:rFonts w:cstheme="minorHAnsi"/>
        </w:rPr>
        <w:footnoteReference w:id="1"/>
      </w:r>
      <w:r>
        <w:rPr>
          <w:rFonts w:cstheme="minorHAnsi"/>
        </w:rPr>
        <w:t>:</w:t>
      </w:r>
    </w:p>
    <w:p w14:paraId="756CBCC6" w14:textId="39424689" w:rsidR="00922202" w:rsidRDefault="00922202" w:rsidP="00D64523">
      <w:pPr>
        <w:pStyle w:val="Plattetekst"/>
        <w:rPr>
          <w:rFonts w:cstheme="minorHAnsi"/>
        </w:rPr>
      </w:pPr>
      <w:r>
        <w:rPr>
          <w:rFonts w:cstheme="minorHAnsi"/>
        </w:rPr>
        <w:t>Aansprakelijkheid</w:t>
      </w:r>
      <w:r>
        <w:rPr>
          <w:rFonts w:cstheme="minorHAnsi"/>
        </w:rPr>
        <w:tab/>
        <w:t>: artikel 17</w:t>
      </w:r>
    </w:p>
    <w:p w14:paraId="6BBF2B1A" w14:textId="6F05DDC3"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27.14 en artikel 29</w:t>
      </w:r>
    </w:p>
    <w:p w14:paraId="769B8ACA" w14:textId="13BDE7B4"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artikel 28</w:t>
      </w:r>
      <w:r>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Pr>
          <w:b/>
          <w:bCs/>
          <w:color w:val="004E9A"/>
          <w:sz w:val="24"/>
          <w:szCs w:val="24"/>
        </w:rPr>
        <w:t>2.4</w:t>
      </w:r>
      <w:r>
        <w:rPr>
          <w:b/>
          <w:bCs/>
          <w:color w:val="004E9A"/>
          <w:sz w:val="24"/>
          <w:szCs w:val="24"/>
        </w:rPr>
        <w:tab/>
        <w:t>Meerwerk</w:t>
      </w:r>
    </w:p>
    <w:p w14:paraId="78372FA6" w14:textId="68AB127B" w:rsidR="00736834" w:rsidRDefault="00736834" w:rsidP="00D64523">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2025.</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27764635"/>
      <w:r>
        <w:t>2.5</w:t>
      </w:r>
      <w:r>
        <w:tab/>
        <w:t>Artikelsgewijze toelichting</w:t>
      </w:r>
      <w:bookmarkEnd w:id="12"/>
    </w:p>
    <w:p w14:paraId="5BEEAD56" w14:textId="6B8A4830" w:rsidR="003B42DF" w:rsidRPr="000B724D" w:rsidRDefault="003B42DF" w:rsidP="000B724D">
      <w:pPr>
        <w:pStyle w:val="Kop3"/>
      </w:pPr>
      <w:r>
        <w:t>Aanhef:</w:t>
      </w:r>
    </w:p>
    <w:p w14:paraId="58FEAD53" w14:textId="3F8ECC43" w:rsidR="003234F3" w:rsidRDefault="00B16DD0" w:rsidP="00DE310A">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t>Overwegingen:</w:t>
      </w:r>
    </w:p>
    <w:p w14:paraId="6B6C4CDE" w14:textId="1CBCBFD2" w:rsidR="00D64523" w:rsidRDefault="00D64523" w:rsidP="0017284D">
      <w:pPr>
        <w:pStyle w:val="Plattetekst"/>
        <w:rPr>
          <w:rFonts w:cstheme="minorHAnsi"/>
        </w:rPr>
      </w:pPr>
      <w:r>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lastRenderedPageBreak/>
        <w:t>Artikelen:</w:t>
      </w:r>
    </w:p>
    <w:p w14:paraId="5829A919" w14:textId="74F0CF36" w:rsidR="00D64523" w:rsidRPr="00D64523" w:rsidRDefault="00D64523" w:rsidP="00D64523">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Pr>
          <w:rFonts w:cstheme="minorHAnsi"/>
        </w:rPr>
        <w:tab/>
        <w:t>Dit artikel moet in samenhang met artikel 7.1 worden gelezen.</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Pr>
          <w:rFonts w:cstheme="minorHAnsi"/>
        </w:rPr>
        <w:t>3.1:</w:t>
      </w:r>
      <w:r>
        <w:rPr>
          <w:rFonts w:cstheme="minorHAnsi"/>
        </w:rPr>
        <w:tab/>
        <w:t>Voor iedere verdere verwerking van persoonsgegevens die buiten de opdrachtverlening valt zoals genoemd in tabel 1 van Bijlage 1, moet de verwerker vooraf uitdrukkelijk toestemming vragen aan de verwerkingsverantwoordelijke. Dit geldt ook voor de verwerking van persoonsgegevens als op enige wijze kunstmatige intelligentie wordt toegepast, waaronder testen en trainen.</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1E5DD232" w14:textId="14D6B46A" w:rsidR="00D64523" w:rsidRPr="00D64523" w:rsidRDefault="00D64523" w:rsidP="00DE3049">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5DED8F3" w14:textId="7A053D33" w:rsidR="00A1662C" w:rsidRPr="00D64523" w:rsidRDefault="00D64523" w:rsidP="00DE3049">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A0EB98D" w14:textId="28BA4304" w:rsidR="00E3105D" w:rsidRDefault="00D64523" w:rsidP="00DE3049">
      <w:pPr>
        <w:pStyle w:val="Plattetekst"/>
        <w:ind w:left="720" w:hanging="720"/>
        <w:rPr>
          <w:rFonts w:cstheme="minorHAnsi"/>
        </w:rPr>
      </w:pPr>
      <w:r>
        <w:rPr>
          <w:rFonts w:cstheme="minorHAnsi"/>
        </w:rPr>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28.6 van de GIBIT 2025.</w:t>
      </w:r>
    </w:p>
    <w:p w14:paraId="7E13CE90" w14:textId="77777777" w:rsidR="001028DF" w:rsidRDefault="001807F1" w:rsidP="00DE3049">
      <w:pPr>
        <w:pStyle w:val="Plattetekst"/>
        <w:ind w:left="720"/>
      </w:pPr>
      <w:r>
        <w:t>Bij twijfel over de uitkomsten van de audit gaat de verwerkingsverantwoordelijke daarover in gesprek met de verwerker. Eventueel kan de verwerkingsverantwoordelijke zich wenden tot de auditor.</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3AEB48F6" w14:textId="3E94B874" w:rsidR="00D10C8E" w:rsidRDefault="00A34476" w:rsidP="00742F93">
      <w:pPr>
        <w:pStyle w:val="Plattetekst"/>
        <w:ind w:left="720"/>
        <w:rPr>
          <w:rFonts w:cstheme="minorHAnsi"/>
        </w:rPr>
      </w:pPr>
      <w:r>
        <w:rPr>
          <w:rFonts w:cstheme="minorHAnsi"/>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Het vorenstaande geldt ook als een subverwerker persoonsgegevens doorgeeft aan een derde land of een internationale organisatie.</w:t>
      </w:r>
    </w:p>
    <w:p w14:paraId="236CEACC" w14:textId="77777777" w:rsidR="005F3466" w:rsidRDefault="007C1C2D" w:rsidP="00B5070A">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73E123A7" w14:textId="71AD60F1" w:rsidR="00D55578" w:rsidRDefault="007C1C2D" w:rsidP="00F970C9">
      <w:pPr>
        <w:pStyle w:val="Plattetekst"/>
        <w:ind w:left="720" w:hanging="720"/>
        <w:rPr>
          <w:rFonts w:cstheme="minorHAnsi"/>
        </w:rPr>
      </w:pPr>
      <w:r>
        <w:rPr>
          <w:rFonts w:cstheme="minorHAnsi"/>
        </w:rPr>
        <w:t>4.5:</w:t>
      </w:r>
      <w:r>
        <w:rPr>
          <w:rFonts w:cstheme="minorHAnsi"/>
        </w:rPr>
        <w:tab/>
        <w:t>Verwerker mag een andere verwerker inschakelen: een subverwerker. Een subverwerker is een andere zelfstandige partij die in opdracht van de 1</w:t>
      </w:r>
      <w:r>
        <w:rPr>
          <w:rFonts w:cstheme="minorHAnsi"/>
          <w:vertAlign w:val="superscript"/>
        </w:rPr>
        <w:t>e</w:t>
      </w:r>
      <w:r>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subverwerker heeft t.a.v. de gegevensbescherming dezelfde verplichtingen die de 1</w:t>
      </w:r>
      <w:r>
        <w:rPr>
          <w:rFonts w:cstheme="minorHAnsi"/>
          <w:vertAlign w:val="superscript"/>
        </w:rPr>
        <w:t>e</w:t>
      </w:r>
      <w:r>
        <w:rPr>
          <w:rFonts w:cstheme="minorHAnsi"/>
        </w:rPr>
        <w:t xml:space="preserve"> verwerker heeft. Als de subverwerker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84AF2E1" w14:textId="6FE298E5" w:rsidR="00071EEE" w:rsidRDefault="00071EEE" w:rsidP="00071EEE">
      <w:pPr>
        <w:pStyle w:val="Plattetekst"/>
        <w:ind w:left="720"/>
        <w:rPr>
          <w:rFonts w:cstheme="minorHAnsi"/>
        </w:rPr>
      </w:pPr>
      <w:r>
        <w:rPr>
          <w:rFonts w:cstheme="minorHAnsi"/>
        </w:rPr>
        <w:t>NB: 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t>Voor wat betreft eventuele kosten die hiermee gepaard gaan: zie § 2.4.</w:t>
      </w:r>
    </w:p>
    <w:p w14:paraId="0171926D" w14:textId="22E30E1A" w:rsidR="007C1C2D" w:rsidRPr="00A23FCD" w:rsidRDefault="00FC3EA7" w:rsidP="00F970C9">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5"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8785CA7" w14:textId="77777777" w:rsidR="0001447F" w:rsidRDefault="006F102D"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6"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(hierna: AP).</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Een verwerkingsverantwoordelijke heeft 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horen thuis in de hoofdovereenkomst. </w:t>
      </w:r>
      <w:bookmarkStart w:id="13" w:name="_Hlk55334599"/>
      <w:r>
        <w:rPr>
          <w:rFonts w:cstheme="minorHAnsi"/>
        </w:rPr>
        <w:t>Als hierover geen afspraken zijn gemaakt, adviseren wij partijen om dat alsnog te doen in een addendum bij de hoofdovereenkomst. In die gevallen dat er helemaal geen hoofdovereenkomst is, kunnen partijen ervoor kiezen om deze afspraken te maken in een addendum bij de Standaard VWO. En dus niet in de Standaard VWO zelf.</w:t>
      </w:r>
      <w:bookmarkEnd w:id="13"/>
      <w:r>
        <w:rPr>
          <w:rFonts w:cstheme="minorHAnsi"/>
        </w:rPr>
        <w:t xml:space="preserve"> Zie ook § 2.3.</w:t>
      </w:r>
    </w:p>
    <w:p w14:paraId="58F61AD5" w14:textId="3304F841" w:rsidR="00C70E49" w:rsidRPr="00784FBC" w:rsidRDefault="00BD71D5" w:rsidP="00B752FB">
      <w:pPr>
        <w:pStyle w:val="Plattetekst"/>
        <w:ind w:left="720"/>
        <w:rPr>
          <w:rFonts w:eastAsia="Times New Roman"/>
          <w:color w:val="000000" w:themeColor="text1"/>
          <w:lang w:bidi="ar-SA"/>
        </w:rPr>
      </w:pPr>
      <w:r>
        <w:rPr>
          <w:rFonts w:cstheme="minorHAnsi"/>
          <w:color w:val="242424"/>
          <w:bdr w:val="none" w:sz="0" w:space="0" w:color="auto" w:frame="1"/>
        </w:rPr>
        <w:t>Let op: Als er (in de hoofdovereenkomst, een addendum bij de hoofdovereenkomst of een addendum bij de Standaard VWO) t.a.v. de verwerking van persoonsgegevens geen aparte afspraken zijn gemaakt over aansprakelijkheid, dan geldt de aansprakelijkheidsregeling in de</w:t>
      </w:r>
      <w:r>
        <w:rPr>
          <w:rStyle w:val="apple-converted-space"/>
          <w:rFonts w:cstheme="minorHAnsi"/>
          <w:color w:val="242424"/>
          <w:bdr w:val="none" w:sz="0" w:space="0" w:color="auto" w:frame="1"/>
        </w:rPr>
        <w:t xml:space="preserve"> </w:t>
      </w:r>
      <w:r>
        <w:rPr>
          <w:rFonts w:cstheme="minorHAnsi"/>
          <w:color w:val="000000" w:themeColor="text1"/>
          <w:bdr w:val="none" w:sz="0" w:space="0" w:color="auto" w:frame="1"/>
        </w:rPr>
        <w:t>toepasselijke inkoopvoorwaarden, te weten de GIBIT 2025, of</w:t>
      </w:r>
      <w:r>
        <w:rPr>
          <w:rStyle w:val="apple-converted-space"/>
          <w:rFonts w:cstheme="minorHAnsi"/>
          <w:color w:val="000000" w:themeColor="text1"/>
          <w:bdr w:val="none" w:sz="0" w:space="0" w:color="auto" w:frame="1"/>
        </w:rPr>
        <w:t xml:space="preserve"> de </w:t>
      </w:r>
      <w:r>
        <w:rPr>
          <w:rFonts w:cstheme="minorHAnsi"/>
          <w:color w:val="000000" w:themeColor="text1"/>
          <w:bdr w:val="none" w:sz="0" w:space="0" w:color="auto" w:frame="1"/>
        </w:rPr>
        <w:t>van de van het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VNG Model Inkoopvoorwaarden diensten en leveringen afgeleide gemeentelijke inkoopvoorwaarden, of een eventuele afwijkende aansprakelijkheidsregeling in de hoofdovereenkomst.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Als</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in de hoofdovereenkomst of in de inkoopvoorwaarden een beperking</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t xml:space="preserve">Afspraken over de exit-strategie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5ED6E1B3" w14:textId="4D06D100"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29 van de GIBIT 2025 is onder andere een voorbeeld van een exit-strategie die aan de minimumvoorwaarden voldoet.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27764636"/>
      <w:r>
        <w:t>2.6</w:t>
      </w:r>
      <w:r>
        <w:tab/>
        <w:t>Toelichting bijlagen</w:t>
      </w:r>
      <w:bookmarkEnd w:id="14"/>
    </w:p>
    <w:p w14:paraId="34A85558" w14:textId="4A089799" w:rsidR="008412FE" w:rsidRDefault="00D64523" w:rsidP="00D64523">
      <w:pPr>
        <w:pStyle w:val="Plattetekst"/>
        <w:rPr>
          <w:rFonts w:cstheme="minorHAnsi"/>
          <w:b/>
        </w:rPr>
      </w:pPr>
      <w:r>
        <w:rPr>
          <w:rFonts w:cstheme="minorHAnsi"/>
          <w:b/>
        </w:rPr>
        <w:t>Bijlage 1:</w:t>
      </w:r>
    </w:p>
    <w:p w14:paraId="3D693D9D" w14:textId="2D652FD1" w:rsidR="00D443E6" w:rsidRPr="001E01E4" w:rsidRDefault="0001447F" w:rsidP="00D64523">
      <w:pPr>
        <w:pStyle w:val="Plattetekst"/>
        <w:rPr>
          <w:rFonts w:cstheme="minorHAnsi"/>
          <w:b/>
        </w:rPr>
      </w:pPr>
      <w:r>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Pr>
          <w:rFonts w:cstheme="minorHAnsi"/>
        </w:rPr>
        <w:t>Tabel 1: In het eerste deel wordt ingevuld:</w:t>
      </w:r>
    </w:p>
    <w:p w14:paraId="16BB2A59" w14:textId="7FDE6F0F" w:rsidR="00D64523" w:rsidRPr="00D64523" w:rsidRDefault="00D64523" w:rsidP="00536332">
      <w:pPr>
        <w:pStyle w:val="Plattetekst"/>
        <w:numPr>
          <w:ilvl w:val="0"/>
          <w:numId w:val="7"/>
        </w:numPr>
        <w:ind w:left="360" w:right="0"/>
        <w:rPr>
          <w:rFonts w:cstheme="minorHAnsi"/>
        </w:rPr>
      </w:pPr>
      <w:r>
        <w:rPr>
          <w:rFonts w:cstheme="minorHAnsi"/>
        </w:rPr>
        <w:t xml:space="preserve">Welke verwerking: zie hiervoor: </w:t>
      </w:r>
      <w:hyperlink r:id="rId27" w:history="1">
        <w:r>
          <w:rPr>
            <w:rStyle w:val="Hyperlink"/>
            <w:rFonts w:cstheme="minorHAnsi"/>
          </w:rPr>
          <w:t>https://www.informatiebeveiligingsdienst.nl/product/vooringevuld-verwerkingsregister-gemeenten/</w:t>
        </w:r>
      </w:hyperlink>
      <w:r>
        <w:rPr>
          <w:rFonts w:cstheme="minorHAnsi"/>
        </w:rPr>
        <w:t xml:space="preserve">  Zie onder Kolom ‘H’.</w:t>
      </w:r>
    </w:p>
    <w:p w14:paraId="255445F7" w14:textId="2CDD6635" w:rsidR="00D64523" w:rsidRDefault="00D64523" w:rsidP="00536332">
      <w:pPr>
        <w:pStyle w:val="Plattetekst"/>
        <w:numPr>
          <w:ilvl w:val="0"/>
          <w:numId w:val="7"/>
        </w:numPr>
        <w:ind w:left="360" w:right="0"/>
        <w:rPr>
          <w:rFonts w:cstheme="minorHAnsi"/>
        </w:rPr>
      </w:pPr>
      <w:r>
        <w:rPr>
          <w:rFonts w:cstheme="minorHAnsi"/>
        </w:rPr>
        <w:lastRenderedPageBreak/>
        <w:t xml:space="preserve">Verwerkingsdoeleinden, zie hiervoor: </w:t>
      </w:r>
      <w:hyperlink r:id="rId28" w:history="1">
        <w:r>
          <w:rPr>
            <w:rStyle w:val="Hyperlink"/>
            <w:rFonts w:cstheme="minorHAnsi"/>
          </w:rPr>
          <w:t>https://www.informatiebeveiligingsdienst.nl/product/vooringevuld-verwerkingsregister-gemeenten/</w:t>
        </w:r>
      </w:hyperlink>
      <w:r>
        <w:rPr>
          <w:rFonts w:cstheme="minorHAnsi"/>
        </w:rPr>
        <w:t xml:space="preserve">  Zie onder Kolom ‘L’.</w:t>
      </w:r>
    </w:p>
    <w:p w14:paraId="57C2BCB0" w14:textId="77777777" w:rsidR="00BF0F9C" w:rsidRDefault="00D64523" w:rsidP="00536332">
      <w:pPr>
        <w:pStyle w:val="Plattetekst"/>
        <w:numPr>
          <w:ilvl w:val="0"/>
          <w:numId w:val="7"/>
        </w:numPr>
        <w:ind w:left="360" w:right="0"/>
        <w:rPr>
          <w:rFonts w:cstheme="minorHAnsi"/>
        </w:rPr>
      </w:pPr>
      <w:r>
        <w:rPr>
          <w:rFonts w:cstheme="minorHAnsi"/>
        </w:rPr>
        <w:t xml:space="preserve">Categorieën van betrokkenen: 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Pr>
          <w:rFonts w:cstheme="minorHAnsi"/>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Het moet duidelijk zijn waar de verwerking plaatsvindt. Als persoonsgegevens worden doorgegeven naar (of toegankelijk zijn in) een land buiten de EER moet dat hier ook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Pr>
          <w:rFonts w:asciiTheme="minorHAnsi" w:eastAsia="Verdana" w:hAnsiTheme="minorHAnsi"/>
          <w:sz w:val="20"/>
          <w:szCs w:val="20"/>
        </w:rPr>
        <w:t xml:space="preserve">Als er sprake is van een verwerking buiten de EER moet aangegeven worden welk doorgifte-instrument wordt gebruikt. De mogelijke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Pr>
          <w:rFonts w:asciiTheme="minorHAnsi" w:eastAsia="Verdana" w:hAnsiTheme="minorHAnsi"/>
          <w:sz w:val="20"/>
          <w:szCs w:val="20"/>
        </w:rPr>
        <w:t>Adequaatheidsbesluit;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Pr>
          <w:rFonts w:asciiTheme="minorHAnsi" w:eastAsia="Verdana" w:hAnsiTheme="minorHAnsi"/>
          <w:sz w:val="20"/>
          <w:szCs w:val="20"/>
        </w:rPr>
        <w:t xml:space="preserve">Specifieke uitzonderingen (art. 49);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Standaard bepalingen (standard contractual clauses SCCs);</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Pr>
          <w:rFonts w:asciiTheme="minorHAnsi" w:hAnsiTheme="minorHAnsi" w:cstheme="minorHAnsi"/>
          <w:sz w:val="20"/>
          <w:szCs w:val="20"/>
        </w:rPr>
        <w:t>Bindende bedrijfsvoorschriften (binding corporate rules, BCRs);</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Gedragsregels (codes of conduct; certification mechanisms);</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Ad hoc modelcontractbepalingen (ad hoc contractual clauses).</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Indien gebruik wordt gemaakt van doorgifte-instrumenten 3 t/m 6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Doorgifte instrument (indien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Medewerkers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Pr>
                <w:rFonts w:asciiTheme="minorHAnsi" w:hAnsiTheme="minorHAnsi"/>
                <w:sz w:val="14"/>
                <w:szCs w:val="14"/>
                <w:u w:val="single"/>
              </w:rPr>
              <w:t xml:space="preserve">Arbeidsgegevens: </w:t>
            </w:r>
            <w:r>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hAnsiTheme="minorHAnsi"/>
                <w:sz w:val="14"/>
                <w:szCs w:val="14"/>
              </w:rPr>
              <w:t>Medewerkers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Overige formuliergegevens afhankelijk van de uitvraag.</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Pr>
          <w:rFonts w:cstheme="minorHAnsi"/>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In het geval er meerdere gemeenten bij het incident zijn betrokken, informeren partijen ook de IBD. De IBD is telefonisch 24 uur per dag bereikbaar. De mail van de IBD wordt niet 24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Pr>
          <w:rFonts w:cstheme="minorHAnsi"/>
        </w:rPr>
        <w:t>Indien er sprake is van een of meerdere subverwerkers, dan vult de verwerker de tabel voor iedere subverwerker met de volgende gegevens:</w:t>
      </w:r>
    </w:p>
    <w:p w14:paraId="1A5A52F9" w14:textId="6A71FE6D" w:rsidR="006615DF" w:rsidRDefault="00CE3857" w:rsidP="006615DF">
      <w:pPr>
        <w:pStyle w:val="Plattetekst"/>
        <w:numPr>
          <w:ilvl w:val="0"/>
          <w:numId w:val="7"/>
        </w:numPr>
        <w:ind w:left="723" w:right="0"/>
        <w:rPr>
          <w:rFonts w:cstheme="minorHAnsi"/>
        </w:rPr>
      </w:pPr>
      <w:r>
        <w:rPr>
          <w:rFonts w:cstheme="minorHAnsi"/>
          <w:b/>
          <w:bCs/>
        </w:rPr>
        <w:t>de naam en de contactgegevens subverwerker</w:t>
      </w:r>
      <w:r>
        <w:rPr>
          <w:rFonts w:cstheme="minorHAnsi"/>
        </w:rPr>
        <w:t xml:space="preserve">: </w:t>
      </w:r>
      <w:r>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Pr>
          <w:rFonts w:cstheme="minorHAnsi"/>
          <w:b/>
          <w:bCs/>
          <w:szCs w:val="20"/>
        </w:rPr>
        <w:t>Uitbestede verwerkingen:</w:t>
      </w:r>
      <w:r>
        <w:rPr>
          <w:rFonts w:cstheme="minorHAnsi"/>
          <w:szCs w:val="20"/>
        </w:rPr>
        <w:t xml:space="preserve"> Hier wordt aangegeven welke categorieën van verwerkingen de subverwerker uitvoert.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Opslaan en hosten van persoonsgegevens</w:t>
      </w:r>
      <w:r>
        <w:rPr>
          <w:rFonts w:asciiTheme="minorHAnsi" w:hAnsiTheme="minorHAnsi" w:cstheme="minorHAnsi"/>
          <w:sz w:val="20"/>
          <w:szCs w:val="20"/>
        </w:rPr>
        <w:t>: Hieronder valt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Beschikbaar stellen van persoonsgegevens ten behoeve van uitvoering van diensten</w:t>
      </w:r>
      <w:r>
        <w:rPr>
          <w:rFonts w:asciiTheme="minorHAnsi" w:hAnsiTheme="minorHAnsi" w:cstheme="minorHAnsi"/>
          <w:sz w:val="20"/>
          <w:szCs w:val="20"/>
        </w:rPr>
        <w:t>: 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Technisch, organisatorisch of operationeel beheer met mogelijke toegang tot persoonsgegevens</w:t>
      </w:r>
      <w:r>
        <w:rPr>
          <w:rFonts w:asciiTheme="minorHAnsi" w:hAnsiTheme="minorHAnsi" w:cstheme="minorHAnsi"/>
          <w:sz w:val="20"/>
          <w:szCs w:val="20"/>
        </w:rPr>
        <w:t>: 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Vastleggen, wijzigen of actualiseren van persoonsgegevens</w:t>
      </w:r>
      <w:r>
        <w:rPr>
          <w:rFonts w:asciiTheme="minorHAnsi" w:hAnsiTheme="minorHAnsi" w:cstheme="minorHAnsi"/>
          <w:sz w:val="20"/>
          <w:szCs w:val="20"/>
        </w:rPr>
        <w:t>: 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Ordenen, structureren of combineren van persoonsgegevens</w:t>
      </w:r>
      <w:r>
        <w:rPr>
          <w:rFonts w:asciiTheme="minorHAnsi" w:hAnsiTheme="minorHAnsi" w:cstheme="minorHAnsi"/>
          <w:sz w:val="20"/>
          <w:szCs w:val="20"/>
        </w:rPr>
        <w:t>: 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Back-ups, herstel en continuïteitsvoorzieningen</w:t>
      </w:r>
      <w:r>
        <w:rPr>
          <w:rFonts w:asciiTheme="minorHAnsi" w:hAnsiTheme="minorHAnsi" w:cstheme="minorHAnsi"/>
          <w:sz w:val="20"/>
          <w:szCs w:val="20"/>
        </w:rPr>
        <w:t>: 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Verstrekken of ter beschikking stellen van persoonsgegevens: </w:t>
      </w:r>
      <w:r>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Afschermen, beveiligen en beperken van toegang tot persoonsgegevens: </w:t>
      </w:r>
      <w:r>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Pr>
          <w:rFonts w:asciiTheme="minorHAnsi" w:hAnsiTheme="minorHAnsi" w:cstheme="minorHAnsi"/>
          <w:sz w:val="20"/>
          <w:szCs w:val="20"/>
          <w:u w:val="single"/>
        </w:rPr>
        <w:t xml:space="preserve">Verwijderen en vernietigen van persoonsgegevens: </w:t>
      </w:r>
      <w:r>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Pr>
                <w:sz w:val="14"/>
                <w:szCs w:val="14"/>
              </w:rPr>
              <w:t>HostingXXX</w:t>
            </w:r>
          </w:p>
        </w:tc>
        <w:tc>
          <w:tcPr>
            <w:tcW w:w="1026" w:type="dxa"/>
          </w:tcPr>
          <w:p w14:paraId="1A57BB23" w14:textId="77777777" w:rsidR="002A4637" w:rsidRPr="00D11B83" w:rsidRDefault="002A4637" w:rsidP="00EC5745">
            <w:pPr>
              <w:rPr>
                <w:sz w:val="14"/>
                <w:szCs w:val="14"/>
              </w:rPr>
            </w:pPr>
            <w:r>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Duitsland - Europese Economische Ruimte (EER)</w:t>
            </w:r>
          </w:p>
        </w:tc>
        <w:tc>
          <w:tcPr>
            <w:tcW w:w="1071" w:type="dxa"/>
          </w:tcPr>
          <w:p w14:paraId="3D90FA5C" w14:textId="77777777" w:rsidR="002A4637" w:rsidRPr="00D11B83" w:rsidRDefault="002A4637" w:rsidP="00EC5745">
            <w:pPr>
              <w:widowControl/>
              <w:autoSpaceDE/>
              <w:autoSpaceDN/>
              <w:rPr>
                <w:sz w:val="14"/>
                <w:szCs w:val="14"/>
              </w:rPr>
            </w:pPr>
            <w:r>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Pr>
          <w:rFonts w:cstheme="minorHAnsi"/>
          <w:b/>
        </w:rPr>
        <w:t>Bijlage 2:</w:t>
      </w:r>
    </w:p>
    <w:p w14:paraId="1E9694D2" w14:textId="261A3F2F" w:rsidR="00DA0C58" w:rsidRDefault="00DA0C58" w:rsidP="00660A5E">
      <w:pPr>
        <w:pStyle w:val="Plattetekst"/>
        <w:rPr>
          <w:rFonts w:cstheme="minorHAnsi"/>
        </w:rPr>
      </w:pPr>
      <w:r>
        <w:rPr>
          <w:rFonts w:cstheme="minorHAnsi"/>
        </w:rPr>
        <w:t>Bijlage 2 is een praktische uitwerking van artikel 32 AVG. Dus verwerker moet hier aangeven welke passende technische en organisatorische maatregelen hij heeft genomen die een op het risico afgestemd beveiligingsniveau waarborgen. Dus de verwerker geeft aan welk normenstelsel hij voldoet, hoe de toereikendheid van de informatiebeveiliging is gewaarborgd.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BIO2 maar, indien verwerker kan aantonen dat hij voldoet aan een andere vergelijkbare norm,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Pr>
          <w:color w:val="000000" w:themeColor="text1"/>
        </w:rPr>
        <w:t>Waar relevant verstrekt</w:t>
      </w:r>
      <w:r>
        <w:rPr>
          <w:rStyle w:val="Voetnootmarkering"/>
          <w:rFonts w:cstheme="minorHAnsi"/>
          <w:color w:val="000000" w:themeColor="text1"/>
          <w:szCs w:val="20"/>
        </w:rPr>
        <w:footnoteReference w:id="3"/>
      </w:r>
      <w:r>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29" w:history="1">
        <w:r>
          <w:rPr>
            <w:rStyle w:val="Hyperlink"/>
            <w:rFonts w:cstheme="minorHAnsi"/>
            <w:szCs w:val="20"/>
          </w:rPr>
          <w:t>assurance</w:t>
        </w:r>
      </w:hyperlink>
      <w: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Pr>
          <w:rFonts w:cstheme="minorHAnsi"/>
          <w:szCs w:val="20"/>
        </w:rPr>
        <w:t>Verder kan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75627F05" w:rsidR="009A6BBB" w:rsidRPr="009A6BBB" w:rsidRDefault="009A6BBB" w:rsidP="00B752FB">
      <w:pPr>
        <w:pStyle w:val="Plattetekst"/>
      </w:pPr>
      <w:r>
        <w:t xml:space="preserve">Partijen hebben niet altijd afspraken gemaakt over de aansprakelijkheid, de exit-strategie en/of de uitvoering van audits. Soms willen zij hierover alsnog afspraken maken. In de GIBIT 2025 zijn de aansprakelijkheid, de exit-strategie en de uitvoering van audits wel geregeld. In Bijlage 3 staan de artikelen uit de GIBIT 2025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27764637"/>
      <w:r>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t xml:space="preserve">Versienummer </w:t>
      </w:r>
    </w:p>
    <w:p w14:paraId="436B5403" w14:textId="4FCE734E" w:rsidR="00784FBC" w:rsidRDefault="00784FBC" w:rsidP="00784FBC">
      <w:pPr>
        <w:pStyle w:val="Plattetekst"/>
        <w:rPr>
          <w:rFonts w:cstheme="minorHAnsi"/>
        </w:rPr>
      </w:pPr>
      <w:r>
        <w:rPr>
          <w:rFonts w:cstheme="minorHAnsi"/>
        </w:rPr>
        <w:t>2.54</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t xml:space="preserve">Versiedatum </w:t>
      </w:r>
    </w:p>
    <w:p w14:paraId="06B546C6" w14:textId="495289BD" w:rsidR="00784FBC" w:rsidRDefault="00784FBC" w:rsidP="00784FBC">
      <w:pPr>
        <w:pStyle w:val="Plattetekst"/>
        <w:rPr>
          <w:rFonts w:cstheme="minorHAnsi"/>
        </w:rPr>
      </w:pPr>
      <w:r>
        <w:rPr>
          <w:rFonts w:cstheme="minorHAnsi"/>
        </w:rPr>
        <w:t>15-04-2026</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t xml:space="preserve">Versiebeheer </w:t>
      </w:r>
    </w:p>
    <w:p w14:paraId="504A23B8" w14:textId="77777777" w:rsidR="00784FBC" w:rsidRPr="00CA6BC5" w:rsidRDefault="00784FBC" w:rsidP="00784FBC">
      <w:pPr>
        <w:pStyle w:val="Plattetekst"/>
        <w:rPr>
          <w:rFonts w:cstheme="minorHAnsi"/>
        </w:rPr>
      </w:pPr>
      <w:r>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t>Wanneer dit werk wordt gebruikt, hanteer dan de volgende methode van naamsvermelding: “Vereniging van Nederlandse Gemeenten / Informatiebeveiligingsdienst voor gemeenten”, licentie onder: CC BY-NC-SA 4.0.</w:t>
      </w:r>
      <w:r>
        <w:br/>
      </w:r>
    </w:p>
    <w:p w14:paraId="145A4DEA" w14:textId="77777777" w:rsidR="00784FBC" w:rsidRPr="00993546" w:rsidRDefault="00784FBC" w:rsidP="00784FBC">
      <w:pPr>
        <w:pStyle w:val="Plattetekst"/>
      </w:pPr>
      <w:r>
        <w:t xml:space="preserve">Bezoek </w:t>
      </w:r>
      <w:hyperlink r:id="rId32" w:history="1">
        <w:r>
          <w:rPr>
            <w:rStyle w:val="Hyperlink"/>
          </w:rPr>
          <w:t>http://creativecommons.org/licenses/by-nc-sa/4.0</w:t>
        </w:r>
      </w:hyperlink>
      <w:r>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Pr>
          <w:b/>
          <w:color w:val="004E9A"/>
          <w:sz w:val="24"/>
          <w:szCs w:val="24"/>
        </w:rPr>
        <w:t>Rechten en vrijwaring</w:t>
      </w:r>
    </w:p>
    <w:p w14:paraId="28A21BBC" w14:textId="77777777" w:rsidR="00784FBC" w:rsidRPr="00993546" w:rsidRDefault="00784FBC" w:rsidP="00784FBC">
      <w:pPr>
        <w:pStyle w:val="Plattetekst"/>
      </w:pPr>
      <w: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iWfh6gEAALYDAAAOAAAAZHJzL2Uyb0RvYy54bWysU9uO2jAQfa/Uf7D8XkJSYCEirFasqCpt L9K2H+A4TmLV8bhjQ6Bf37FhWdS+VX2xPB77zJwzx+v742DYQaHXYCueT6acKSuh0bar+Pdvu3dL znwQthEGrKr4SXl+v3n7Zj26UhXQg2kUMgKxvhxdxfsQXJllXvZqEH4CTllKtoCDCBRilzUoRkIf TFZMp4tsBGwcglTe0+njOck3Cb9tlQxf2tarwEzFqbeQVkxrHddssxZlh8L1Wl7aEP/QxSC0paJX qEcRBNuj/gtq0BLBQxsmEoYM2lZLlTgQm3z6B5vnXjiVuJA43l1l8v8PVn4+PLuvGFv37gnkD88s bHthO/WACGOvREPl8ihUNjpfXh/EwNNTVo+foKHRin2ApMGxxSECEjt2TFKfrlKrY2CSDovlar6Y 0kQk5YrVYlHM71INUb48d+jDBwUDi5uKI80ywYvDkw+xHVG+XEntg9HNThuTAuzqrUF2EDT33XxZ vC8u6P72mrHxsoX47IwYTxLPSC26yJc1NCeiiXA2D5mdNj3gL85GMk7F/c+9QMWZ+WhJqlU+m0Wn pWA2vysowNtMfZsRVhJUxQNn5+02nN25d6i7nirlibSFB5K31Yn4a1eXZskcSY+LkaP7buN06/W7 bX4DAAD//wMAUEsDBBQABgAIAAAAIQAHFs9B5gAAABMBAAAPAAAAZHJzL2Rvd25yZXYueG1sTE/L asMwELwX+g9iC70lkg1OUsdy6INAKBTS1LnLlmK5sSQjKY7br+/21F6WGXZ2dqbYTKYno/Khc5ZD MmdAlG2c7GzLofrYzlZAQhRWit5ZxeFLBdiUtzeFyKW72nc1HmJL0MSGXHDQMQ45paHRyogwd4Oy uDs5b0RE6lsqvbiiuelpytiCGtFZ/KDFoJ61as6Hi+Hw9Dqc9Xa3i99+dPs3NlWfx7ri/P5uelnj eFwDiWqKfxfw2wHzQ4nBanexMpAeebZMM9RymCXLDBFqUpauENWIHpIF0LKg/7uUPwAAAP//AwBQ SwECLQAUAAYACAAAACEAtoM4kv4AAADhAQAAEwAAAAAAAAAAAAAAAAAAAAAAW0NvbnRlbnRfVHlw ZXNdLnhtbFBLAQItABQABgAIAAAAIQA4/SH/1gAAAJQBAAALAAAAAAAAAAAAAAAAAC8BAABfcmVs cy8ucmVsc1BLAQItABQABgAIAAAAIQC3iWfh6gEAALYDAAAOAAAAAAAAAAAAAAAAAC4CAABkcnMv ZTJvRG9jLnhtbFBLAQItABQABgAIAAAAIQAHFs9B5gAAABMBAAAPAAAAAAAAAAAAAAAAAEQEAABk cnMvZG93bnJldi54bWxQSwUGAAAAAAQABADzAAAAVwUAAAAA " fillcolor="#f58232" stroked="f"/>
            </w:pict>
          </mc:Fallback>
        </mc:AlternateContent>
      </w:r>
      <w:r>
        <w:t>Met dank aan</w:t>
      </w:r>
    </w:p>
    <w:p w14:paraId="4A21D0BD" w14:textId="77777777" w:rsidR="00784FBC" w:rsidRDefault="00784FBC" w:rsidP="00784FBC">
      <w:pPr>
        <w:pStyle w:val="Plattetekst"/>
        <w:rPr>
          <w:rFonts w:cstheme="minorHAnsi"/>
        </w:rPr>
      </w:pPr>
      <w:r>
        <w:rPr>
          <w:rFonts w:cstheme="minorHAnsi"/>
        </w:rPr>
        <w:t>De gemeenten, leveranciers en derden die hebben bijgedragen aan de totstandkoming van dit document. In het bijzonder de toetsgroep, de klankbordgroep en Beheergroep VWO die hebben bijgedragen aan het verwerken van de feedback.</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r w:rsidR="00735F53" w:rsidRPr="00CA6BC5" w14:paraId="0BD27AC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6DC87DF" w14:textId="600BB111" w:rsidR="00735F53" w:rsidRPr="00735F53" w:rsidRDefault="00735F53" w:rsidP="007F225A">
            <w:pPr>
              <w:pStyle w:val="Plattetekst"/>
              <w:rPr>
                <w:rFonts w:cstheme="minorHAnsi"/>
                <w:b w:val="0"/>
                <w:bCs w:val="0"/>
              </w:rPr>
            </w:pPr>
            <w:r>
              <w:rPr>
                <w:rFonts w:cstheme="minorHAnsi"/>
                <w:b w:val="0"/>
                <w:bCs w:val="0"/>
              </w:rPr>
              <w:t>2.54</w:t>
            </w:r>
          </w:p>
        </w:tc>
        <w:tc>
          <w:tcPr>
            <w:tcW w:w="1559" w:type="dxa"/>
          </w:tcPr>
          <w:p w14:paraId="55553D0C" w14:textId="6B31FACE" w:rsidR="00735F53" w:rsidRDefault="000063EF"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15-04-2026</w:t>
            </w:r>
          </w:p>
        </w:tc>
        <w:tc>
          <w:tcPr>
            <w:tcW w:w="6088" w:type="dxa"/>
          </w:tcPr>
          <w:p w14:paraId="4213C752" w14:textId="7A0C00F8" w:rsidR="00735F53" w:rsidRDefault="00582A13"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2.53 aangepast aan de GIBIT 2025</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t>Over de IBD</w:t>
      </w:r>
    </w:p>
    <w:p w14:paraId="0D30D799" w14:textId="416335D7" w:rsidR="00784FBC" w:rsidRPr="00BD277D" w:rsidRDefault="00784FBC" w:rsidP="00784FBC">
      <w:pPr>
        <w:pStyle w:val="Plattetekst"/>
      </w:pPr>
      <w:bookmarkStart w:id="16" w:name="_Hlk792410"/>
      <w: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16"/>
      <w:r>
        <w:t>De IBD is ondergebracht bij VNG Realisatie.</w:t>
      </w:r>
    </w:p>
    <w:sectPr w:rsidR="00784FBC" w:rsidRPr="00BD277D" w:rsidSect="00D10154">
      <w:footerReference w:type="default" r:id="rId33"/>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21EB" w14:textId="77777777" w:rsidR="000309AA" w:rsidRDefault="000309AA">
      <w:r>
        <w:separator/>
      </w:r>
    </w:p>
  </w:endnote>
  <w:endnote w:type="continuationSeparator" w:id="0">
    <w:p w14:paraId="44BE1E45" w14:textId="77777777" w:rsidR="000309AA" w:rsidRDefault="0003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14EF5" w14:textId="77777777" w:rsidR="000309AA" w:rsidRDefault="000309AA">
      <w:r>
        <w:separator/>
      </w:r>
    </w:p>
  </w:footnote>
  <w:footnote w:type="continuationSeparator" w:id="0">
    <w:p w14:paraId="0E5020DD" w14:textId="77777777" w:rsidR="000309AA" w:rsidRDefault="000309AA">
      <w:r>
        <w:continuationSeparator/>
      </w:r>
    </w:p>
  </w:footnote>
  <w:footnote w:id="1">
    <w:p w14:paraId="24E7AD78" w14:textId="561153E2"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D6C7D">
        <w:rPr>
          <w:rFonts w:asciiTheme="minorHAnsi" w:hAnsiTheme="minorHAnsi" w:cstheme="minorHAnsi"/>
          <w:sz w:val="18"/>
          <w:szCs w:val="18"/>
        </w:rPr>
        <w:t>5</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309AA"/>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4F5D"/>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97233"/>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nformatiebeveiligingsdienst.nl/product/baseline-informatiebeveiliging-overheid-bio/" TargetMode="External"/><Relationship Id="rId26" Type="http://schemas.openxmlformats.org/officeDocument/2006/relationships/hyperlink" Target="https://datalekken.autoriteitpersoonsgegevens.nl/actionpage?0"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geheimhoudingsverklaring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ng.nl/projecten/gibit" TargetMode="External"/><Relationship Id="rId25" Type="http://schemas.openxmlformats.org/officeDocument/2006/relationships/hyperlink" Target="https://ec.europa.eu/newsroom/article29/item-detail.cfm?item_id=612052"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handreiking-service-level-agreements-sla/" TargetMode="External"/><Relationship Id="rId29"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factsheet-en-beslismodel-verwerkingsverantwoordelijke-of-verwerker/" TargetMode="External"/><Relationship Id="rId32" Type="http://schemas.openxmlformats.org/officeDocument/2006/relationships/hyperlink" Target="http://creativecommons.org/licenses/by-nc-sa/4.0" TargetMode="External"/><Relationship Id="rId5" Type="http://schemas.openxmlformats.org/officeDocument/2006/relationships/numbering" Target="numbering.xml"/><Relationship Id="rId15" Type="http://schemas.openxmlformats.org/officeDocument/2006/relationships/hyperlink" Target="mailto:privacy@vng.nl" TargetMode="External"/><Relationship Id="rId23" Type="http://schemas.openxmlformats.org/officeDocument/2006/relationships/header" Target="header3.xml"/><Relationship Id="rId28" Type="http://schemas.openxmlformats.org/officeDocument/2006/relationships/hyperlink" Target="https://www.informatiebeveiligingsdienst.nl/product/vooringevuld-verwerkingsregister-gemeenten/" TargetMode="External"/><Relationship Id="rId10" Type="http://schemas.openxmlformats.org/officeDocument/2006/relationships/endnotes" Target="endnotes.xml"/><Relationship Id="rId19" Type="http://schemas.openxmlformats.org/officeDocument/2006/relationships/hyperlink" Target="https://www.informatiebeveiligingsdienst.nl/product/inkoopvoorwaarden-en-informatiebeveiligingseisen/" TargetMode="External"/><Relationship Id="rId31"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handleiding-screening-personeel/" TargetMode="External"/><Relationship Id="rId27" Type="http://schemas.openxmlformats.org/officeDocument/2006/relationships/hyperlink" Target="https://www.informatiebeveiligingsdienst.nl/product/vooringevuld-verwerkingsregister-gemeenten/" TargetMode="External"/><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866FD21021704AB72F503679E70B40" ma:contentTypeVersion="14" ma:contentTypeDescription="Een nieuw document maken." ma:contentTypeScope="" ma:versionID="f1d6e2022199b77b6795f235dbbf3852">
  <xsd:schema xmlns:xsd="http://www.w3.org/2001/XMLSchema" xmlns:xs="http://www.w3.org/2001/XMLSchema" xmlns:p="http://schemas.microsoft.com/office/2006/metadata/properties" xmlns:ns2="79205c27-d125-4140-bd10-9cf58c5dcc50" xmlns:ns3="71c3e284-6f9a-4f16-8196-c7a9df99e150" targetNamespace="http://schemas.microsoft.com/office/2006/metadata/properties" ma:root="true" ma:fieldsID="d9dc12b059502455e78c67189f067a06" ns2:_="" ns3:_="">
    <xsd:import namespace="79205c27-d125-4140-bd10-9cf58c5dcc50"/>
    <xsd:import namespace="71c3e284-6f9a-4f16-8196-c7a9df99e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05c27-d125-4140-bd10-9cf58c5dcc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d69a305-5125-47a5-95ea-55e6291bd6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3e284-6f9a-4f16-8196-c7a9df99e15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c090298-2c97-42bf-9615-fe70ef7ac0d3}" ma:internalName="TaxCatchAll" ma:showField="CatchAllData" ma:web="71c3e284-6f9a-4f16-8196-c7a9df99e1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1c3e284-6f9a-4f16-8196-c7a9df99e150" xsi:nil="true"/>
    <lcf76f155ced4ddcb4097134ff3c332f xmlns="79205c27-d125-4140-bd10-9cf58c5dcc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2.xml><?xml version="1.0" encoding="utf-8"?>
<ds:datastoreItem xmlns:ds="http://schemas.openxmlformats.org/officeDocument/2006/customXml" ds:itemID="{54479B67-2B4F-4318-AD63-E8955B249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05c27-d125-4140-bd10-9cf58c5dcc50"/>
    <ds:schemaRef ds:uri="71c3e284-6f9a-4f16-8196-c7a9df99e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71c3e284-6f9a-4f16-8196-c7a9df99e150"/>
    <ds:schemaRef ds:uri="79205c27-d125-4140-bd10-9cf58c5dcc5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10025</Words>
  <Characters>55141</Characters>
  <Application>Microsoft Office Word</Application>
  <DocSecurity>2</DocSecurity>
  <Lines>459</Lines>
  <Paragraphs>130</Paragraphs>
  <ScaleCrop>false</ScaleCrop>
  <Company/>
  <LinksUpToDate>false</LinksUpToDate>
  <CharactersWithSpaces>65036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2026-08-26T09:48:00Z</dcterms:created>
  <dcterms:modified xsi:type="dcterms:W3CDTF">2026-08-26T09:48:00Z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0x010100F9866FD21021704AB72F503679E70B40</vt:lpwstr>
  </property>
  <property fmtid="{D5CDD505-2E9C-101B-9397-08002B2CF9AE}" pid="3" name="MediaServiceImageTags">
    <vt:lpwstr/>
  </property>
</Properties>
</file>