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FE92" w14:textId="77777777" w:rsidR="00905B40" w:rsidRDefault="00000000">
      <w:pPr>
        <w:spacing w:after="120"/>
        <w:jc w:val="center"/>
      </w:pPr>
      <w:r>
        <w:rPr>
          <w:b/>
          <w:bCs/>
          <w:sz w:val="32"/>
          <w:szCs w:val="32"/>
        </w:rPr>
        <w:t>Wachtkamerovereenkomst</w:t>
      </w:r>
    </w:p>
    <w:p w14:paraId="1CFBFE93" w14:textId="77777777" w:rsidR="00905B40" w:rsidRDefault="00000000">
      <w:pPr>
        <w:spacing w:after="80"/>
        <w:jc w:val="center"/>
      </w:pPr>
      <w:r>
        <w:rPr>
          <w:b/>
          <w:bCs/>
          <w:sz w:val="22"/>
          <w:szCs w:val="22"/>
        </w:rPr>
        <w:t>betreffende de Europese niet-openbare aanbesteding</w:t>
      </w:r>
    </w:p>
    <w:p w14:paraId="1CFBFE94" w14:textId="77777777" w:rsidR="00905B40" w:rsidRDefault="00000000">
      <w:pPr>
        <w:spacing w:after="80"/>
        <w:jc w:val="center"/>
      </w:pPr>
      <w:r>
        <w:rPr>
          <w:b/>
          <w:bCs/>
          <w:sz w:val="22"/>
          <w:szCs w:val="22"/>
        </w:rPr>
        <w:t xml:space="preserve">Wijkvernieuwing Gasthuiswijk – </w:t>
      </w:r>
      <w:proofErr w:type="spellStart"/>
      <w:r>
        <w:rPr>
          <w:b/>
          <w:bCs/>
          <w:sz w:val="22"/>
          <w:szCs w:val="22"/>
        </w:rPr>
        <w:t>Haagweg</w:t>
      </w:r>
      <w:proofErr w:type="spellEnd"/>
      <w:r>
        <w:rPr>
          <w:b/>
          <w:bCs/>
          <w:sz w:val="22"/>
          <w:szCs w:val="22"/>
        </w:rPr>
        <w:t xml:space="preserve"> Zuid fase 4</w:t>
      </w:r>
    </w:p>
    <w:p w14:paraId="1CFBFE95" w14:textId="77777777" w:rsidR="00905B40" w:rsidRDefault="00000000">
      <w:pPr>
        <w:spacing w:after="320"/>
        <w:jc w:val="center"/>
      </w:pPr>
      <w:r>
        <w:rPr>
          <w:sz w:val="22"/>
          <w:szCs w:val="22"/>
        </w:rPr>
        <w:t>Contractnummer: 460000[XXXX]</w:t>
      </w:r>
    </w:p>
    <w:p w14:paraId="1CFBFE96" w14:textId="77777777" w:rsidR="00905B40" w:rsidRDefault="00000000">
      <w:pPr>
        <w:keepNext/>
        <w:spacing w:before="280" w:after="140"/>
      </w:pPr>
      <w:r>
        <w:rPr>
          <w:b/>
          <w:bCs/>
          <w:sz w:val="22"/>
          <w:szCs w:val="22"/>
        </w:rPr>
        <w:t>De ondergetekenden</w:t>
      </w:r>
    </w:p>
    <w:p w14:paraId="1CFBFE97" w14:textId="77777777" w:rsidR="00905B40" w:rsidRDefault="00000000">
      <w:pPr>
        <w:spacing w:after="120" w:line="260" w:lineRule="auto"/>
      </w:pPr>
      <w:r>
        <w:rPr>
          <w:b/>
          <w:bCs/>
        </w:rPr>
        <w:t>Gemeente Leiden</w:t>
      </w:r>
      <w:r>
        <w:t xml:space="preserve">, gevestigd te Leiden, KvK-nummer […], te dezen rechtsgeldig vertegenwoordigd door [voorletter(s) en achternaam tekenbevoegde], [functie], hierna te noemen: </w:t>
      </w:r>
      <w:r>
        <w:rPr>
          <w:b/>
          <w:bCs/>
        </w:rPr>
        <w:t>“Opdrachtgever”</w:t>
      </w:r>
      <w:r>
        <w:t>;</w:t>
      </w:r>
    </w:p>
    <w:p w14:paraId="1CFBFE98" w14:textId="77777777" w:rsidR="00905B40" w:rsidRDefault="00000000">
      <w:pPr>
        <w:spacing w:after="120" w:line="260" w:lineRule="auto"/>
      </w:pPr>
      <w:r>
        <w:t>en</w:t>
      </w:r>
    </w:p>
    <w:p w14:paraId="1CFBFE99" w14:textId="77777777" w:rsidR="00905B40" w:rsidRDefault="00000000">
      <w:pPr>
        <w:spacing w:after="120" w:line="260" w:lineRule="auto"/>
      </w:pPr>
      <w:r>
        <w:rPr>
          <w:b/>
          <w:bCs/>
        </w:rPr>
        <w:t>[Naam Inschrijver]</w:t>
      </w:r>
      <w:r>
        <w:t xml:space="preserve">, gevestigd te [plaatsnaam], KvK-nummer […] en KvK-vestigingsnummer […], te dezen rechtsgeldig vertegenwoordigd door [voorletter(s) en achternaam tekenbevoegde], [functie], hierna te noemen: </w:t>
      </w:r>
      <w:r>
        <w:rPr>
          <w:b/>
          <w:bCs/>
        </w:rPr>
        <w:t>“Inschrijver”</w:t>
      </w:r>
      <w:r>
        <w:t>;</w:t>
      </w:r>
    </w:p>
    <w:p w14:paraId="1CFBFE9A" w14:textId="77777777" w:rsidR="00905B40" w:rsidRDefault="00000000">
      <w:pPr>
        <w:spacing w:after="120" w:line="260" w:lineRule="auto"/>
      </w:pPr>
      <w:r>
        <w:t xml:space="preserve">gezamenlijk te noemen: </w:t>
      </w:r>
      <w:r>
        <w:rPr>
          <w:b/>
          <w:bCs/>
        </w:rPr>
        <w:t>“Partijen”</w:t>
      </w:r>
      <w:r>
        <w:t>.</w:t>
      </w:r>
    </w:p>
    <w:p w14:paraId="1CFBFE9B" w14:textId="77777777" w:rsidR="00905B40" w:rsidRDefault="00000000">
      <w:pPr>
        <w:keepNext/>
        <w:spacing w:before="280" w:after="140"/>
      </w:pPr>
      <w:r>
        <w:rPr>
          <w:b/>
          <w:bCs/>
          <w:sz w:val="22"/>
          <w:szCs w:val="22"/>
        </w:rPr>
        <w:t>Overwegende dat</w:t>
      </w:r>
    </w:p>
    <w:p w14:paraId="1CFBFE9C" w14:textId="77777777" w:rsidR="00905B40" w:rsidRDefault="00000000">
      <w:pPr>
        <w:pStyle w:val="Lijstalinea"/>
        <w:numPr>
          <w:ilvl w:val="0"/>
          <w:numId w:val="2"/>
        </w:numPr>
        <w:spacing w:after="120" w:line="260" w:lineRule="auto"/>
      </w:pPr>
      <w:r>
        <w:t xml:space="preserve">Opdrachtgever een Europese niet-openbare aanbesteding conform het ARW 2016 heeft gehouden voor de opdracht Wijkvernieuwing Gasthuiswijk – </w:t>
      </w:r>
      <w:proofErr w:type="spellStart"/>
      <w:r>
        <w:t>Haagweg</w:t>
      </w:r>
      <w:proofErr w:type="spellEnd"/>
      <w:r>
        <w:t xml:space="preserve"> Zuid fase 4 (hierna: de “Aanbesteding”), waarbij na de selectiefase minimaal vijf (5) gegadigden zijn uitgenodigd tot inschrijving, tenzij het aantal geschikte gegadigden lager was, en gegund op basis van de beste prijs-kwaliteitverhouding, waarbij kwaliteit leidend is en prijs uitsluitend toetsend is ingezet;</w:t>
      </w:r>
    </w:p>
    <w:p w14:paraId="1CFBFE9D" w14:textId="2A31DBFF" w:rsidR="00905B40" w:rsidRDefault="00000000">
      <w:pPr>
        <w:pStyle w:val="Lijstalinea"/>
        <w:numPr>
          <w:ilvl w:val="0"/>
          <w:numId w:val="2"/>
        </w:numPr>
        <w:spacing w:after="120" w:line="260" w:lineRule="auto"/>
      </w:pPr>
      <w:r>
        <w:t>de opdracht bestaat uit een bouwteam-/engineeringfase (het in bouwteamverband uitwerken van het vastgestelde Definitief Ontwerp tot een uitvoerbaar RAW-bestek met bijbehorende producten) en een beoogde realisatiefase onder de UAV 2012, waarbij Opdrachtgever met de winnende inschrijver eerst een bouwteamovereenkomst sluit en daarna</w:t>
      </w:r>
      <w:r w:rsidR="008574E5">
        <w:t>,</w:t>
      </w:r>
      <w:r>
        <w:t xml:space="preserve"> na een positieve Go/No-Go</w:t>
      </w:r>
      <w:r w:rsidR="008574E5">
        <w:t>,</w:t>
      </w:r>
      <w:r>
        <w:t xml:space="preserve"> een </w:t>
      </w:r>
      <w:r w:rsidR="008574E5">
        <w:t>aannemingsovereenkomst</w:t>
      </w:r>
      <w:r>
        <w:t>;</w:t>
      </w:r>
    </w:p>
    <w:p w14:paraId="3BF5379D" w14:textId="77777777" w:rsidR="002E300B" w:rsidRDefault="002E300B" w:rsidP="002E300B">
      <w:pPr>
        <w:pStyle w:val="Lijstalinea"/>
        <w:numPr>
          <w:ilvl w:val="0"/>
          <w:numId w:val="2"/>
        </w:numPr>
        <w:spacing w:after="120" w:line="260" w:lineRule="auto"/>
      </w:pPr>
      <w:r>
        <w:t>voor de realisatiefase een taakstellend budget geldt zoals omschreven in de aanbestedingsleidraad (hierna: het “Taakstellend Budget”), dat het financiële kader vormt waarbinnen het ontwerp wordt uitgewerkt en de realisatie wordt aangeboden; overschrijding van het Taakstellend Budget leidt niet zonder meer tot ongeldigheid van een aanbieding of tot uitsluiting, maar geeft Opdrachtgever de in deze Overeenkomst omschreven rechten;</w:t>
      </w:r>
    </w:p>
    <w:p w14:paraId="1CFBFE9E" w14:textId="77777777" w:rsidR="00905B40" w:rsidRDefault="00000000">
      <w:pPr>
        <w:pStyle w:val="Lijstalinea"/>
        <w:numPr>
          <w:ilvl w:val="0"/>
          <w:numId w:val="2"/>
        </w:numPr>
        <w:spacing w:after="120" w:line="260" w:lineRule="auto"/>
      </w:pPr>
      <w:r>
        <w:t>Inschrijver op [datum inschrijving] een geldige inschrijving heeft ingediend en op basis van de beoordeling als nummer [X] in de rangorde is geëindigd;</w:t>
      </w:r>
    </w:p>
    <w:p w14:paraId="1CFBFE9F" w14:textId="77777777" w:rsidR="00905B40" w:rsidRDefault="00000000">
      <w:pPr>
        <w:pStyle w:val="Lijstalinea"/>
        <w:numPr>
          <w:ilvl w:val="0"/>
          <w:numId w:val="2"/>
        </w:numPr>
        <w:spacing w:after="120" w:line="260" w:lineRule="auto"/>
      </w:pPr>
      <w:r>
        <w:t>Opdrachtgever de opdracht als nummer 1 in de rangorde heeft gegund aan [naam winnaar] (hierna: de “Bouwteampartner”), met wie de bouwteamovereenkomst is of wordt gesloten;</w:t>
      </w:r>
    </w:p>
    <w:p w14:paraId="1CFBFEA0" w14:textId="77777777" w:rsidR="00905B40" w:rsidRDefault="00000000">
      <w:pPr>
        <w:pStyle w:val="Lijstalinea"/>
        <w:numPr>
          <w:ilvl w:val="0"/>
          <w:numId w:val="2"/>
        </w:numPr>
        <w:spacing w:after="120" w:line="260" w:lineRule="auto"/>
      </w:pPr>
      <w:r>
        <w:t xml:space="preserve">Opdrachtgever de mogelijkheid wenst te behouden om, zonder </w:t>
      </w:r>
      <w:proofErr w:type="spellStart"/>
      <w:r>
        <w:t>heraanbesteding</w:t>
      </w:r>
      <w:proofErr w:type="spellEnd"/>
      <w:r>
        <w:t xml:space="preserve"> en binnen de aanbestedingsrechtelijke kaders, terug te vallen op de overige inschrijvers indien de samenwerking met de Bouwteampartner niet tot een uitvoerbare bouwteam- en/of realisatiefase leidt (de “Wachtkamerconstructie”), zoals aangekondigd in de aanbestedingsleidraad en verankerd in de bouwteamovereenkomst;</w:t>
      </w:r>
    </w:p>
    <w:p w14:paraId="1CFBFEA1" w14:textId="77777777" w:rsidR="00905B40" w:rsidRDefault="00000000">
      <w:pPr>
        <w:pStyle w:val="Lijstalinea"/>
        <w:numPr>
          <w:ilvl w:val="0"/>
          <w:numId w:val="2"/>
        </w:numPr>
        <w:spacing w:after="120" w:line="260" w:lineRule="auto"/>
      </w:pPr>
      <w:r>
        <w:t>de Wachtkamerconstructie twee varianten kent: (a) het uitnodigen van de eerstvolgende inschrijver in de rangorde voor de bouwteamfase indien die fase voortijdig eindigt, en (b) het in concurrentie uitvragen van de realisatiefase onder alle overige inschrijvers op basis van de in de bouwteamfase opgestelde producten indien de Go/No-Go niet tot gunning aan de Bouwteampartner leidt;</w:t>
      </w:r>
    </w:p>
    <w:p w14:paraId="1CFBFEA2" w14:textId="77777777" w:rsidR="00905B40" w:rsidRDefault="00000000">
      <w:pPr>
        <w:pStyle w:val="Lijstalinea"/>
        <w:numPr>
          <w:ilvl w:val="0"/>
          <w:numId w:val="2"/>
        </w:numPr>
        <w:spacing w:after="120" w:line="260" w:lineRule="auto"/>
      </w:pPr>
      <w:r>
        <w:t>Opdrachtgever met iedere inschrijver met een geldige inschrijving, met uitzondering van de Bouwteampartner, een gelijkluidende wachtkamerovereenkomst sluit (hierna gezamenlijk: de “Wachtkamerpartijen”);</w:t>
      </w:r>
    </w:p>
    <w:p w14:paraId="1CFBFEA3" w14:textId="77777777" w:rsidR="00905B40" w:rsidRDefault="00000000">
      <w:pPr>
        <w:pStyle w:val="Lijstalinea"/>
        <w:numPr>
          <w:ilvl w:val="0"/>
          <w:numId w:val="2"/>
        </w:numPr>
        <w:spacing w:after="120" w:line="260" w:lineRule="auto"/>
      </w:pPr>
      <w:r>
        <w:lastRenderedPageBreak/>
        <w:t>Partijen daartoe deze wachtkamerovereenkomst (hierna: de “Overeenkomst”) aangaan onder de navolgende voorwaarden.</w:t>
      </w:r>
    </w:p>
    <w:p w14:paraId="1CFBFEA4" w14:textId="77777777" w:rsidR="00905B40" w:rsidRDefault="00000000">
      <w:pPr>
        <w:keepNext/>
        <w:spacing w:before="280" w:after="140"/>
      </w:pPr>
      <w:r>
        <w:rPr>
          <w:b/>
          <w:bCs/>
          <w:sz w:val="22"/>
          <w:szCs w:val="22"/>
        </w:rPr>
        <w:t>Komen het volgende overeen</w:t>
      </w:r>
    </w:p>
    <w:p w14:paraId="1CFBFEA5" w14:textId="77777777" w:rsidR="00905B40" w:rsidRDefault="00000000">
      <w:pPr>
        <w:keepNext/>
        <w:spacing w:before="280" w:after="140"/>
      </w:pPr>
      <w:r>
        <w:rPr>
          <w:b/>
          <w:bCs/>
          <w:sz w:val="22"/>
          <w:szCs w:val="22"/>
        </w:rPr>
        <w:t>1. Doel en reikwijdte</w:t>
      </w:r>
    </w:p>
    <w:p w14:paraId="1CFBFEA6" w14:textId="77777777" w:rsidR="00905B40" w:rsidRDefault="00000000">
      <w:pPr>
        <w:spacing w:after="120" w:line="260" w:lineRule="auto"/>
        <w:ind w:left="567" w:hanging="567"/>
      </w:pPr>
      <w:r>
        <w:t>1.1</w:t>
      </w:r>
      <w:r>
        <w:tab/>
        <w:t>Deze Overeenkomst geeft Opdrachtgever het recht om Inschrijver, als Wachtkamerpartij, aan te spreken om de opdracht (geheel of gedeeltelijk) over te nemen in de gevallen genoemd in de artikelen 2 en 3, onder de daar beschreven voorwaarden.</w:t>
      </w:r>
    </w:p>
    <w:p w14:paraId="1CFBFEA7" w14:textId="6A35FA72" w:rsidR="00905B40" w:rsidRDefault="00000000">
      <w:pPr>
        <w:spacing w:after="120" w:line="260" w:lineRule="auto"/>
        <w:ind w:left="567" w:hanging="567"/>
      </w:pPr>
      <w:r>
        <w:t>1.2</w:t>
      </w:r>
      <w:r>
        <w:tab/>
        <w:t>Onder Wachtkamerpartijen wordt verstaan: alle inschrijvers die in de Aanbesteding een geldige inschrijving hebben ingediend en aan wie de opdracht niet is gegund, derhalve de nummers 2 tot en met 5 van de rangorde. Indien het aantal geldige inschrijvingen lager is, geldt de Wachtkamerconstructie voor het resterende aantal partijen. Met iedere Wachtkamerpartij wordt een gelijkluidende overeenkomst gesloten.</w:t>
      </w:r>
    </w:p>
    <w:p w14:paraId="1CFBFEA8" w14:textId="77777777" w:rsidR="00905B40" w:rsidRDefault="00000000">
      <w:pPr>
        <w:spacing w:after="120" w:line="260" w:lineRule="auto"/>
        <w:ind w:left="567" w:hanging="567"/>
      </w:pPr>
      <w:r>
        <w:t>1.3</w:t>
      </w:r>
      <w:r>
        <w:tab/>
        <w:t>Aan deze Overeenkomst kan Inschrijver geen recht op gunning ontlenen. Zij verplicht Opdrachtgever niet tot toepassing van de Wachtkamerconstructie. De Wachtkamerconstructie is een vangnet en geen beoogde route; uitgangspunt blijft dat de Bouwteampartner na een positieve bouwteamfase ook de realisatie uitvoert.</w:t>
      </w:r>
    </w:p>
    <w:p w14:paraId="1CFBFEA9" w14:textId="77777777" w:rsidR="00905B40" w:rsidRDefault="00000000">
      <w:pPr>
        <w:keepNext/>
        <w:spacing w:before="280" w:after="140"/>
      </w:pPr>
      <w:r>
        <w:rPr>
          <w:b/>
          <w:bCs/>
          <w:sz w:val="22"/>
          <w:szCs w:val="22"/>
        </w:rPr>
        <w:t>2. Variant A – voortijdig einde van de bouwteamfase (rangorde)</w:t>
      </w:r>
    </w:p>
    <w:p w14:paraId="1CFBFEAA" w14:textId="66FC9578" w:rsidR="00905B40" w:rsidRDefault="00000000">
      <w:pPr>
        <w:spacing w:after="120" w:line="260" w:lineRule="auto"/>
        <w:ind w:left="567" w:hanging="567"/>
      </w:pPr>
      <w:r>
        <w:t>2.1</w:t>
      </w:r>
      <w:r>
        <w:tab/>
        <w:t xml:space="preserve">Indien de bouwteamovereenkomst met de Bouwteampartner niet tot stand komt, wordt ontbonden of wordt opgezegd vóórdat de bouwteamfase is afgerond en vóórdat het Go/No-Go-besluit is genomen, kan Opdrachtgever de op dat moment hoogst geplaatste beschikbare Wachtkamerpartij uitnodigen de bouwteamovereenkomst aan te gaan. Opdrachtgever volgt daarbij de rangorde van </w:t>
      </w:r>
      <w:r w:rsidR="00694DD2">
        <w:t xml:space="preserve">het gunningsbesluit van </w:t>
      </w:r>
      <w:r>
        <w:t>de Aanbesteding</w:t>
      </w:r>
      <w:r w:rsidR="00694DD2">
        <w:t>.</w:t>
      </w:r>
    </w:p>
    <w:p w14:paraId="1CFBFEAB" w14:textId="77777777" w:rsidR="00905B40" w:rsidRDefault="00000000">
      <w:pPr>
        <w:spacing w:after="120" w:line="260" w:lineRule="auto"/>
        <w:ind w:left="567" w:hanging="567"/>
      </w:pPr>
      <w:r>
        <w:t>2.2</w:t>
      </w:r>
      <w:r>
        <w:tab/>
        <w:t>In dit geval vindt geen concurrentiestelling plaats; de rangorde uit de Aanbesteding is leidend.</w:t>
      </w:r>
    </w:p>
    <w:p w14:paraId="1CFBFEAC" w14:textId="77777777" w:rsidR="00905B40" w:rsidRDefault="00000000">
      <w:pPr>
        <w:spacing w:after="120" w:line="260" w:lineRule="auto"/>
        <w:ind w:left="567" w:hanging="567"/>
      </w:pPr>
      <w:r>
        <w:t>2.3</w:t>
      </w:r>
      <w:r>
        <w:tab/>
        <w:t>Inschrijver treedt bij toepassing van artikel 2.1 in de positie van de Bouwteampartner. De bouwteamovereenkomst en de daaraan verbonden appendices gelden onverkort voor Inschrijver, voor de resterende looptijd en scope en onder gelijke voorwaarden als die met de Bouwteampartner golden. De in de inschrijving van Inschrijver opgenomen (</w:t>
      </w:r>
      <w:proofErr w:type="spellStart"/>
      <w:r>
        <w:t>kwaliteits</w:t>
      </w:r>
      <w:proofErr w:type="spellEnd"/>
      <w:r>
        <w:t>)toezeggingen blijven van toepassing voor zover door Opdrachtgever aanvaard.</w:t>
      </w:r>
    </w:p>
    <w:p w14:paraId="1CFBFEAD" w14:textId="77777777" w:rsidR="00905B40" w:rsidRDefault="00000000">
      <w:pPr>
        <w:spacing w:after="120" w:line="260" w:lineRule="auto"/>
        <w:ind w:left="567" w:hanging="567"/>
      </w:pPr>
      <w:r>
        <w:t>2.4</w:t>
      </w:r>
      <w:r>
        <w:tab/>
        <w:t>Voor zover in de bouwteamfase reeds producten zijn opgesteld en door Opdrachtgever geaccepteerd, worden deze aan Inschrijver ter beschikking gesteld als vertrekpunt voor de verdere uitwerking.</w:t>
      </w:r>
    </w:p>
    <w:p w14:paraId="1CFBFEAE" w14:textId="77777777" w:rsidR="00905B40" w:rsidRDefault="00000000">
      <w:pPr>
        <w:spacing w:after="120" w:line="260" w:lineRule="auto"/>
        <w:ind w:left="567" w:hanging="567"/>
      </w:pPr>
      <w:r>
        <w:t>2.5</w:t>
      </w:r>
      <w:r>
        <w:tab/>
        <w:t>Het Go/No-Go-besluit over de realisatiefase geldt onverkort ook voor Inschrijver. Leidt dat besluit niet tot gunning van de realisatiefase aan Inschrijver, dan kan Opdrachtgever artikel 3 toepassen ten aanzien van de op dat moment resterende Wachtkamerpartijen.</w:t>
      </w:r>
    </w:p>
    <w:p w14:paraId="1CFBFEAF" w14:textId="77777777" w:rsidR="00905B40" w:rsidRDefault="00000000">
      <w:pPr>
        <w:keepNext/>
        <w:spacing w:before="280" w:after="140"/>
      </w:pPr>
      <w:r>
        <w:rPr>
          <w:b/>
          <w:bCs/>
          <w:sz w:val="22"/>
          <w:szCs w:val="22"/>
        </w:rPr>
        <w:t>3. Variant B – geen gunning realisatiefase (uitvraag in concurrentie)</w:t>
      </w:r>
    </w:p>
    <w:p w14:paraId="1CFBFEB0" w14:textId="07B15F1D" w:rsidR="00905B40" w:rsidRDefault="00000000">
      <w:pPr>
        <w:spacing w:after="120" w:line="260" w:lineRule="auto"/>
        <w:ind w:left="567" w:hanging="567"/>
      </w:pPr>
      <w:r>
        <w:t>3.1</w:t>
      </w:r>
      <w:r>
        <w:tab/>
      </w:r>
      <w:r w:rsidR="006C133B">
        <w:t>Indien Partijen bij de bouwteamovereenkomst geen overeenstemming bereiken over de realisatieaanbieding, de marktconformiteit van die aanbieding niet aantoonbaar kan worden vastgesteld, of het Taakstellend Budget wordt overschreden en Partijen geen overeenstemming bereiken over ontwerp-, uitvoerings- of scopemaatregelen om alsnog binnen dat budget te komen, en Opdrachtgever de realisatiefase daarom niet aan de Bouwteampartner gunt, kan Opdrachtgever de realisatiefase in concurrentie uitvragen bij de Wachtkamerpartijen.</w:t>
      </w:r>
    </w:p>
    <w:p w14:paraId="1CFBFEB1" w14:textId="77777777" w:rsidR="00905B40" w:rsidRDefault="00000000">
      <w:pPr>
        <w:spacing w:after="120" w:line="260" w:lineRule="auto"/>
        <w:ind w:left="567" w:hanging="567"/>
      </w:pPr>
      <w:r>
        <w:t>3.2</w:t>
      </w:r>
      <w:r>
        <w:tab/>
        <w:t>Opdrachtgever nodigt in dat geval alle Wachtkamerpartijen gelijktijdig en op gelijke wijze uit om een aanbieding voor de realisatiefase te doen. De Bouwteampartner neemt aan deze uitvraag niet deel.</w:t>
      </w:r>
    </w:p>
    <w:p w14:paraId="1CFBFEB2" w14:textId="77777777" w:rsidR="00905B40" w:rsidRDefault="00000000">
      <w:pPr>
        <w:spacing w:after="120" w:line="260" w:lineRule="auto"/>
        <w:ind w:left="567" w:hanging="567"/>
      </w:pPr>
      <w:r>
        <w:t>3.3</w:t>
      </w:r>
      <w:r>
        <w:tab/>
        <w:t>Opdrachtgever stelt aan iedere Wachtkamerpartij dezelfde stukken ter beschikking, waaronder in ieder geval het in de bouwteamfase opgestelde en door Opdrachtgever geaccepteerde RAW-</w:t>
      </w:r>
      <w:r>
        <w:lastRenderedPageBreak/>
        <w:t>bestek, de uitvoeringstekeningen en de overige relevante geaccepteerde bouwteamproducten, alsmede de uitvraagbrief met de van toepassing zijnde voorwaarden, planning en indieningsvereisten.</w:t>
      </w:r>
    </w:p>
    <w:p w14:paraId="1CFBFEB3" w14:textId="5B9E7383" w:rsidR="00905B40" w:rsidRDefault="00000000">
      <w:pPr>
        <w:spacing w:after="120" w:line="260" w:lineRule="auto"/>
        <w:ind w:left="567" w:hanging="567"/>
      </w:pPr>
      <w:r>
        <w:t>3.4</w:t>
      </w:r>
      <w:r>
        <w:tab/>
        <w:t xml:space="preserve">Inschrijver dient zijn aanbieding in uiterlijk </w:t>
      </w:r>
      <w:r w:rsidR="00C507E1">
        <w:t>zes</w:t>
      </w:r>
      <w:r>
        <w:t xml:space="preserve"> (</w:t>
      </w:r>
      <w:r w:rsidR="00C507E1">
        <w:t>6</w:t>
      </w:r>
      <w:r>
        <w:t xml:space="preserve">) </w:t>
      </w:r>
      <w:r w:rsidR="00C507E1">
        <w:t>weken</w:t>
      </w:r>
      <w:r>
        <w:t xml:space="preserve"> na dagtekening van de in artikel 6.1 bedoelde kennisgeving. Opdrachtgever kan deze termijn verlengen; verkorting is uitsluitend mogelijk met instemming van alle Wachtkamerpartijen. Vragen worden beantwoord in een nota van inlichtingen die gelijktijdig aan alle Wachtkamerpartijen wordt verstrekt.</w:t>
      </w:r>
    </w:p>
    <w:p w14:paraId="1CFBFEB4" w14:textId="4F46B666" w:rsidR="00905B40" w:rsidRDefault="00000000">
      <w:pPr>
        <w:spacing w:after="120" w:line="260" w:lineRule="auto"/>
        <w:ind w:left="567" w:hanging="567"/>
      </w:pPr>
      <w:r>
        <w:t>3.5</w:t>
      </w:r>
      <w:r>
        <w:tab/>
      </w:r>
      <w:r w:rsidR="00AF60FF">
        <w:t xml:space="preserve">Gunningscriterium bij de uitvraag in concurrentie is de laagste prijs voor de realisatie op basis van het ter beschikking gestelde bestek. Opdrachtgever gunt aan de Wachtkamerpartij met de laagste geldige inschrijfsom, mits die inschrijving </w:t>
      </w:r>
      <w:proofErr w:type="spellStart"/>
      <w:r w:rsidR="00AF60FF">
        <w:t>besteksconform</w:t>
      </w:r>
      <w:proofErr w:type="spellEnd"/>
      <w:r w:rsidR="00AF60FF">
        <w:t xml:space="preserve"> is. Bij gelijke inschrijfsommen wordt door loting bepaald aan welke partij wordt gegund.</w:t>
      </w:r>
    </w:p>
    <w:p w14:paraId="4FE861AE" w14:textId="69BD4B60" w:rsidR="004A40B9" w:rsidRDefault="004A40B9">
      <w:pPr>
        <w:spacing w:after="120" w:line="260" w:lineRule="auto"/>
        <w:ind w:left="567" w:hanging="567"/>
      </w:pPr>
      <w:r>
        <w:t>3.6</w:t>
      </w:r>
      <w:r>
        <w:tab/>
      </w:r>
      <w:r w:rsidRPr="004A40B9">
        <w:t>Het Taakstellend Budget vormt geen geldigheidseis. Een inschrijfsom die het Taakstellend Budget overschrijdt, wordt niet om die reden terzijde gelegd, onverminderd het bepaalde in artikel 3.9. Inschrijver dient bij zijn aanbieding een ontlede inschrijfstaat in, zodat Opdrachtgever de aanbieding niet alleen op het totaalbedrag maar ook per post op realiteitsgehalte kan beoordelen.</w:t>
      </w:r>
    </w:p>
    <w:p w14:paraId="1CFBFEB5" w14:textId="3F604EB0" w:rsidR="00905B40" w:rsidRDefault="00000000">
      <w:pPr>
        <w:spacing w:after="120" w:line="260" w:lineRule="auto"/>
        <w:ind w:left="567" w:hanging="567"/>
      </w:pPr>
      <w:r>
        <w:t>3.</w:t>
      </w:r>
      <w:r w:rsidR="004A40B9">
        <w:t>7</w:t>
      </w:r>
      <w:r>
        <w:tab/>
        <w:t xml:space="preserve">Een inschrijving die niet </w:t>
      </w:r>
      <w:proofErr w:type="spellStart"/>
      <w:r>
        <w:t>besteksconform</w:t>
      </w:r>
      <w:proofErr w:type="spellEnd"/>
      <w:r>
        <w:t xml:space="preserve"> is, voorwaarden of voorbehouden bevat, niet tijdig is ingediend of anderszins niet aan de uitvraag voldoet, wordt terzijde gelegd. Bij een inschrijving die abnormaal laag lijkt, handelt Opdrachtgever conform het bepaalde daarover in het ARW 2016.</w:t>
      </w:r>
    </w:p>
    <w:p w14:paraId="1CFBFEB6" w14:textId="59ABF01C" w:rsidR="00905B40" w:rsidRDefault="00000000">
      <w:pPr>
        <w:spacing w:after="120" w:line="260" w:lineRule="auto"/>
        <w:ind w:left="567" w:hanging="567"/>
      </w:pPr>
      <w:r>
        <w:t>3.</w:t>
      </w:r>
      <w:r w:rsidR="004A40B9">
        <w:t>8</w:t>
      </w:r>
      <w:r>
        <w:tab/>
        <w:t xml:space="preserve">Inschrijver houdt zijn aanbieding gestand gedurende </w:t>
      </w:r>
      <w:r w:rsidR="000F2682">
        <w:t>negentig</w:t>
      </w:r>
      <w:r>
        <w:t xml:space="preserve"> (</w:t>
      </w:r>
      <w:r w:rsidR="000F2682">
        <w:t>90)</w:t>
      </w:r>
      <w:r>
        <w:t xml:space="preserve"> dagen na de uiterste indieningsdatum.</w:t>
      </w:r>
    </w:p>
    <w:p w14:paraId="1CFBFEB7" w14:textId="0B2ECB39" w:rsidR="00905B40" w:rsidRDefault="00000000">
      <w:pPr>
        <w:spacing w:after="120" w:line="260" w:lineRule="auto"/>
        <w:ind w:left="567" w:hanging="567"/>
      </w:pPr>
      <w:r>
        <w:t>3.</w:t>
      </w:r>
      <w:r w:rsidR="004A40B9">
        <w:t>9</w:t>
      </w:r>
      <w:r>
        <w:tab/>
      </w:r>
      <w:r w:rsidR="00D63C6A">
        <w:t xml:space="preserve">Onderhandelen over de inschrijfsom vindt niet plaats. Opdrachtgever behoudt zich uitdrukkelijk het recht voor de opdracht niet te gunnen en de opdracht opnieuw aan te besteden indien geen van de ontvangen aanbiedingen binnen het Taakstellend Budget blijft, dan wel indien de laagste geldige inschrijfsom het Taakstellend Budget zodanig overschrijdt dat gunning niet verantwoord is. </w:t>
      </w:r>
    </w:p>
    <w:p w14:paraId="1CFBFEB8" w14:textId="77777777" w:rsidR="00905B40" w:rsidRDefault="00000000">
      <w:pPr>
        <w:keepNext/>
        <w:spacing w:before="280" w:after="140"/>
      </w:pPr>
      <w:r>
        <w:rPr>
          <w:b/>
          <w:bCs/>
          <w:sz w:val="22"/>
          <w:szCs w:val="22"/>
        </w:rPr>
        <w:t>4. Verplichtingen van Inschrijver</w:t>
      </w:r>
    </w:p>
    <w:p w14:paraId="1CFBFEB9" w14:textId="77777777" w:rsidR="00905B40" w:rsidRDefault="00000000">
      <w:pPr>
        <w:spacing w:after="120" w:line="260" w:lineRule="auto"/>
        <w:ind w:left="567" w:hanging="567"/>
      </w:pPr>
      <w:r>
        <w:t>4.1</w:t>
      </w:r>
      <w:r>
        <w:tab/>
        <w:t>Inschrijver is verplicht om op verzoek van Opdrachtgever een aanbieding te doen overeenkomstig artikel 2 respectievelijk artikel 3, en om, indien de opdracht op grond van deze Overeenkomst aan hem wordt gegund, die opdracht aan te vangen en uit te voeren.</w:t>
      </w:r>
    </w:p>
    <w:p w14:paraId="1CFBFEBA" w14:textId="77777777" w:rsidR="00905B40" w:rsidRDefault="00000000">
      <w:pPr>
        <w:spacing w:after="120" w:line="260" w:lineRule="auto"/>
        <w:ind w:left="567" w:hanging="567"/>
      </w:pPr>
      <w:r>
        <w:t>4.2</w:t>
      </w:r>
      <w:r>
        <w:tab/>
        <w:t xml:space="preserve">De aanbieding van Inschrijver is </w:t>
      </w:r>
      <w:proofErr w:type="spellStart"/>
      <w:r>
        <w:t>besteksconform</w:t>
      </w:r>
      <w:proofErr w:type="spellEnd"/>
      <w:r>
        <w:t>, realistisch en zonder voorbehouden. Het indienen van een aanbieding die kennelijk niet serieus is bedoeld of die uitsluitend tot doel heeft niet voor gunning in aanmerking te komen, geldt als het niet nakomen van de verplichting uit artikel 4.1.</w:t>
      </w:r>
    </w:p>
    <w:p w14:paraId="1CFBFEBB" w14:textId="27286BB0" w:rsidR="00905B40" w:rsidRDefault="00000000">
      <w:pPr>
        <w:spacing w:after="120" w:line="260" w:lineRule="auto"/>
        <w:ind w:left="567" w:hanging="567"/>
      </w:pPr>
      <w:r>
        <w:t>4.3</w:t>
      </w:r>
      <w:r>
        <w:tab/>
        <w:t>Komt Inschrijver de verplichting uit artikel 4.1 niet na, dan is hij van rechtswege in verzuim en kan Opdrachtgever de opdracht aan een andere Wachtkamerpartij gunnen, onverminderd het recht van Opdrachtgever op vergoeding van de daardoor geleden schade.</w:t>
      </w:r>
    </w:p>
    <w:p w14:paraId="1CFBFEBC" w14:textId="77777777" w:rsidR="00905B40" w:rsidRDefault="00000000">
      <w:pPr>
        <w:spacing w:after="120" w:line="260" w:lineRule="auto"/>
        <w:ind w:left="567" w:hanging="567"/>
      </w:pPr>
      <w:r>
        <w:t>4.4</w:t>
      </w:r>
      <w:r>
        <w:tab/>
        <w:t>Inschrijver spant zich in om zo spoedig mogelijk na ondertekening van de in artikel 5 bedoelde overeenkomst met de uitvoering te starten. Partijen maken nadere afspraken over de fasering, de mijlpalen en de overdracht van de bouwteamproducten, met inachtneming van het gestelde in deze Overeenkomst.</w:t>
      </w:r>
    </w:p>
    <w:p w14:paraId="1CFBFEBD" w14:textId="77777777" w:rsidR="00905B40" w:rsidRDefault="00000000">
      <w:pPr>
        <w:spacing w:after="120" w:line="260" w:lineRule="auto"/>
        <w:ind w:left="567" w:hanging="567"/>
      </w:pPr>
      <w:r>
        <w:t>4.5</w:t>
      </w:r>
      <w:r>
        <w:tab/>
        <w:t>Inschrijver blijft gedurende de looptijd van deze Overeenkomst voldoen aan de in de Aanbesteding gestelde uitsluitingsgronden, geschiktheidseisen en selectiecriteria, en meldt relevante wijzigingen daarin onverwijld schriftelijk aan Opdrachtgever.</w:t>
      </w:r>
    </w:p>
    <w:p w14:paraId="1CFBFEBE" w14:textId="77777777" w:rsidR="00905B40" w:rsidRDefault="00000000">
      <w:pPr>
        <w:keepNext/>
        <w:spacing w:before="280" w:after="140"/>
      </w:pPr>
      <w:r>
        <w:rPr>
          <w:b/>
          <w:bCs/>
          <w:sz w:val="22"/>
          <w:szCs w:val="22"/>
        </w:rPr>
        <w:t>5. Totstandkoming van de overeenkomst en verantwoordelijkheden</w:t>
      </w:r>
    </w:p>
    <w:p w14:paraId="1CFBFEBF" w14:textId="77777777" w:rsidR="00905B40" w:rsidRDefault="00000000">
      <w:pPr>
        <w:spacing w:after="120" w:line="260" w:lineRule="auto"/>
        <w:ind w:left="567" w:hanging="567"/>
      </w:pPr>
      <w:r>
        <w:t>5.1</w:t>
      </w:r>
      <w:r>
        <w:tab/>
        <w:t>Bij toepassing van artikel 2 komt met Inschrijver een bouwteamovereenkomst tot stand overeenkomstig het model dat in de Aanbesteding ter beschikking is gesteld.</w:t>
      </w:r>
    </w:p>
    <w:p w14:paraId="1CFBFEC0" w14:textId="77777777" w:rsidR="00905B40" w:rsidRDefault="00000000">
      <w:pPr>
        <w:spacing w:after="120" w:line="260" w:lineRule="auto"/>
        <w:ind w:left="567" w:hanging="567"/>
      </w:pPr>
      <w:r>
        <w:lastRenderedPageBreak/>
        <w:t>5.2</w:t>
      </w:r>
      <w:r>
        <w:tab/>
        <w:t>Bij toepassing van artikel 3 komt de uitvoeringsovereenkomst tot stand op basis van het geaccepteerde RAW-bestek onder de UAV 2012, tegen de door Inschrijver aangeboden en door Opdrachtgever aanvaarde inschrijfsom.</w:t>
      </w:r>
    </w:p>
    <w:p w14:paraId="1CFBFEC1" w14:textId="77777777" w:rsidR="00905B40" w:rsidRDefault="00000000">
      <w:pPr>
        <w:spacing w:after="120" w:line="260" w:lineRule="auto"/>
        <w:ind w:left="567" w:hanging="567"/>
      </w:pPr>
      <w:r>
        <w:t>5.3</w:t>
      </w:r>
      <w:r>
        <w:tab/>
        <w:t>Opdrachtgever staat ervoor in dat de ter beschikking gestelde bouwteamproducten door Inschrijver mogen worden gebruikt voor de realisatie van de opdracht. Het daartoe benodigde gebruiksrecht is in de bouwteamovereenkomst met de Bouwteampartner geborgd.</w:t>
      </w:r>
    </w:p>
    <w:p w14:paraId="1CFBFEC2" w14:textId="77777777" w:rsidR="00905B40" w:rsidRDefault="00000000">
      <w:pPr>
        <w:spacing w:after="120" w:line="260" w:lineRule="auto"/>
        <w:ind w:left="567" w:hanging="567"/>
      </w:pPr>
      <w:r>
        <w:t>5.4</w:t>
      </w:r>
      <w:r>
        <w:tab/>
        <w:t xml:space="preserve">Op de ter beschikking gestelde </w:t>
      </w:r>
      <w:proofErr w:type="spellStart"/>
      <w:r>
        <w:t>besteksstukken</w:t>
      </w:r>
      <w:proofErr w:type="spellEnd"/>
      <w:r>
        <w:t xml:space="preserve"> zijn de verantwoordelijkheidsverdeling en de waarschuwingsplicht uit de UAV 2012 van toepassing.</w:t>
      </w:r>
    </w:p>
    <w:p w14:paraId="1CFBFEC3" w14:textId="77777777" w:rsidR="00905B40" w:rsidRDefault="00000000">
      <w:pPr>
        <w:spacing w:after="120" w:line="260" w:lineRule="auto"/>
        <w:ind w:left="567" w:hanging="567"/>
      </w:pPr>
      <w:r>
        <w:t>5.5</w:t>
      </w:r>
      <w:r>
        <w:tab/>
        <w:t>Een op grond van deze Overeenkomst toegestane prijsindexering mag worden doorgevoerd conform de systematiek van het bestek en de aanbestedingsstukken.</w:t>
      </w:r>
    </w:p>
    <w:p w14:paraId="1CFBFEC4" w14:textId="77777777" w:rsidR="00905B40" w:rsidRDefault="00000000">
      <w:pPr>
        <w:keepNext/>
        <w:spacing w:before="280" w:after="140"/>
      </w:pPr>
      <w:r>
        <w:rPr>
          <w:b/>
          <w:bCs/>
          <w:sz w:val="22"/>
          <w:szCs w:val="22"/>
        </w:rPr>
        <w:t>6. Besluit en kennisgeving</w:t>
      </w:r>
    </w:p>
    <w:p w14:paraId="1CFBFEC5" w14:textId="77777777" w:rsidR="00905B40" w:rsidRDefault="00000000">
      <w:pPr>
        <w:spacing w:after="120" w:line="260" w:lineRule="auto"/>
        <w:ind w:left="567" w:hanging="567"/>
      </w:pPr>
      <w:r>
        <w:t>6.1</w:t>
      </w:r>
      <w:r>
        <w:tab/>
        <w:t>Opdrachtgever besluit of, en zo ja in welke variant, hij de Wachtkamerconstructie toepast en stelt de Wachtkamerpartijen daarvan gelijktijdig schriftelijk in kennis. De kennisgeving vermeldt de toepasselijke variant, de ter beschikking gestelde stukken en de geldende termijnen.</w:t>
      </w:r>
    </w:p>
    <w:p w14:paraId="1CFBFEC6" w14:textId="77777777" w:rsidR="00905B40" w:rsidRDefault="00000000">
      <w:pPr>
        <w:spacing w:after="120" w:line="260" w:lineRule="auto"/>
        <w:ind w:left="567" w:hanging="567"/>
      </w:pPr>
      <w:r>
        <w:t>6.2</w:t>
      </w:r>
      <w:r>
        <w:tab/>
        <w:t>Besluit Opdrachtgever de Wachtkamerconstructie niet toe te passen, dan eindigt deze Overeenkomst en kunnen daaraan geen rechten meer worden ontleend.</w:t>
      </w:r>
    </w:p>
    <w:p w14:paraId="1CFBFEC7" w14:textId="28346788" w:rsidR="00905B40" w:rsidRDefault="00000000">
      <w:pPr>
        <w:spacing w:after="120" w:line="260" w:lineRule="auto"/>
        <w:ind w:left="567" w:hanging="567"/>
      </w:pPr>
      <w:r>
        <w:t>6.3</w:t>
      </w:r>
      <w:r>
        <w:tab/>
        <w:t xml:space="preserve">Opdrachtgever informeert de Wachtkamerpartijen schriftelijk over de uitkomst van een uitvraag als bedoeld in artikel 3, onder vermelding van de inschrijfsom van de winnende partij en met inachtneming van een opschortende termijn van </w:t>
      </w:r>
      <w:r w:rsidR="005E0016">
        <w:t>tien (10)</w:t>
      </w:r>
      <w:r>
        <w:t xml:space="preserve"> kalenderdagen voordat de uitvoeringsovereenkomst wordt gesloten.</w:t>
      </w:r>
    </w:p>
    <w:p w14:paraId="1CFBFEC8" w14:textId="77777777" w:rsidR="00905B40" w:rsidRDefault="00000000">
      <w:pPr>
        <w:keepNext/>
        <w:spacing w:before="280" w:after="140"/>
      </w:pPr>
      <w:r>
        <w:rPr>
          <w:b/>
          <w:bCs/>
          <w:sz w:val="22"/>
          <w:szCs w:val="22"/>
        </w:rPr>
        <w:t>7. Looptijd</w:t>
      </w:r>
    </w:p>
    <w:p w14:paraId="1CFBFEC9" w14:textId="77777777" w:rsidR="00905B40" w:rsidRDefault="00000000">
      <w:pPr>
        <w:spacing w:after="120" w:line="260" w:lineRule="auto"/>
        <w:ind w:left="567" w:hanging="567"/>
      </w:pPr>
      <w:r>
        <w:t>7.1</w:t>
      </w:r>
      <w:r>
        <w:tab/>
        <w:t>Deze Overeenkomst gaat in op [datum gunningsbeslissing/ondertekening] en eindigt van rechtswege, zonder dat opzegging is vereist, op het vroegste van de volgende momenten:</w:t>
      </w:r>
    </w:p>
    <w:p w14:paraId="1CFBFECA" w14:textId="77777777" w:rsidR="00905B40" w:rsidRDefault="00000000">
      <w:pPr>
        <w:pStyle w:val="Lijstalinea"/>
        <w:numPr>
          <w:ilvl w:val="1"/>
          <w:numId w:val="2"/>
        </w:numPr>
        <w:spacing w:after="100" w:line="260" w:lineRule="auto"/>
      </w:pPr>
      <w:r>
        <w:t>het moment waarop de uitvoeringsovereenkomst voor de realisatiefase met de Bouwteampartner rechtsgeldig tot stand komt;</w:t>
      </w:r>
    </w:p>
    <w:p w14:paraId="1CFBFECB" w14:textId="77777777" w:rsidR="00905B40" w:rsidRDefault="00000000">
      <w:pPr>
        <w:pStyle w:val="Lijstalinea"/>
        <w:numPr>
          <w:ilvl w:val="1"/>
          <w:numId w:val="2"/>
        </w:numPr>
        <w:spacing w:after="100" w:line="260" w:lineRule="auto"/>
      </w:pPr>
      <w:r>
        <w:t>het moment waarop een overeenkomst als bedoeld in artikel 5 met Inschrijver of met een andere Wachtkamerpartij rechtsgeldig tot stand komt;</w:t>
      </w:r>
    </w:p>
    <w:p w14:paraId="1CFBFECC" w14:textId="77777777" w:rsidR="00905B40" w:rsidRDefault="00000000">
      <w:pPr>
        <w:pStyle w:val="Lijstalinea"/>
        <w:numPr>
          <w:ilvl w:val="1"/>
          <w:numId w:val="2"/>
        </w:numPr>
        <w:spacing w:after="100" w:line="260" w:lineRule="auto"/>
      </w:pPr>
      <w:r>
        <w:t>het moment waarop Opdrachtgever schriftelijk meedeelt de Wachtkamerconstructie niet toe te passen of de opdracht opnieuw aan te besteden;</w:t>
      </w:r>
    </w:p>
    <w:p w14:paraId="1CFBFECE" w14:textId="77777777" w:rsidR="00905B40" w:rsidRDefault="00000000">
      <w:pPr>
        <w:spacing w:after="120" w:line="260" w:lineRule="auto"/>
        <w:ind w:left="567" w:hanging="567"/>
      </w:pPr>
      <w:r>
        <w:t>7.2</w:t>
      </w:r>
      <w:r>
        <w:tab/>
        <w:t>Deze Overeenkomst kan gedurende de looptijd niet worden opgezegd.</w:t>
      </w:r>
    </w:p>
    <w:p w14:paraId="1CFBFECF" w14:textId="77777777" w:rsidR="00905B40" w:rsidRDefault="00000000">
      <w:pPr>
        <w:keepNext/>
        <w:spacing w:before="280" w:after="140"/>
      </w:pPr>
      <w:r>
        <w:rPr>
          <w:b/>
          <w:bCs/>
          <w:sz w:val="22"/>
          <w:szCs w:val="22"/>
        </w:rPr>
        <w:t>8. Kosten</w:t>
      </w:r>
    </w:p>
    <w:p w14:paraId="1CFBFED0" w14:textId="77777777" w:rsidR="00905B40" w:rsidRDefault="00000000">
      <w:pPr>
        <w:spacing w:after="120" w:line="260" w:lineRule="auto"/>
        <w:ind w:left="567" w:hanging="567"/>
      </w:pPr>
      <w:r>
        <w:t>8.1</w:t>
      </w:r>
      <w:r>
        <w:tab/>
        <w:t>Zolang geen overeenkomst als bedoeld in artikel 5 met Inschrijver is gesloten, is Opdrachtgever niet gehouden tot vergoeding van enige kosten of schade van Inschrijver uit hoofde van deze Overeenkomst, onverminderd de eventuele rekenvergoeding uit de gunningsfase en het bepaalde in artikel 8.2.</w:t>
      </w:r>
    </w:p>
    <w:p w14:paraId="1CFBFED1" w14:textId="77777777" w:rsidR="00905B40" w:rsidRDefault="00000000">
      <w:pPr>
        <w:spacing w:after="120" w:line="260" w:lineRule="auto"/>
        <w:ind w:left="567" w:hanging="567"/>
      </w:pPr>
      <w:r>
        <w:t>8.2</w:t>
      </w:r>
      <w:r>
        <w:tab/>
        <w:t>[Optioneel: Aan iedere Wachtkamerpartij die op grond van artikel 3 een geldige aanbieding indient en aan wie de opdracht niet wordt gegund, vergoedt Opdrachtgever een vaste rekenvergoeding van € [bedrag] exclusief btw.]</w:t>
      </w:r>
    </w:p>
    <w:p w14:paraId="1CFBFED2" w14:textId="77777777" w:rsidR="00905B40" w:rsidRDefault="00000000">
      <w:pPr>
        <w:keepNext/>
        <w:spacing w:before="280" w:after="140"/>
      </w:pPr>
      <w:r>
        <w:rPr>
          <w:b/>
          <w:bCs/>
          <w:sz w:val="22"/>
          <w:szCs w:val="22"/>
        </w:rPr>
        <w:t>9. Vertrouwelijkheid en mededinging</w:t>
      </w:r>
    </w:p>
    <w:p w14:paraId="1CFBFED3" w14:textId="77777777" w:rsidR="00905B40" w:rsidRDefault="00000000">
      <w:pPr>
        <w:spacing w:after="120" w:line="260" w:lineRule="auto"/>
        <w:ind w:left="567" w:hanging="567"/>
      </w:pPr>
      <w:r>
        <w:t>9.1</w:t>
      </w:r>
      <w:r>
        <w:tab/>
        <w:t>Inschrijver behandelt de door of namens Opdrachtgever verstrekte informatie en de bouwteamproducten vertrouwelijk en gebruikt deze uitsluitend voor het doel van deze Overeenkomst. Op eerste verzoek van Opdrachtgever, en in ieder geval na afloop van deze Overeenkomst zonder gunning aan Inschrijver, retourneert of vernietigt Inschrijver deze stukken.</w:t>
      </w:r>
    </w:p>
    <w:p w14:paraId="1CFBFED4" w14:textId="77777777" w:rsidR="00905B40" w:rsidRDefault="00000000">
      <w:pPr>
        <w:spacing w:after="120" w:line="260" w:lineRule="auto"/>
        <w:ind w:left="567" w:hanging="567"/>
      </w:pPr>
      <w:r>
        <w:lastRenderedPageBreak/>
        <w:t>9.2</w:t>
      </w:r>
      <w:r>
        <w:tab/>
        <w:t>Inschrijver stemt zijn aanbieding op grond van artikel 3 niet af met andere Wachtkamerpartijen en onthoudt zich van iedere gedraging die de mededinging bij de uitvraag beperkt of vervalst.</w:t>
      </w:r>
    </w:p>
    <w:p w14:paraId="1CFBFED5" w14:textId="77777777" w:rsidR="00905B40" w:rsidRDefault="00000000">
      <w:pPr>
        <w:keepNext/>
        <w:spacing w:before="280" w:after="140"/>
      </w:pPr>
      <w:r>
        <w:rPr>
          <w:b/>
          <w:bCs/>
          <w:sz w:val="22"/>
          <w:szCs w:val="22"/>
        </w:rPr>
        <w:t>10. Overige bepalingen</w:t>
      </w:r>
    </w:p>
    <w:p w14:paraId="1CFBFED6" w14:textId="77777777" w:rsidR="00905B40" w:rsidRDefault="00000000">
      <w:pPr>
        <w:spacing w:after="120" w:line="260" w:lineRule="auto"/>
        <w:ind w:left="567" w:hanging="567"/>
      </w:pPr>
      <w:r>
        <w:t>10.1</w:t>
      </w:r>
      <w:r>
        <w:tab/>
        <w:t>Inschrijver kan zijn rechten en verplichtingen uit deze Overeenkomst niet zonder voorafgaande schriftelijke toestemming van Opdrachtgever overdragen aan een derde.</w:t>
      </w:r>
    </w:p>
    <w:p w14:paraId="1CFBFED7" w14:textId="77777777" w:rsidR="00905B40" w:rsidRDefault="00000000">
      <w:pPr>
        <w:spacing w:after="120" w:line="260" w:lineRule="auto"/>
        <w:ind w:left="567" w:hanging="567"/>
      </w:pPr>
      <w:r>
        <w:t>10.2</w:t>
      </w:r>
      <w:r>
        <w:tab/>
        <w:t>Wijzigingen van of aanvullingen op deze Overeenkomst zijn slechts geldig indien schriftelijk overeengekomen en door beide Partijen ondertekend.</w:t>
      </w:r>
    </w:p>
    <w:p w14:paraId="1CFBFED8" w14:textId="77777777" w:rsidR="00905B40" w:rsidRDefault="00000000">
      <w:pPr>
        <w:spacing w:after="120" w:line="260" w:lineRule="auto"/>
        <w:ind w:left="567" w:hanging="567"/>
      </w:pPr>
      <w:r>
        <w:t>10.3</w:t>
      </w:r>
      <w:r>
        <w:tab/>
        <w:t>Bij strijdigheid tussen deze Overeenkomst en de aanbestedingsstukken prevaleren de aanbestedingsstukken, tenzij in deze Overeenkomst uitdrukkelijk anders is bepaald.</w:t>
      </w:r>
    </w:p>
    <w:p w14:paraId="1CFBFED9" w14:textId="77777777" w:rsidR="00905B40" w:rsidRDefault="00000000">
      <w:pPr>
        <w:keepNext/>
        <w:spacing w:before="280" w:after="140"/>
      </w:pPr>
      <w:r>
        <w:rPr>
          <w:b/>
          <w:bCs/>
          <w:sz w:val="22"/>
          <w:szCs w:val="22"/>
        </w:rPr>
        <w:t>11. Toepasselijk recht en geschillen</w:t>
      </w:r>
    </w:p>
    <w:p w14:paraId="1CFBFEDA" w14:textId="77777777" w:rsidR="00905B40" w:rsidRDefault="00000000">
      <w:pPr>
        <w:spacing w:after="120" w:line="260" w:lineRule="auto"/>
        <w:ind w:left="567" w:hanging="567"/>
      </w:pPr>
      <w:r>
        <w:t>11.1</w:t>
      </w:r>
      <w:r>
        <w:tab/>
        <w:t>Op deze Overeenkomst is Nederlands recht van toepassing.</w:t>
      </w:r>
    </w:p>
    <w:p w14:paraId="1CFBFEDB" w14:textId="77777777" w:rsidR="00905B40" w:rsidRDefault="00000000">
      <w:pPr>
        <w:spacing w:after="120" w:line="260" w:lineRule="auto"/>
        <w:ind w:left="567" w:hanging="567"/>
      </w:pPr>
      <w:r>
        <w:t>11.2</w:t>
      </w:r>
      <w:r>
        <w:tab/>
        <w:t>Geschillen die uit deze Overeenkomst voortvloeien worden voorgelegd aan de bevoegde rechter, dan wel — voor zover het geschil samenhangt met de uitvoeringsovereenkomst — aan de in die overeenkomst aangewezen geschilleninstantie.</w:t>
      </w:r>
    </w:p>
    <w:p w14:paraId="1CFBFEDC" w14:textId="77777777" w:rsidR="00905B40" w:rsidRDefault="00905B40">
      <w:pPr>
        <w:spacing w:after="240" w:line="260" w:lineRule="auto"/>
      </w:pPr>
    </w:p>
    <w:p w14:paraId="1CFBFEDD" w14:textId="77777777" w:rsidR="00905B40" w:rsidRDefault="00000000">
      <w:pPr>
        <w:spacing w:after="240" w:line="260" w:lineRule="auto"/>
      </w:pPr>
      <w:r>
        <w:t>Aldus overeengekomen en door beide Partijen ondertekend,</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400"/>
      </w:tblGrid>
      <w:tr w:rsidR="00905B40" w14:paraId="1CFBFEE0" w14:textId="77777777">
        <w:tblPrEx>
          <w:tblCellMar>
            <w:top w:w="0" w:type="dxa"/>
            <w:bottom w:w="0" w:type="dxa"/>
          </w:tblCellMar>
        </w:tblPrEx>
        <w:tc>
          <w:tcPr>
            <w:tcW w:w="4400" w:type="dxa"/>
            <w:shd w:val="clear" w:color="auto" w:fill="F2F2F2"/>
          </w:tcPr>
          <w:p w14:paraId="1CFBFEDE" w14:textId="77777777" w:rsidR="00905B40" w:rsidRDefault="00000000">
            <w:pPr>
              <w:spacing w:before="60" w:after="60"/>
            </w:pPr>
            <w:r>
              <w:rPr>
                <w:b/>
                <w:bCs/>
              </w:rPr>
              <w:t>Opdrachtgever</w:t>
            </w:r>
          </w:p>
        </w:tc>
        <w:tc>
          <w:tcPr>
            <w:tcW w:w="4400" w:type="dxa"/>
            <w:shd w:val="clear" w:color="auto" w:fill="F2F2F2"/>
          </w:tcPr>
          <w:p w14:paraId="1CFBFEDF" w14:textId="77777777" w:rsidR="00905B40" w:rsidRDefault="00000000">
            <w:pPr>
              <w:spacing w:before="60" w:after="60"/>
            </w:pPr>
            <w:r>
              <w:rPr>
                <w:b/>
                <w:bCs/>
              </w:rPr>
              <w:t>Inschrijver</w:t>
            </w:r>
          </w:p>
        </w:tc>
      </w:tr>
      <w:tr w:rsidR="00905B40" w14:paraId="1CFBFEE3" w14:textId="77777777">
        <w:tblPrEx>
          <w:tblCellMar>
            <w:top w:w="0" w:type="dxa"/>
            <w:bottom w:w="0" w:type="dxa"/>
          </w:tblCellMar>
        </w:tblPrEx>
        <w:tc>
          <w:tcPr>
            <w:tcW w:w="4400" w:type="dxa"/>
          </w:tcPr>
          <w:p w14:paraId="1CFBFEE1" w14:textId="77777777" w:rsidR="00905B40" w:rsidRDefault="00000000">
            <w:pPr>
              <w:spacing w:before="60" w:after="60"/>
            </w:pPr>
            <w:r>
              <w:t>Gemeente Leiden</w:t>
            </w:r>
          </w:p>
        </w:tc>
        <w:tc>
          <w:tcPr>
            <w:tcW w:w="4400" w:type="dxa"/>
          </w:tcPr>
          <w:p w14:paraId="1CFBFEE2" w14:textId="77777777" w:rsidR="00905B40" w:rsidRDefault="00000000">
            <w:pPr>
              <w:spacing w:before="60" w:after="60"/>
            </w:pPr>
            <w:r>
              <w:t>[Naam Inschrijver]</w:t>
            </w:r>
          </w:p>
        </w:tc>
      </w:tr>
      <w:tr w:rsidR="00905B40" w14:paraId="1CFBFEE6" w14:textId="77777777">
        <w:tblPrEx>
          <w:tblCellMar>
            <w:top w:w="0" w:type="dxa"/>
            <w:bottom w:w="0" w:type="dxa"/>
          </w:tblCellMar>
        </w:tblPrEx>
        <w:tc>
          <w:tcPr>
            <w:tcW w:w="4400" w:type="dxa"/>
          </w:tcPr>
          <w:p w14:paraId="1CFBFEE4" w14:textId="77777777" w:rsidR="00905B40" w:rsidRDefault="00000000">
            <w:pPr>
              <w:spacing w:before="60" w:after="60"/>
            </w:pPr>
            <w:r>
              <w:t>Naam:</w:t>
            </w:r>
          </w:p>
        </w:tc>
        <w:tc>
          <w:tcPr>
            <w:tcW w:w="4400" w:type="dxa"/>
          </w:tcPr>
          <w:p w14:paraId="1CFBFEE5" w14:textId="77777777" w:rsidR="00905B40" w:rsidRDefault="00000000">
            <w:pPr>
              <w:spacing w:before="60" w:after="60"/>
            </w:pPr>
            <w:r>
              <w:t>Naam:</w:t>
            </w:r>
          </w:p>
        </w:tc>
      </w:tr>
      <w:tr w:rsidR="00905B40" w14:paraId="1CFBFEE9" w14:textId="77777777">
        <w:tblPrEx>
          <w:tblCellMar>
            <w:top w:w="0" w:type="dxa"/>
            <w:bottom w:w="0" w:type="dxa"/>
          </w:tblCellMar>
        </w:tblPrEx>
        <w:tc>
          <w:tcPr>
            <w:tcW w:w="4400" w:type="dxa"/>
          </w:tcPr>
          <w:p w14:paraId="1CFBFEE7" w14:textId="77777777" w:rsidR="00905B40" w:rsidRDefault="00000000">
            <w:pPr>
              <w:spacing w:before="60" w:after="60"/>
            </w:pPr>
            <w:r>
              <w:t>Functie:</w:t>
            </w:r>
          </w:p>
        </w:tc>
        <w:tc>
          <w:tcPr>
            <w:tcW w:w="4400" w:type="dxa"/>
          </w:tcPr>
          <w:p w14:paraId="1CFBFEE8" w14:textId="77777777" w:rsidR="00905B40" w:rsidRDefault="00000000">
            <w:pPr>
              <w:spacing w:before="60" w:after="60"/>
            </w:pPr>
            <w:r>
              <w:t>Functie:</w:t>
            </w:r>
          </w:p>
        </w:tc>
      </w:tr>
      <w:tr w:rsidR="00905B40" w14:paraId="1CFBFEEC" w14:textId="77777777">
        <w:tblPrEx>
          <w:tblCellMar>
            <w:top w:w="0" w:type="dxa"/>
            <w:bottom w:w="0" w:type="dxa"/>
          </w:tblCellMar>
        </w:tblPrEx>
        <w:tc>
          <w:tcPr>
            <w:tcW w:w="4400" w:type="dxa"/>
          </w:tcPr>
          <w:p w14:paraId="1CFBFEEA" w14:textId="77777777" w:rsidR="00905B40" w:rsidRDefault="00000000">
            <w:pPr>
              <w:spacing w:before="60" w:after="60"/>
            </w:pPr>
            <w:r>
              <w:t>Plaats:</w:t>
            </w:r>
          </w:p>
        </w:tc>
        <w:tc>
          <w:tcPr>
            <w:tcW w:w="4400" w:type="dxa"/>
          </w:tcPr>
          <w:p w14:paraId="1CFBFEEB" w14:textId="77777777" w:rsidR="00905B40" w:rsidRDefault="00000000">
            <w:pPr>
              <w:spacing w:before="60" w:after="60"/>
            </w:pPr>
            <w:r>
              <w:t>Plaats:</w:t>
            </w:r>
          </w:p>
        </w:tc>
      </w:tr>
      <w:tr w:rsidR="00905B40" w14:paraId="1CFBFEEF" w14:textId="77777777">
        <w:tblPrEx>
          <w:tblCellMar>
            <w:top w:w="0" w:type="dxa"/>
            <w:bottom w:w="0" w:type="dxa"/>
          </w:tblCellMar>
        </w:tblPrEx>
        <w:tc>
          <w:tcPr>
            <w:tcW w:w="4400" w:type="dxa"/>
          </w:tcPr>
          <w:p w14:paraId="1CFBFEED" w14:textId="77777777" w:rsidR="00905B40" w:rsidRDefault="00000000">
            <w:pPr>
              <w:spacing w:before="60" w:after="60"/>
            </w:pPr>
            <w:r>
              <w:t>Datum:</w:t>
            </w:r>
          </w:p>
        </w:tc>
        <w:tc>
          <w:tcPr>
            <w:tcW w:w="4400" w:type="dxa"/>
          </w:tcPr>
          <w:p w14:paraId="1CFBFEEE" w14:textId="77777777" w:rsidR="00905B40" w:rsidRDefault="00000000">
            <w:pPr>
              <w:spacing w:before="60" w:after="60"/>
            </w:pPr>
            <w:r>
              <w:t>Datum:</w:t>
            </w:r>
          </w:p>
        </w:tc>
      </w:tr>
      <w:tr w:rsidR="00905B40" w14:paraId="1CFBFEF4" w14:textId="77777777">
        <w:tblPrEx>
          <w:tblCellMar>
            <w:top w:w="0" w:type="dxa"/>
            <w:bottom w:w="0" w:type="dxa"/>
          </w:tblCellMar>
        </w:tblPrEx>
        <w:tc>
          <w:tcPr>
            <w:tcW w:w="4400" w:type="dxa"/>
          </w:tcPr>
          <w:p w14:paraId="1CFBFEF0" w14:textId="77777777" w:rsidR="00905B40" w:rsidRDefault="00000000">
            <w:pPr>
              <w:spacing w:before="60" w:after="60"/>
            </w:pPr>
            <w:r>
              <w:t>Handtekening:</w:t>
            </w:r>
          </w:p>
          <w:p w14:paraId="1CFBFEF1" w14:textId="77777777" w:rsidR="00905B40" w:rsidRDefault="00905B40">
            <w:pPr>
              <w:spacing w:after="400"/>
            </w:pPr>
          </w:p>
        </w:tc>
        <w:tc>
          <w:tcPr>
            <w:tcW w:w="4400" w:type="dxa"/>
          </w:tcPr>
          <w:p w14:paraId="1CFBFEF2" w14:textId="77777777" w:rsidR="00905B40" w:rsidRDefault="00000000">
            <w:pPr>
              <w:spacing w:before="60" w:after="60"/>
            </w:pPr>
            <w:r>
              <w:t>Handtekening:</w:t>
            </w:r>
          </w:p>
          <w:p w14:paraId="1CFBFEF3" w14:textId="77777777" w:rsidR="00905B40" w:rsidRDefault="00905B40">
            <w:pPr>
              <w:spacing w:after="400"/>
            </w:pPr>
          </w:p>
        </w:tc>
      </w:tr>
    </w:tbl>
    <w:p w14:paraId="1CFBFEF5" w14:textId="77777777" w:rsidR="00036B51" w:rsidRDefault="00036B51"/>
    <w:sectPr w:rsidR="00036B5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6A12"/>
    <w:multiLevelType w:val="hybridMultilevel"/>
    <w:tmpl w:val="28048AC2"/>
    <w:lvl w:ilvl="0" w:tplc="DFCA08C8">
      <w:start w:val="1"/>
      <w:numFmt w:val="bullet"/>
      <w:lvlText w:val="●"/>
      <w:lvlJc w:val="left"/>
      <w:pPr>
        <w:ind w:left="720" w:hanging="360"/>
      </w:pPr>
    </w:lvl>
    <w:lvl w:ilvl="1" w:tplc="64EE8400">
      <w:start w:val="1"/>
      <w:numFmt w:val="bullet"/>
      <w:lvlText w:val="○"/>
      <w:lvlJc w:val="left"/>
      <w:pPr>
        <w:ind w:left="1440" w:hanging="360"/>
      </w:pPr>
    </w:lvl>
    <w:lvl w:ilvl="2" w:tplc="64EAFA92">
      <w:start w:val="1"/>
      <w:numFmt w:val="bullet"/>
      <w:lvlText w:val="■"/>
      <w:lvlJc w:val="left"/>
      <w:pPr>
        <w:ind w:left="2160" w:hanging="360"/>
      </w:pPr>
    </w:lvl>
    <w:lvl w:ilvl="3" w:tplc="431A87D2">
      <w:start w:val="1"/>
      <w:numFmt w:val="bullet"/>
      <w:lvlText w:val="●"/>
      <w:lvlJc w:val="left"/>
      <w:pPr>
        <w:ind w:left="2880" w:hanging="360"/>
      </w:pPr>
    </w:lvl>
    <w:lvl w:ilvl="4" w:tplc="09D44D04">
      <w:start w:val="1"/>
      <w:numFmt w:val="bullet"/>
      <w:lvlText w:val="○"/>
      <w:lvlJc w:val="left"/>
      <w:pPr>
        <w:ind w:left="3600" w:hanging="360"/>
      </w:pPr>
    </w:lvl>
    <w:lvl w:ilvl="5" w:tplc="E3641420">
      <w:start w:val="1"/>
      <w:numFmt w:val="bullet"/>
      <w:lvlText w:val="■"/>
      <w:lvlJc w:val="left"/>
      <w:pPr>
        <w:ind w:left="4320" w:hanging="360"/>
      </w:pPr>
    </w:lvl>
    <w:lvl w:ilvl="6" w:tplc="95CC1A9A">
      <w:start w:val="1"/>
      <w:numFmt w:val="bullet"/>
      <w:lvlText w:val="●"/>
      <w:lvlJc w:val="left"/>
      <w:pPr>
        <w:ind w:left="5040" w:hanging="360"/>
      </w:pPr>
    </w:lvl>
    <w:lvl w:ilvl="7" w:tplc="0ABC4F38">
      <w:start w:val="1"/>
      <w:numFmt w:val="bullet"/>
      <w:lvlText w:val="●"/>
      <w:lvlJc w:val="left"/>
      <w:pPr>
        <w:ind w:left="5760" w:hanging="360"/>
      </w:pPr>
    </w:lvl>
    <w:lvl w:ilvl="8" w:tplc="8384EE5E">
      <w:start w:val="1"/>
      <w:numFmt w:val="bullet"/>
      <w:lvlText w:val="●"/>
      <w:lvlJc w:val="left"/>
      <w:pPr>
        <w:ind w:left="6480" w:hanging="360"/>
      </w:pPr>
    </w:lvl>
  </w:abstractNum>
  <w:abstractNum w:abstractNumId="1" w15:restartNumberingAfterBreak="0">
    <w:nsid w:val="4A5E2A14"/>
    <w:multiLevelType w:val="hybridMultilevel"/>
    <w:tmpl w:val="DA0CA432"/>
    <w:lvl w:ilvl="0" w:tplc="B31264AA">
      <w:start w:val="1"/>
      <w:numFmt w:val="bullet"/>
      <w:lvlText w:val="•"/>
      <w:lvlJc w:val="left"/>
      <w:pPr>
        <w:ind w:left="567" w:hanging="283"/>
      </w:pPr>
    </w:lvl>
    <w:lvl w:ilvl="1" w:tplc="48C65708">
      <w:start w:val="1"/>
      <w:numFmt w:val="bullet"/>
      <w:lvlText w:val="–"/>
      <w:lvlJc w:val="left"/>
      <w:pPr>
        <w:ind w:left="1134" w:hanging="283"/>
      </w:pPr>
    </w:lvl>
    <w:lvl w:ilvl="2" w:tplc="34087330">
      <w:numFmt w:val="decimal"/>
      <w:lvlText w:val=""/>
      <w:lvlJc w:val="left"/>
    </w:lvl>
    <w:lvl w:ilvl="3" w:tplc="598E1272">
      <w:numFmt w:val="decimal"/>
      <w:lvlText w:val=""/>
      <w:lvlJc w:val="left"/>
    </w:lvl>
    <w:lvl w:ilvl="4" w:tplc="DD0E08FE">
      <w:numFmt w:val="decimal"/>
      <w:lvlText w:val=""/>
      <w:lvlJc w:val="left"/>
    </w:lvl>
    <w:lvl w:ilvl="5" w:tplc="53F2DA4E">
      <w:numFmt w:val="decimal"/>
      <w:lvlText w:val=""/>
      <w:lvlJc w:val="left"/>
    </w:lvl>
    <w:lvl w:ilvl="6" w:tplc="8C787966">
      <w:numFmt w:val="decimal"/>
      <w:lvlText w:val=""/>
      <w:lvlJc w:val="left"/>
    </w:lvl>
    <w:lvl w:ilvl="7" w:tplc="BDA27D4A">
      <w:numFmt w:val="decimal"/>
      <w:lvlText w:val=""/>
      <w:lvlJc w:val="left"/>
    </w:lvl>
    <w:lvl w:ilvl="8" w:tplc="058E6F00">
      <w:numFmt w:val="decimal"/>
      <w:lvlText w:val=""/>
      <w:lvlJc w:val="left"/>
    </w:lvl>
  </w:abstractNum>
  <w:abstractNum w:abstractNumId="2" w15:restartNumberingAfterBreak="0">
    <w:nsid w:val="54267DA4"/>
    <w:multiLevelType w:val="hybridMultilevel"/>
    <w:tmpl w:val="952C5B2A"/>
    <w:lvl w:ilvl="0" w:tplc="F5D8EE9A">
      <w:start w:val="1"/>
      <w:numFmt w:val="bullet"/>
      <w:lvlText w:val="•"/>
      <w:lvlJc w:val="left"/>
      <w:pPr>
        <w:ind w:left="567" w:hanging="283"/>
      </w:pPr>
    </w:lvl>
    <w:lvl w:ilvl="1" w:tplc="4A9496BC">
      <w:start w:val="1"/>
      <w:numFmt w:val="bullet"/>
      <w:lvlText w:val="–"/>
      <w:lvlJc w:val="left"/>
      <w:pPr>
        <w:ind w:left="1134" w:hanging="283"/>
      </w:pPr>
    </w:lvl>
    <w:lvl w:ilvl="2" w:tplc="28E64556">
      <w:numFmt w:val="decimal"/>
      <w:lvlText w:val=""/>
      <w:lvlJc w:val="left"/>
    </w:lvl>
    <w:lvl w:ilvl="3" w:tplc="5C1894A8">
      <w:numFmt w:val="decimal"/>
      <w:lvlText w:val=""/>
      <w:lvlJc w:val="left"/>
    </w:lvl>
    <w:lvl w:ilvl="4" w:tplc="66B6ADB2">
      <w:numFmt w:val="decimal"/>
      <w:lvlText w:val=""/>
      <w:lvlJc w:val="left"/>
    </w:lvl>
    <w:lvl w:ilvl="5" w:tplc="F85A5172">
      <w:numFmt w:val="decimal"/>
      <w:lvlText w:val=""/>
      <w:lvlJc w:val="left"/>
    </w:lvl>
    <w:lvl w:ilvl="6" w:tplc="D486BE4E">
      <w:numFmt w:val="decimal"/>
      <w:lvlText w:val=""/>
      <w:lvlJc w:val="left"/>
    </w:lvl>
    <w:lvl w:ilvl="7" w:tplc="325089E0">
      <w:numFmt w:val="decimal"/>
      <w:lvlText w:val=""/>
      <w:lvlJc w:val="left"/>
    </w:lvl>
    <w:lvl w:ilvl="8" w:tplc="B70AB002">
      <w:numFmt w:val="decimal"/>
      <w:lvlText w:val=""/>
      <w:lvlJc w:val="left"/>
    </w:lvl>
  </w:abstractNum>
  <w:num w:numId="1" w16cid:durableId="548490705">
    <w:abstractNumId w:val="0"/>
    <w:lvlOverride w:ilvl="0">
      <w:startOverride w:val="1"/>
    </w:lvlOverride>
  </w:num>
  <w:num w:numId="2" w16cid:durableId="1362439851">
    <w:abstractNumId w:val="1"/>
    <w:lvlOverride w:ilvl="0">
      <w:startOverride w:val="1"/>
    </w:lvlOverride>
  </w:num>
  <w:num w:numId="3" w16cid:durableId="67846069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B40"/>
    <w:rsid w:val="00036B51"/>
    <w:rsid w:val="000902E7"/>
    <w:rsid w:val="000E5C80"/>
    <w:rsid w:val="000F2682"/>
    <w:rsid w:val="0017407F"/>
    <w:rsid w:val="002E300B"/>
    <w:rsid w:val="003C08FB"/>
    <w:rsid w:val="00467DCB"/>
    <w:rsid w:val="004A40B9"/>
    <w:rsid w:val="005E0016"/>
    <w:rsid w:val="00694DD2"/>
    <w:rsid w:val="006C133B"/>
    <w:rsid w:val="008574E5"/>
    <w:rsid w:val="00905B40"/>
    <w:rsid w:val="00987DE6"/>
    <w:rsid w:val="00AF60FF"/>
    <w:rsid w:val="00C507E1"/>
    <w:rsid w:val="00D63C6A"/>
    <w:rsid w:val="00EA69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FE92"/>
  <w15:docId w15:val="{F29B9AC3-AE10-45E1-A723-4826CA0B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CDD84B-D4F9-4574-9B12-1F81908A0F72}">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2.xml><?xml version="1.0" encoding="utf-8"?>
<ds:datastoreItem xmlns:ds="http://schemas.openxmlformats.org/officeDocument/2006/customXml" ds:itemID="{E6FBF177-FBCC-4BF3-8B67-F1923D248FA3}">
  <ds:schemaRefs>
    <ds:schemaRef ds:uri="http://schemas.microsoft.com/sharepoint/v3/contenttype/forms"/>
  </ds:schemaRefs>
</ds:datastoreItem>
</file>

<file path=customXml/itemProps3.xml><?xml version="1.0" encoding="utf-8"?>
<ds:datastoreItem xmlns:ds="http://schemas.openxmlformats.org/officeDocument/2006/customXml" ds:itemID="{4C3F6AD1-488E-4B3F-A477-B2A5928C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2293</Words>
  <Characters>12612</Characters>
  <Application>Microsoft Office Word</Application>
  <DocSecurity>0</DocSecurity>
  <Lines>105</Lines>
  <Paragraphs>29</Paragraphs>
  <ScaleCrop>false</ScaleCrop>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Wijnands, Tim</cp:lastModifiedBy>
  <cp:revision>17</cp:revision>
  <dcterms:created xsi:type="dcterms:W3CDTF">2026-08-21T09:55:00Z</dcterms:created>
  <dcterms:modified xsi:type="dcterms:W3CDTF">2026-08-21T10:19:00Z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