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sz w:val="18"/>
          <w:szCs w:val="18"/>
        </w:rPr>
        <w:t xml:space="preserve">Behoort bij: OVL-DRDCHT-2026</w:t>
      </w:r>
    </w:p>
    <w:p>
      <w:pPr>
        <w:spacing w:after="200"/>
      </w:pPr>
      <w:r>
        <w:rPr>
          <w:rFonts w:ascii="Calibri" w:cs="Calibri" w:eastAsia="Calibri" w:hAnsi="Calibri"/>
          <w:sz w:val="18"/>
          <w:szCs w:val="18"/>
        </w:rPr>
        <w:t xml:space="preserve">TenderNed-kenmerk TN604264</w:t>
      </w:r>
    </w:p>
    <w:p>
      <w:pPr>
        <w:spacing w:after="240"/>
      </w:pPr>
      <w:r>
        <w:rPr>
          <w:rFonts w:ascii="Calibri" w:cs="Calibri" w:eastAsia="Calibri" w:hAnsi="Calibri"/>
          <w:b/>
          <w:bCs/>
          <w:sz w:val="20"/>
          <w:szCs w:val="20"/>
        </w:rPr>
        <w:t xml:space="preserve">Raamovereenkomst RO/IIP Projecten OVL gemeenten Dordrecht en Zwijndrecht 2026-2032</w:t>
      </w:r>
    </w:p>
    <w:p>
      <w:pPr>
        <w:spacing w:after="320"/>
        <w:jc w:val="center"/>
      </w:pPr>
      <w:r>
        <w:rPr>
          <w:rFonts w:ascii="Calibri" w:cs="Calibri" w:eastAsia="Calibri" w:hAnsi="Calibri"/>
          <w:b/>
          <w:bCs/>
          <w:sz w:val="26"/>
          <w:szCs w:val="26"/>
        </w:rPr>
        <w:t xml:space="preserve">K R I T I S C H E   P R E S T A T I E - I N D I C A T O R E N</w:t>
      </w:r>
    </w:p>
    <w:p>
      <w:pPr>
        <w:spacing w:after="200"/>
      </w:pPr>
      <w:r>
        <w:rPr>
          <w:rFonts w:ascii="Calibri" w:cs="Calibri" w:eastAsia="Calibri" w:hAnsi="Calibri"/>
          <w:sz w:val="20"/>
          <w:szCs w:val="20"/>
        </w:rPr>
        <w:t xml:space="preserve">Dit is een voorbeeldformat. De hierna opgenomen indicatoren dienen ter illustratie van de systematiek en zijn niet uitputtend of definitief. De definitieve lijst wordt bij het startgesprek na opdrachtverlening in overleg met de opdrachtnemer vastgesteld. Deze indicatoren zijn voorwaarden uit het contract en zijn gekwantificeerd en daarmee toetsbaar. De lijst is een dynamisch document: gedurende de looptijd kunnen indicatoren worden uitgewisseld door andere, uit het contract herleidbare indicatoren. De lijst wordt ingevuld op basis van het logboek en het wekelijks planningsoverzicht van de opdrachtgever gedurende de toetsingsperiode, en staat standaard op de agenda van de bouwvergadering.</w:t>
      </w:r>
    </w:p>
    <w:p>
      <w:pPr>
        <w:spacing w:after="240"/>
      </w:pPr>
      <w:r>
        <w:rPr>
          <w:rFonts w:ascii="Calibri" w:cs="Calibri" w:eastAsia="Calibri" w:hAnsi="Calibri"/>
          <w:i/>
          <w:iCs/>
          <w:sz w:val="20"/>
          <w:szCs w:val="20"/>
        </w:rPr>
        <w:t xml:space="preserve">Deze werkwijze geldt voor de raamovereenkomst van de gemeente Dordrecht. De gemeente Zwijndrecht hanteert een eigen werkwijze voor contractmanagement, die na gunning nader wordt uitgewerkt en met de opdrachtnemer afgestemd.</w:t>
      </w:r>
    </w:p>
    <w:p>
      <w:pPr>
        <w:spacing w:after="140"/>
      </w:pPr>
      <w:r>
        <w:rPr>
          <w:rFonts w:ascii="Calibri" w:cs="Calibri" w:eastAsia="Calibri" w:hAnsi="Calibri"/>
          <w:b/>
          <w:bCs/>
          <w:sz w:val="20"/>
          <w:szCs w:val="20"/>
        </w:rPr>
        <w:t xml:space="preserve">Toetsing</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2100"/>
        <w:gridCol w:w="7300"/>
      </w:tblGrid>
      <w:tr>
        <w:tc>
          <w:tcPr>
            <w:tcW w:type="dxa" w:w="21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Onderdeel</w:t>
            </w:r>
          </w:p>
        </w:tc>
        <w:tc>
          <w:tcPr>
            <w:tcW w:type="dxa" w:w="73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Toelichting</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Toetsingsperiode</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Per kwartaal, tenzij de directie anders bepaalt</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Bron</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Logboek en wekelijks planningsoverzicht van de opdrachtgever</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Score</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Voldoet, voldoet deels of voldoet niet</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Bespreking</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Standaard agendapunt van de bouwvergadering</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Herstel</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Bij twee opeenvolgende toetsperioden onvoldoende herstel volgt een formele waarschuwing met detaillering van de herstelpunten</w:t>
            </w:r>
          </w:p>
        </w:tc>
      </w:tr>
      <w:tr>
        <w:tc>
          <w:tcPr>
            <w:tcW w:type="dxa" w:w="2100"/>
            <w:tcMar>
              <w:top w:type="dxa" w:w="60"/>
              <w:left w:type="dxa" w:w="90"/>
              <w:bottom w:type="dxa" w:w="60"/>
              <w:right w:type="dxa" w:w="90"/>
            </w:tcMar>
          </w:tcPr>
          <w:p>
            <w:pPr>
              <w:spacing w:after="0"/>
            </w:pPr>
            <w:r>
              <w:rPr>
                <w:rFonts w:ascii="Calibri" w:cs="Calibri" w:eastAsia="Calibri" w:hAnsi="Calibri"/>
                <w:sz w:val="19"/>
                <w:szCs w:val="19"/>
              </w:rPr>
              <w:t xml:space="preserve">Gevolg</w:t>
            </w:r>
          </w:p>
        </w:tc>
        <w:tc>
          <w:tcPr>
            <w:tcW w:type="dxa" w:w="7300"/>
            <w:tcMar>
              <w:top w:type="dxa" w:w="60"/>
              <w:left w:type="dxa" w:w="90"/>
              <w:bottom w:type="dxa" w:w="60"/>
              <w:right w:type="dxa" w:w="90"/>
            </w:tcMar>
          </w:tcPr>
          <w:p>
            <w:pPr>
              <w:spacing w:after="0"/>
            </w:pPr>
            <w:r>
              <w:rPr>
                <w:rFonts w:ascii="Calibri" w:cs="Calibri" w:eastAsia="Calibri" w:hAnsi="Calibri"/>
                <w:sz w:val="19"/>
                <w:szCs w:val="19"/>
              </w:rPr>
              <w:t xml:space="preserve">Is het gebrek zes weken na de formele waarschuwing niet hersteld, dan kan de opdrachtgever de overeenkomst ontbinden zonder ingebrekestelling</w:t>
            </w:r>
          </w:p>
        </w:tc>
      </w:tr>
    </w:tbl>
    <w:p>
      <w:pPr>
        <w:spacing w:after="240"/>
      </w:pPr>
      <w:r>
        <w:rPr>
          <w:rFonts w:ascii="Calibri" w:cs="Calibri" w:eastAsia="Calibri" w:hAnsi="Calibri"/>
          <w:sz w:val="20"/>
          <w:szCs w:val="20"/>
        </w:rPr>
        <w:t xml:space="preserve"/>
      </w:r>
    </w:p>
    <w:p>
      <w:pPr>
        <w:spacing w:after="140"/>
      </w:pPr>
      <w:r>
        <w:rPr>
          <w:rFonts w:ascii="Calibri" w:cs="Calibri" w:eastAsia="Calibri" w:hAnsi="Calibri"/>
          <w:b/>
          <w:bCs/>
          <w:sz w:val="20"/>
          <w:szCs w:val="20"/>
        </w:rPr>
        <w:t xml:space="preserve">Indicatoren</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600"/>
        <w:gridCol w:w="3500"/>
        <w:gridCol w:w="3000"/>
        <w:gridCol w:w="2300"/>
      </w:tblGrid>
      <w:tr>
        <w:tc>
          <w:tcPr>
            <w:tcW w:type="dxa" w:w="6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Nr</w:t>
            </w:r>
          </w:p>
        </w:tc>
        <w:tc>
          <w:tcPr>
            <w:tcW w:type="dxa" w:w="35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Indicator</w:t>
            </w:r>
          </w:p>
        </w:tc>
        <w:tc>
          <w:tcPr>
            <w:tcW w:type="dxa" w:w="30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Norm</w:t>
            </w:r>
          </w:p>
        </w:tc>
        <w:tc>
          <w:tcPr>
            <w:tcW w:type="dxa" w:w="23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Herleid uit</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Tijdig indienen offerte na deelopdracht</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Binnen 15 werkdagen</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42 01 lid 03</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2</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Tijdig verzorgen bestellingen en planning</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Binnen 5 werkdagen na deelopdracht</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42 01 lid 05</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3</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Halen van de overeengekomen einddatum</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100 procent van de deelopdrachten</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44 01 lid 01</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4</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Tijdig aanbieden revisie voor de opname</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Uiterlijk 5 werkdagen vooraf</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42 01 lid 10 en 34 13 08</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5</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Opname in één keer akkoord</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Ten minste 90 procent</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42 01 lid 12</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6</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Wekelijkse voortgangsmelding aan de directie</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Elke week gedurende het project</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42 01 lid 08</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7</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Lichtpunten werkend opgeleverd en brandend</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100 procent</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34 15 08</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8</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Straatwerk voor einde werkdag gesloten</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100 procent, behoudens melding vooraf</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34 12 02 lid 14</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9</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Maandelijkse rapportage en termijnstaat</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Binnen 3 werkdagen na de periode</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01 06 01 lid 05</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10</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Wekelijkse navraag status aanvraag netbeheerder</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Elke week, verwerkt in de planning</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01 09 06 lid 07</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11</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Kwaliteit MOOR-meldingen</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Accuraat, volledig en tijdig</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01 09 10 lid 06</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12</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Bereikbaarheid vast aanspreekpunt</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Tijdens kantooruren telefonisch bereikbaar</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01 01 16 lid 03 en 34 15 04 lid 05</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13</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Realisatie SROI-verplichting</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7 procent over de looncomponent, per kwartaal gerapporteerd</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Leidraad par 2.9</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14</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Nakoming toezeggingen plan van aanpak en interview</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Volledig</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Leidraad par 8.5</w:t>
            </w:r>
          </w:p>
        </w:tc>
      </w:tr>
      <w:tr>
        <w:tc>
          <w:tcPr>
            <w:tcW w:type="dxa" w:w="600"/>
            <w:tcMar>
              <w:top w:type="dxa" w:w="60"/>
              <w:left w:type="dxa" w:w="90"/>
              <w:bottom w:type="dxa" w:w="60"/>
              <w:right w:type="dxa" w:w="90"/>
            </w:tcMar>
          </w:tcPr>
          <w:p>
            <w:pPr>
              <w:spacing w:after="0"/>
            </w:pPr>
            <w:r>
              <w:rPr>
                <w:rFonts w:ascii="Calibri" w:cs="Calibri" w:eastAsia="Calibri" w:hAnsi="Calibri"/>
                <w:sz w:val="19"/>
                <w:szCs w:val="19"/>
              </w:rPr>
              <w:t xml:space="preserve">15</w:t>
            </w:r>
          </w:p>
        </w:tc>
        <w:tc>
          <w:tcPr>
            <w:tcW w:type="dxa" w:w="3500"/>
            <w:tcMar>
              <w:top w:type="dxa" w:w="60"/>
              <w:left w:type="dxa" w:w="90"/>
              <w:bottom w:type="dxa" w:w="60"/>
              <w:right w:type="dxa" w:w="90"/>
            </w:tcMar>
          </w:tcPr>
          <w:p>
            <w:pPr>
              <w:spacing w:after="0"/>
            </w:pPr>
            <w:r>
              <w:rPr>
                <w:rFonts w:ascii="Calibri" w:cs="Calibri" w:eastAsia="Calibri" w:hAnsi="Calibri"/>
                <w:sz w:val="19"/>
                <w:szCs w:val="19"/>
              </w:rPr>
              <w:t xml:space="preserve">Samenwerking en ontzorging</w:t>
            </w:r>
          </w:p>
        </w:tc>
        <w:tc>
          <w:tcPr>
            <w:tcW w:type="dxa" w:w="3000"/>
            <w:tcMar>
              <w:top w:type="dxa" w:w="60"/>
              <w:left w:type="dxa" w:w="90"/>
              <w:bottom w:type="dxa" w:w="60"/>
              <w:right w:type="dxa" w:w="90"/>
            </w:tcMar>
          </w:tcPr>
          <w:p>
            <w:pPr>
              <w:spacing w:after="0"/>
            </w:pPr>
            <w:r>
              <w:rPr>
                <w:rFonts w:ascii="Calibri" w:cs="Calibri" w:eastAsia="Calibri" w:hAnsi="Calibri"/>
                <w:sz w:val="19"/>
                <w:szCs w:val="19"/>
              </w:rPr>
              <w:t xml:space="preserve">Beoordeling door de opdrachtgever</w:t>
            </w:r>
          </w:p>
        </w:tc>
        <w:tc>
          <w:tcPr>
            <w:tcW w:type="dxa" w:w="2300"/>
            <w:tcMar>
              <w:top w:type="dxa" w:w="60"/>
              <w:left w:type="dxa" w:w="90"/>
              <w:bottom w:type="dxa" w:w="60"/>
              <w:right w:type="dxa" w:w="90"/>
            </w:tcMar>
          </w:tcPr>
          <w:p>
            <w:pPr>
              <w:spacing w:after="0"/>
            </w:pPr>
            <w:r>
              <w:rPr>
                <w:rFonts w:ascii="Calibri" w:cs="Calibri" w:eastAsia="Calibri" w:hAnsi="Calibri"/>
                <w:sz w:val="19"/>
                <w:szCs w:val="19"/>
              </w:rPr>
              <w:t xml:space="preserve">Leidraad par 2.2</w:t>
            </w:r>
          </w:p>
        </w:tc>
      </w:tr>
    </w:tbl>
    <w:p>
      <w:pPr>
        <w:spacing w:after="200"/>
      </w:pPr>
      <w:r>
        <w:rPr>
          <w:rFonts w:ascii="Calibri" w:cs="Calibri" w:eastAsia="Calibri" w:hAnsi="Calibri"/>
          <w:sz w:val="20"/>
          <w:szCs w:val="20"/>
        </w:rPr>
        <w:t xml:space="preserve"/>
      </w:r>
    </w:p>
    <w:p>
      <w:pPr>
        <w:spacing w:after="120"/>
      </w:pPr>
      <w:r>
        <w:rPr>
          <w:rFonts w:ascii="Calibri" w:cs="Calibri" w:eastAsia="Calibri" w:hAnsi="Calibri"/>
          <w:i/>
          <w:iCs/>
          <w:sz w:val="16"/>
          <w:szCs w:val="16"/>
        </w:rPr>
        <w:t xml:space="preserve">De indicatoren 14 en 15 worden na gunning aangevuld met de door de opdrachtnemer aangeboden maatregelen. Meerwaarde die tijdens het interview is geboden, wordt omgezet in een aangescherpte of een nieuwe indicator.</w:t>
      </w:r>
    </w:p>
    <w:p>
      <w:pPr>
        <w:spacing w:after="280"/>
      </w:pPr>
      <w:r>
        <w:rPr>
          <w:rFonts w:ascii="Calibri" w:cs="Calibri" w:eastAsia="Calibri" w:hAnsi="Calibri"/>
          <w:sz w:val="20"/>
          <w:szCs w:val="20"/>
        </w:rPr>
        <w:t xml:space="preserve"/>
      </w:r>
    </w:p>
    <w:p>
      <w:pPr>
        <w:spacing w:after="0"/>
      </w:pPr>
      <w:r>
        <w:rPr>
          <w:rFonts w:ascii="Calibri" w:cs="Calibri" w:eastAsia="Calibri" w:hAnsi="Calibri"/>
          <w:color w:val="808080"/>
          <w:sz w:val="16"/>
          <w:szCs w:val="16"/>
        </w:rPr>
        <w:t xml:space="preserve">© 2026 BURO-33 Aanbestedingsexperts BV</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H Kritische prestatie-indicatoren</dc:title>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BURO-33</cp:lastModifiedBy>
  <cp:revision>1</cp:revision>
  <dcterms:created xsi:type="dcterms:W3CDTF">2026-09-05T09:14:07.959Z</dcterms:created>
  <dcterms:modified xsi:type="dcterms:W3CDTF">2026-09-05T09:14:07.959Z</dcterms:modified>
</cp:coreProperties>
</file>

<file path=docProps/custom.xml><?xml version="1.0" encoding="utf-8"?>
<Properties xmlns="http://schemas.openxmlformats.org/officeDocument/2006/custom-properties" xmlns:vt="http://schemas.openxmlformats.org/officeDocument/2006/docPropsVTypes"/>
</file>