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07ADB" w14:textId="5681D57A" w:rsidR="00F15727" w:rsidRPr="005E7365" w:rsidRDefault="00F15727" w:rsidP="00F15727">
      <w:pPr>
        <w:pStyle w:val="Kop1"/>
        <w:rPr>
          <w:sz w:val="44"/>
          <w:szCs w:val="14"/>
        </w:rPr>
      </w:pPr>
      <w:r w:rsidRPr="005E7365">
        <w:rPr>
          <w:sz w:val="32"/>
          <w:szCs w:val="8"/>
        </w:rPr>
        <w:t xml:space="preserve">BIJLAGE </w:t>
      </w:r>
      <w:r w:rsidR="0023103F">
        <w:rPr>
          <w:sz w:val="32"/>
          <w:szCs w:val="8"/>
        </w:rPr>
        <w:t>H</w:t>
      </w:r>
      <w:r w:rsidRPr="005E7365">
        <w:rPr>
          <w:sz w:val="32"/>
          <w:szCs w:val="8"/>
        </w:rPr>
        <w:t>. Factsheet CO2-heffing NL</w:t>
      </w:r>
    </w:p>
    <w:p w14:paraId="1808D999" w14:textId="77777777" w:rsidR="00F15727" w:rsidRDefault="00F15727" w:rsidP="00F15727">
      <w:pPr>
        <w:autoSpaceDE w:val="0"/>
        <w:autoSpaceDN w:val="0"/>
        <w:adjustRightInd w:val="0"/>
        <w:spacing w:line="240" w:lineRule="auto"/>
        <w:rPr>
          <w:rStyle w:val="fontstyle01"/>
          <w:rFonts w:ascii="Poppins" w:eastAsiaTheme="majorEastAsia" w:hAnsi="Poppins" w:cs="Poppins"/>
          <w:sz w:val="18"/>
          <w:szCs w:val="18"/>
        </w:rPr>
      </w:pPr>
    </w:p>
    <w:p w14:paraId="72A5F043" w14:textId="47EE3234" w:rsidR="00F15727" w:rsidRPr="005E7365" w:rsidRDefault="00F15727" w:rsidP="00F15727">
      <w:pPr>
        <w:autoSpaceDE w:val="0"/>
        <w:autoSpaceDN w:val="0"/>
        <w:adjustRightInd w:val="0"/>
        <w:spacing w:line="240" w:lineRule="auto"/>
        <w:rPr>
          <w:rStyle w:val="fontstyle01"/>
          <w:rFonts w:ascii="Poppins" w:eastAsiaTheme="majorEastAsia" w:hAnsi="Poppins" w:cs="Poppins"/>
          <w:sz w:val="18"/>
          <w:szCs w:val="18"/>
        </w:rPr>
      </w:pPr>
      <w:r w:rsidRPr="005E7365">
        <w:rPr>
          <w:rStyle w:val="fontstyle01"/>
          <w:rFonts w:ascii="Poppins" w:eastAsiaTheme="majorEastAsia" w:hAnsi="Poppins" w:cs="Poppins"/>
          <w:sz w:val="18"/>
          <w:szCs w:val="18"/>
        </w:rPr>
        <w:t>Voor Nederlandse afvalverwerkers zal de te betalen CO2-heffing en EU/ETS op voorhand worden berekend op basis van de volgende parameters:</w:t>
      </w:r>
    </w:p>
    <w:p w14:paraId="62FF3F09" w14:textId="77777777" w:rsidR="00F15727" w:rsidRPr="005E7365" w:rsidRDefault="00F15727" w:rsidP="00F15727">
      <w:pPr>
        <w:numPr>
          <w:ilvl w:val="0"/>
          <w:numId w:val="1"/>
        </w:numPr>
        <w:autoSpaceDE w:val="0"/>
        <w:autoSpaceDN w:val="0"/>
        <w:adjustRightInd w:val="0"/>
        <w:spacing w:after="120" w:line="240" w:lineRule="auto"/>
        <w:rPr>
          <w:rStyle w:val="fontstyle01"/>
          <w:rFonts w:ascii="Poppins" w:eastAsiaTheme="majorEastAsia" w:hAnsi="Poppins" w:cs="Poppins"/>
          <w:sz w:val="18"/>
          <w:szCs w:val="18"/>
        </w:rPr>
      </w:pPr>
      <w:proofErr w:type="gramStart"/>
      <w:r w:rsidRPr="005E7365">
        <w:rPr>
          <w:rStyle w:val="fontstyle01"/>
          <w:rFonts w:ascii="Poppins" w:eastAsiaTheme="majorEastAsia" w:hAnsi="Poppins" w:cs="Poppins"/>
          <w:sz w:val="18"/>
          <w:szCs w:val="18"/>
        </w:rPr>
        <w:t>de</w:t>
      </w:r>
      <w:proofErr w:type="gramEnd"/>
      <w:r w:rsidRPr="005E7365">
        <w:rPr>
          <w:rStyle w:val="fontstyle01"/>
          <w:rFonts w:ascii="Poppins" w:eastAsiaTheme="majorEastAsia" w:hAnsi="Poppins" w:cs="Poppins"/>
          <w:sz w:val="18"/>
          <w:szCs w:val="18"/>
        </w:rPr>
        <w:t xml:space="preserve"> emissiefactor (</w:t>
      </w:r>
      <w:hyperlink r:id="rId7" w:history="1">
        <w:r w:rsidRPr="005E7365">
          <w:rPr>
            <w:rStyle w:val="Hyperlink"/>
            <w:rFonts w:eastAsiaTheme="majorEastAsia" w:cs="Poppins"/>
          </w:rPr>
          <w:t>link</w:t>
        </w:r>
      </w:hyperlink>
      <w:r w:rsidRPr="005E7365">
        <w:rPr>
          <w:rStyle w:val="fontstyle01"/>
          <w:rFonts w:ascii="Poppins" w:eastAsiaTheme="majorEastAsia" w:hAnsi="Poppins" w:cs="Poppins"/>
          <w:sz w:val="18"/>
          <w:szCs w:val="18"/>
        </w:rPr>
        <w:t xml:space="preserve">); </w:t>
      </w:r>
    </w:p>
    <w:p w14:paraId="7522307B" w14:textId="77777777" w:rsidR="00F15727" w:rsidRPr="005E7365" w:rsidRDefault="00F15727" w:rsidP="00F15727">
      <w:pPr>
        <w:numPr>
          <w:ilvl w:val="0"/>
          <w:numId w:val="1"/>
        </w:numPr>
        <w:autoSpaceDE w:val="0"/>
        <w:autoSpaceDN w:val="0"/>
        <w:adjustRightInd w:val="0"/>
        <w:spacing w:after="120" w:line="240" w:lineRule="auto"/>
        <w:rPr>
          <w:rStyle w:val="fontstyle01"/>
          <w:rFonts w:ascii="Poppins" w:eastAsiaTheme="majorEastAsia" w:hAnsi="Poppins" w:cs="Poppins"/>
          <w:sz w:val="18"/>
          <w:szCs w:val="18"/>
        </w:rPr>
      </w:pPr>
      <w:proofErr w:type="gramStart"/>
      <w:r w:rsidRPr="005E7365">
        <w:rPr>
          <w:rStyle w:val="fontstyle01"/>
          <w:rFonts w:ascii="Poppins" w:eastAsiaTheme="majorEastAsia" w:hAnsi="Poppins" w:cs="Poppins"/>
          <w:sz w:val="18"/>
          <w:szCs w:val="18"/>
        </w:rPr>
        <w:t>de</w:t>
      </w:r>
      <w:proofErr w:type="gramEnd"/>
      <w:r w:rsidRPr="005E7365">
        <w:rPr>
          <w:rStyle w:val="fontstyle01"/>
          <w:rFonts w:ascii="Poppins" w:eastAsiaTheme="majorEastAsia" w:hAnsi="Poppins" w:cs="Poppins"/>
          <w:sz w:val="18"/>
          <w:szCs w:val="18"/>
        </w:rPr>
        <w:t xml:space="preserve"> biomassafractie (</w:t>
      </w:r>
      <w:hyperlink r:id="rId8" w:history="1">
        <w:r w:rsidRPr="005E7365">
          <w:rPr>
            <w:rStyle w:val="Hyperlink"/>
            <w:rFonts w:eastAsiaTheme="majorEastAsia" w:cs="Poppins"/>
          </w:rPr>
          <w:t>link</w:t>
        </w:r>
      </w:hyperlink>
      <w:r w:rsidRPr="005E7365">
        <w:rPr>
          <w:rStyle w:val="fontstyle01"/>
          <w:rFonts w:ascii="Poppins" w:eastAsiaTheme="majorEastAsia" w:hAnsi="Poppins" w:cs="Poppins"/>
          <w:sz w:val="18"/>
          <w:szCs w:val="18"/>
        </w:rPr>
        <w:t>);</w:t>
      </w:r>
    </w:p>
    <w:p w14:paraId="3BAAD452" w14:textId="77777777" w:rsidR="00F15727" w:rsidRPr="005E7365" w:rsidRDefault="00F15727" w:rsidP="00F15727">
      <w:pPr>
        <w:numPr>
          <w:ilvl w:val="0"/>
          <w:numId w:val="1"/>
        </w:numPr>
        <w:autoSpaceDE w:val="0"/>
        <w:autoSpaceDN w:val="0"/>
        <w:adjustRightInd w:val="0"/>
        <w:spacing w:after="120" w:line="240" w:lineRule="auto"/>
        <w:rPr>
          <w:rStyle w:val="fontstyle01"/>
          <w:rFonts w:ascii="Poppins" w:eastAsiaTheme="majorEastAsia" w:hAnsi="Poppins" w:cs="Poppins"/>
          <w:sz w:val="18"/>
          <w:szCs w:val="18"/>
        </w:rPr>
      </w:pPr>
      <w:proofErr w:type="gramStart"/>
      <w:r w:rsidRPr="005E7365">
        <w:rPr>
          <w:rStyle w:val="fontstyle01"/>
          <w:rFonts w:ascii="Poppins" w:eastAsiaTheme="majorEastAsia" w:hAnsi="Poppins" w:cs="Poppins"/>
          <w:sz w:val="18"/>
          <w:szCs w:val="18"/>
        </w:rPr>
        <w:t>de</w:t>
      </w:r>
      <w:proofErr w:type="gramEnd"/>
      <w:r w:rsidRPr="005E7365">
        <w:rPr>
          <w:rStyle w:val="fontstyle01"/>
          <w:rFonts w:ascii="Poppins" w:eastAsiaTheme="majorEastAsia" w:hAnsi="Poppins" w:cs="Poppins"/>
          <w:sz w:val="18"/>
          <w:szCs w:val="18"/>
        </w:rPr>
        <w:t xml:space="preserve"> nationale reductiefactor (</w:t>
      </w:r>
      <w:hyperlink r:id="rId9" w:history="1">
        <w:r w:rsidRPr="005E7365">
          <w:rPr>
            <w:rStyle w:val="Hyperlink"/>
            <w:rFonts w:eastAsiaTheme="majorEastAsia" w:cs="Poppins"/>
          </w:rPr>
          <w:t>link</w:t>
        </w:r>
      </w:hyperlink>
      <w:r w:rsidRPr="005E7365">
        <w:rPr>
          <w:rStyle w:val="fontstyle01"/>
          <w:rFonts w:ascii="Poppins" w:eastAsiaTheme="majorEastAsia" w:hAnsi="Poppins" w:cs="Poppins"/>
          <w:sz w:val="18"/>
          <w:szCs w:val="18"/>
        </w:rPr>
        <w:t>);</w:t>
      </w:r>
    </w:p>
    <w:p w14:paraId="23A02E86" w14:textId="77777777" w:rsidR="00F15727" w:rsidRPr="005E7365" w:rsidRDefault="00F15727" w:rsidP="00F15727">
      <w:pPr>
        <w:numPr>
          <w:ilvl w:val="0"/>
          <w:numId w:val="1"/>
        </w:numPr>
        <w:autoSpaceDE w:val="0"/>
        <w:autoSpaceDN w:val="0"/>
        <w:adjustRightInd w:val="0"/>
        <w:spacing w:after="120" w:line="240" w:lineRule="auto"/>
        <w:rPr>
          <w:rStyle w:val="fontstyle01"/>
          <w:rFonts w:ascii="Poppins" w:eastAsiaTheme="majorEastAsia" w:hAnsi="Poppins" w:cs="Poppins"/>
          <w:sz w:val="18"/>
          <w:szCs w:val="18"/>
        </w:rPr>
      </w:pPr>
      <w:proofErr w:type="gramStart"/>
      <w:r w:rsidRPr="005E7365">
        <w:rPr>
          <w:rStyle w:val="fontstyle01"/>
          <w:rFonts w:ascii="Poppins" w:eastAsiaTheme="majorEastAsia" w:hAnsi="Poppins" w:cs="Poppins"/>
          <w:sz w:val="18"/>
          <w:szCs w:val="18"/>
        </w:rPr>
        <w:t>de</w:t>
      </w:r>
      <w:proofErr w:type="gramEnd"/>
      <w:r w:rsidRPr="005E7365">
        <w:rPr>
          <w:rStyle w:val="fontstyle01"/>
          <w:rFonts w:ascii="Poppins" w:eastAsiaTheme="majorEastAsia" w:hAnsi="Poppins" w:cs="Poppins"/>
          <w:sz w:val="18"/>
          <w:szCs w:val="18"/>
        </w:rPr>
        <w:t xml:space="preserve"> benchmarkfactor (</w:t>
      </w:r>
      <w:hyperlink r:id="rId10" w:history="1">
        <w:r w:rsidRPr="005E7365">
          <w:rPr>
            <w:rStyle w:val="Hyperlink"/>
            <w:rFonts w:eastAsiaTheme="majorEastAsia" w:cs="Poppins"/>
          </w:rPr>
          <w:t>link</w:t>
        </w:r>
      </w:hyperlink>
      <w:r w:rsidRPr="005E7365">
        <w:rPr>
          <w:rStyle w:val="fontstyle01"/>
          <w:rFonts w:ascii="Poppins" w:eastAsiaTheme="majorEastAsia" w:hAnsi="Poppins" w:cs="Poppins"/>
          <w:sz w:val="18"/>
          <w:szCs w:val="18"/>
        </w:rPr>
        <w:t>);</w:t>
      </w:r>
    </w:p>
    <w:p w14:paraId="53259143" w14:textId="77777777" w:rsidR="00F15727" w:rsidRPr="005E7365" w:rsidRDefault="00F15727" w:rsidP="00F15727">
      <w:pPr>
        <w:numPr>
          <w:ilvl w:val="0"/>
          <w:numId w:val="1"/>
        </w:numPr>
        <w:autoSpaceDE w:val="0"/>
        <w:autoSpaceDN w:val="0"/>
        <w:adjustRightInd w:val="0"/>
        <w:spacing w:after="120" w:line="240" w:lineRule="auto"/>
        <w:rPr>
          <w:rStyle w:val="fontstyle01"/>
          <w:rFonts w:ascii="Poppins" w:eastAsiaTheme="majorEastAsia" w:hAnsi="Poppins" w:cs="Poppins"/>
          <w:sz w:val="18"/>
          <w:szCs w:val="18"/>
        </w:rPr>
      </w:pPr>
      <w:proofErr w:type="gramStart"/>
      <w:r w:rsidRPr="005E7365">
        <w:rPr>
          <w:rStyle w:val="fontstyle01"/>
          <w:rFonts w:ascii="Poppins" w:eastAsiaTheme="majorEastAsia" w:hAnsi="Poppins" w:cs="Poppins"/>
          <w:sz w:val="18"/>
          <w:szCs w:val="18"/>
        </w:rPr>
        <w:t>het</w:t>
      </w:r>
      <w:proofErr w:type="gramEnd"/>
      <w:r w:rsidRPr="005E7365">
        <w:rPr>
          <w:rStyle w:val="fontstyle01"/>
          <w:rFonts w:ascii="Poppins" w:eastAsiaTheme="majorEastAsia" w:hAnsi="Poppins" w:cs="Poppins"/>
          <w:sz w:val="18"/>
          <w:szCs w:val="18"/>
        </w:rPr>
        <w:t xml:space="preserve"> CO2-tarief en/of de EU-ETS (</w:t>
      </w:r>
      <w:hyperlink r:id="rId11" w:history="1">
        <w:r w:rsidRPr="005E7365">
          <w:rPr>
            <w:rStyle w:val="Hyperlink"/>
            <w:rFonts w:eastAsiaTheme="majorEastAsia" w:cs="Poppins"/>
          </w:rPr>
          <w:t>link</w:t>
        </w:r>
      </w:hyperlink>
      <w:r w:rsidRPr="005E7365">
        <w:rPr>
          <w:rStyle w:val="fontstyle01"/>
          <w:rFonts w:ascii="Poppins" w:eastAsiaTheme="majorEastAsia" w:hAnsi="Poppins" w:cs="Poppins"/>
          <w:sz w:val="18"/>
          <w:szCs w:val="18"/>
        </w:rPr>
        <w:t>);</w:t>
      </w:r>
    </w:p>
    <w:p w14:paraId="63429539" w14:textId="77777777" w:rsidR="00F15727" w:rsidRPr="005E7365" w:rsidRDefault="00F15727" w:rsidP="00F15727">
      <w:pPr>
        <w:numPr>
          <w:ilvl w:val="0"/>
          <w:numId w:val="1"/>
        </w:numPr>
        <w:autoSpaceDE w:val="0"/>
        <w:autoSpaceDN w:val="0"/>
        <w:adjustRightInd w:val="0"/>
        <w:spacing w:after="120" w:line="240" w:lineRule="auto"/>
        <w:rPr>
          <w:rStyle w:val="fontstyle01"/>
          <w:rFonts w:ascii="Poppins" w:eastAsiaTheme="majorEastAsia" w:hAnsi="Poppins" w:cs="Poppins"/>
          <w:sz w:val="18"/>
          <w:szCs w:val="18"/>
        </w:rPr>
      </w:pPr>
      <w:r w:rsidRPr="005E7365">
        <w:rPr>
          <w:rStyle w:val="fontstyle01"/>
          <w:rFonts w:ascii="Poppins" w:eastAsiaTheme="majorEastAsia" w:hAnsi="Poppins" w:cs="Poppins"/>
          <w:sz w:val="18"/>
          <w:szCs w:val="18"/>
        </w:rPr>
        <w:t>AVI-reductiefactor (</w:t>
      </w:r>
      <w:hyperlink r:id="rId12" w:history="1">
        <w:r w:rsidRPr="005E7365">
          <w:rPr>
            <w:rStyle w:val="Hyperlink"/>
            <w:rFonts w:eastAsiaTheme="majorEastAsia" w:cs="Poppins"/>
          </w:rPr>
          <w:t>link</w:t>
        </w:r>
      </w:hyperlink>
      <w:r w:rsidRPr="005E7365">
        <w:rPr>
          <w:rStyle w:val="fontstyle01"/>
          <w:rFonts w:ascii="Poppins" w:eastAsiaTheme="majorEastAsia" w:hAnsi="Poppins" w:cs="Poppins"/>
          <w:sz w:val="18"/>
          <w:szCs w:val="18"/>
        </w:rPr>
        <w:t>, p.86).</w:t>
      </w:r>
    </w:p>
    <w:p w14:paraId="0C639C67" w14:textId="77777777" w:rsidR="00F15727" w:rsidRPr="005E7365" w:rsidRDefault="00F15727" w:rsidP="00F15727">
      <w:pPr>
        <w:autoSpaceDE w:val="0"/>
        <w:autoSpaceDN w:val="0"/>
        <w:adjustRightInd w:val="0"/>
        <w:spacing w:line="240" w:lineRule="auto"/>
        <w:rPr>
          <w:rStyle w:val="fontstyle01"/>
          <w:rFonts w:ascii="Poppins" w:eastAsiaTheme="majorEastAsia" w:hAnsi="Poppins" w:cs="Poppins"/>
          <w:sz w:val="18"/>
          <w:szCs w:val="18"/>
        </w:rPr>
      </w:pPr>
    </w:p>
    <w:p w14:paraId="6473D616" w14:textId="77777777" w:rsidR="00F15727" w:rsidRPr="005E7365" w:rsidRDefault="00F15727" w:rsidP="00F15727">
      <w:pPr>
        <w:rPr>
          <w:rFonts w:cs="Poppins"/>
        </w:rPr>
      </w:pPr>
      <w:r w:rsidRPr="005E7365">
        <w:rPr>
          <w:rFonts w:cs="Poppins"/>
          <w:b/>
          <w:bCs/>
        </w:rPr>
        <w:t>Tabel 1</w:t>
      </w:r>
      <w:r w:rsidRPr="005E7365">
        <w:rPr>
          <w:rFonts w:cs="Poppins"/>
          <w:i/>
          <w:iCs/>
        </w:rPr>
        <w:t xml:space="preserve"> – Gegevens uit berekeningsfactoren afvalstoffen AVI's.</w:t>
      </w:r>
    </w:p>
    <w:tbl>
      <w:tblPr>
        <w:tblStyle w:val="KplusV"/>
        <w:tblW w:w="5000" w:type="pct"/>
        <w:tblCellMar>
          <w:left w:w="0" w:type="dxa"/>
          <w:right w:w="0" w:type="dxa"/>
        </w:tblCellMar>
        <w:tblLook w:val="0660" w:firstRow="1" w:lastRow="1" w:firstColumn="0" w:lastColumn="0" w:noHBand="1" w:noVBand="1"/>
      </w:tblPr>
      <w:tblGrid>
        <w:gridCol w:w="4948"/>
        <w:gridCol w:w="3556"/>
      </w:tblGrid>
      <w:tr w:rsidR="00F15727" w:rsidRPr="005E7365" w14:paraId="7E8F1E13" w14:textId="77777777" w:rsidTr="0073487C">
        <w:trPr>
          <w:cnfStyle w:val="100000000000" w:firstRow="1" w:lastRow="0" w:firstColumn="0" w:lastColumn="0" w:oddVBand="0" w:evenVBand="0" w:oddHBand="0" w:evenHBand="0" w:firstRowFirstColumn="0" w:firstRowLastColumn="0" w:lastRowFirstColumn="0" w:lastRowLastColumn="0"/>
        </w:trPr>
        <w:tc>
          <w:tcPr>
            <w:tcW w:w="2909" w:type="pct"/>
          </w:tcPr>
          <w:p w14:paraId="4AE8EC73" w14:textId="77777777" w:rsidR="00F15727" w:rsidRPr="005E7365" w:rsidRDefault="00F15727" w:rsidP="0073487C">
            <w:pPr>
              <w:pStyle w:val="TableText"/>
              <w:rPr>
                <w:rFonts w:ascii="Poppins" w:hAnsi="Poppins" w:cs="Poppins"/>
                <w:szCs w:val="18"/>
              </w:rPr>
            </w:pPr>
          </w:p>
        </w:tc>
        <w:tc>
          <w:tcPr>
            <w:tcW w:w="2091" w:type="pct"/>
          </w:tcPr>
          <w:p w14:paraId="64C3C52D" w14:textId="77777777" w:rsidR="00F15727" w:rsidRPr="005E7365" w:rsidRDefault="00F15727" w:rsidP="0073487C">
            <w:pPr>
              <w:pStyle w:val="TableText"/>
              <w:jc w:val="center"/>
              <w:rPr>
                <w:rFonts w:ascii="Poppins" w:hAnsi="Poppins" w:cs="Poppins"/>
                <w:b w:val="0"/>
                <w:szCs w:val="18"/>
              </w:rPr>
            </w:pPr>
            <w:r w:rsidRPr="005E7365">
              <w:rPr>
                <w:rFonts w:ascii="Poppins" w:hAnsi="Poppins" w:cs="Poppins"/>
                <w:szCs w:val="18"/>
              </w:rPr>
              <w:t>Huishoudelijk afval</w:t>
            </w:r>
          </w:p>
          <w:p w14:paraId="4570418A" w14:textId="77777777" w:rsidR="00F15727" w:rsidRPr="005E7365" w:rsidRDefault="00F15727" w:rsidP="0073487C">
            <w:pPr>
              <w:pStyle w:val="TableText"/>
              <w:jc w:val="center"/>
              <w:rPr>
                <w:rFonts w:ascii="Poppins" w:hAnsi="Poppins" w:cs="Poppins"/>
                <w:szCs w:val="18"/>
              </w:rPr>
            </w:pPr>
            <w:r w:rsidRPr="005E7365">
              <w:rPr>
                <w:rFonts w:ascii="Poppins" w:hAnsi="Poppins" w:cs="Poppins"/>
                <w:szCs w:val="18"/>
              </w:rPr>
              <w:t>HRA</w:t>
            </w:r>
          </w:p>
        </w:tc>
      </w:tr>
      <w:tr w:rsidR="00F15727" w:rsidRPr="005E7365" w14:paraId="19AF698E" w14:textId="77777777" w:rsidTr="0073487C">
        <w:tc>
          <w:tcPr>
            <w:tcW w:w="2909" w:type="pct"/>
          </w:tcPr>
          <w:p w14:paraId="5381C207" w14:textId="77777777" w:rsidR="00F15727" w:rsidRPr="005E7365" w:rsidRDefault="00F15727" w:rsidP="0073487C">
            <w:pPr>
              <w:pStyle w:val="TableText"/>
              <w:rPr>
                <w:rFonts w:ascii="Poppins" w:hAnsi="Poppins" w:cs="Poppins"/>
                <w:szCs w:val="18"/>
              </w:rPr>
            </w:pPr>
            <w:r w:rsidRPr="005E7365">
              <w:rPr>
                <w:rFonts w:ascii="Poppins" w:hAnsi="Poppins" w:cs="Poppins"/>
                <w:szCs w:val="18"/>
              </w:rPr>
              <w:t>Emissiefactor ton CO</w:t>
            </w:r>
            <w:r w:rsidRPr="005E7365">
              <w:rPr>
                <w:rFonts w:ascii="Poppins" w:hAnsi="Poppins" w:cs="Poppins"/>
                <w:szCs w:val="18"/>
                <w:vertAlign w:val="subscript"/>
              </w:rPr>
              <w:t>2</w:t>
            </w:r>
            <w:r w:rsidRPr="005E7365">
              <w:rPr>
                <w:rFonts w:ascii="Poppins" w:hAnsi="Poppins" w:cs="Poppins"/>
                <w:szCs w:val="18"/>
              </w:rPr>
              <w:t xml:space="preserve"> per ton restafval (2025)</w:t>
            </w:r>
          </w:p>
        </w:tc>
        <w:tc>
          <w:tcPr>
            <w:tcW w:w="2091" w:type="pct"/>
          </w:tcPr>
          <w:p w14:paraId="33FD5B96" w14:textId="77777777" w:rsidR="00F15727" w:rsidRPr="005E7365" w:rsidRDefault="00F15727" w:rsidP="0073487C">
            <w:pPr>
              <w:pStyle w:val="TableText"/>
              <w:jc w:val="center"/>
              <w:rPr>
                <w:rFonts w:ascii="Poppins" w:hAnsi="Poppins" w:cs="Poppins"/>
                <w:szCs w:val="18"/>
              </w:rPr>
            </w:pPr>
            <w:r w:rsidRPr="005E7365">
              <w:rPr>
                <w:rFonts w:ascii="Poppins" w:hAnsi="Poppins" w:cs="Poppins"/>
                <w:szCs w:val="18"/>
              </w:rPr>
              <w:t>0,989</w:t>
            </w:r>
          </w:p>
        </w:tc>
      </w:tr>
      <w:tr w:rsidR="00F15727" w:rsidRPr="005E7365" w14:paraId="49019517" w14:textId="77777777" w:rsidTr="0073487C">
        <w:trPr>
          <w:cnfStyle w:val="010000000000" w:firstRow="0" w:lastRow="1" w:firstColumn="0" w:lastColumn="0" w:oddVBand="0" w:evenVBand="0" w:oddHBand="0" w:evenHBand="0" w:firstRowFirstColumn="0" w:firstRowLastColumn="0" w:lastRowFirstColumn="0" w:lastRowLastColumn="0"/>
          <w:trHeight w:val="70"/>
        </w:trPr>
        <w:tc>
          <w:tcPr>
            <w:tcW w:w="2909" w:type="pct"/>
          </w:tcPr>
          <w:p w14:paraId="79711AD0" w14:textId="77777777" w:rsidR="00F15727" w:rsidRPr="005E7365" w:rsidRDefault="00F15727" w:rsidP="0073487C">
            <w:pPr>
              <w:pStyle w:val="TableText"/>
              <w:rPr>
                <w:rFonts w:ascii="Poppins" w:hAnsi="Poppins" w:cs="Poppins"/>
                <w:b w:val="0"/>
                <w:bCs/>
                <w:szCs w:val="18"/>
              </w:rPr>
            </w:pPr>
            <w:r w:rsidRPr="005E7365">
              <w:rPr>
                <w:rFonts w:ascii="Poppins" w:hAnsi="Poppins" w:cs="Poppins"/>
                <w:b w:val="0"/>
                <w:bCs/>
                <w:szCs w:val="18"/>
              </w:rPr>
              <w:t>Biomassafractie (2025)</w:t>
            </w:r>
          </w:p>
        </w:tc>
        <w:tc>
          <w:tcPr>
            <w:tcW w:w="2091" w:type="pct"/>
          </w:tcPr>
          <w:p w14:paraId="031EA08B" w14:textId="77777777" w:rsidR="00F15727" w:rsidRPr="005E7365" w:rsidRDefault="00F15727" w:rsidP="0073487C">
            <w:pPr>
              <w:pStyle w:val="TableText"/>
              <w:jc w:val="center"/>
              <w:rPr>
                <w:rFonts w:ascii="Poppins" w:hAnsi="Poppins" w:cs="Poppins"/>
                <w:b w:val="0"/>
                <w:bCs/>
                <w:szCs w:val="18"/>
              </w:rPr>
            </w:pPr>
            <w:r w:rsidRPr="005E7365">
              <w:rPr>
                <w:rFonts w:ascii="Poppins" w:hAnsi="Poppins" w:cs="Poppins"/>
                <w:b w:val="0"/>
                <w:bCs/>
                <w:szCs w:val="18"/>
              </w:rPr>
              <w:t>0,646</w:t>
            </w:r>
          </w:p>
        </w:tc>
      </w:tr>
    </w:tbl>
    <w:p w14:paraId="5CC16DB8" w14:textId="77777777" w:rsidR="00F15727" w:rsidRPr="005E7365" w:rsidRDefault="00F15727" w:rsidP="00F15727">
      <w:pPr>
        <w:autoSpaceDE w:val="0"/>
        <w:autoSpaceDN w:val="0"/>
        <w:adjustRightInd w:val="0"/>
        <w:spacing w:line="240" w:lineRule="auto"/>
        <w:rPr>
          <w:rStyle w:val="fontstyle01"/>
          <w:rFonts w:ascii="Poppins" w:eastAsiaTheme="majorEastAsia" w:hAnsi="Poppins" w:cs="Poppins"/>
          <w:sz w:val="18"/>
          <w:szCs w:val="18"/>
        </w:rPr>
      </w:pPr>
    </w:p>
    <w:p w14:paraId="039B1EF0" w14:textId="77777777" w:rsidR="00F15727" w:rsidRPr="005E7365" w:rsidRDefault="00F15727" w:rsidP="00F15727">
      <w:pPr>
        <w:rPr>
          <w:rStyle w:val="fontstyle01"/>
          <w:rFonts w:ascii="Poppins" w:eastAsiaTheme="majorEastAsia" w:hAnsi="Poppins" w:cs="Poppins"/>
          <w:sz w:val="18"/>
          <w:szCs w:val="18"/>
        </w:rPr>
      </w:pPr>
      <w:r w:rsidRPr="005E7365">
        <w:rPr>
          <w:rStyle w:val="fontstyle01"/>
          <w:rFonts w:ascii="Poppins" w:eastAsiaTheme="majorEastAsia" w:hAnsi="Poppins" w:cs="Poppins"/>
          <w:sz w:val="18"/>
          <w:szCs w:val="18"/>
        </w:rPr>
        <w:t xml:space="preserve">De (ETS-)benchmarks zijn een indicatie van de CO2-emissies die gepaard gaan bij de productie van een bepaald product op basis van de emissies van de 10% meest efficiënte bedrijven in de EU. Voor AVI’s zijn geen specifieke benchmarks vastgesteld. Daarom is de benchmarkfactor gebaseerd op de terugvaloptie voor procesemissies: </w:t>
      </w:r>
      <w:r w:rsidRPr="005E7365">
        <w:rPr>
          <w:rStyle w:val="fontstyle01"/>
          <w:rFonts w:ascii="Poppins" w:eastAsiaTheme="majorEastAsia" w:hAnsi="Poppins" w:cs="Poppins"/>
          <w:b/>
          <w:bCs/>
          <w:sz w:val="18"/>
          <w:szCs w:val="18"/>
        </w:rPr>
        <w:t xml:space="preserve">0,97 </w:t>
      </w:r>
      <w:r w:rsidRPr="005E7365">
        <w:rPr>
          <w:rStyle w:val="fontstyle01"/>
          <w:rFonts w:ascii="Poppins" w:eastAsiaTheme="majorEastAsia" w:hAnsi="Poppins" w:cs="Poppins"/>
          <w:sz w:val="18"/>
          <w:szCs w:val="18"/>
        </w:rPr>
        <w:t xml:space="preserve">tot en met 2027 en </w:t>
      </w:r>
      <w:r w:rsidRPr="005E7365">
        <w:rPr>
          <w:rStyle w:val="fontstyle01"/>
          <w:rFonts w:ascii="Poppins" w:eastAsiaTheme="majorEastAsia" w:hAnsi="Poppins" w:cs="Poppins"/>
          <w:b/>
          <w:bCs/>
          <w:sz w:val="18"/>
          <w:szCs w:val="18"/>
        </w:rPr>
        <w:t xml:space="preserve">0,91 </w:t>
      </w:r>
      <w:r w:rsidRPr="005E7365">
        <w:rPr>
          <w:rStyle w:val="fontstyle01"/>
          <w:rFonts w:ascii="Poppins" w:eastAsiaTheme="majorEastAsia" w:hAnsi="Poppins" w:cs="Poppins"/>
          <w:sz w:val="18"/>
          <w:szCs w:val="18"/>
        </w:rPr>
        <w:t>vanaf 2028.</w:t>
      </w:r>
    </w:p>
    <w:p w14:paraId="70FE90A9" w14:textId="77777777" w:rsidR="00F15727" w:rsidRPr="005E7365" w:rsidRDefault="00F15727" w:rsidP="00F15727">
      <w:pPr>
        <w:rPr>
          <w:rStyle w:val="fontstyle01"/>
          <w:rFonts w:ascii="Poppins" w:eastAsiaTheme="majorEastAsia" w:hAnsi="Poppins" w:cs="Poppins"/>
          <w:sz w:val="18"/>
          <w:szCs w:val="18"/>
        </w:rPr>
      </w:pPr>
      <w:r w:rsidRPr="005E7365">
        <w:rPr>
          <w:rStyle w:val="fontstyle01"/>
          <w:rFonts w:ascii="Poppins" w:eastAsiaTheme="majorEastAsia" w:hAnsi="Poppins" w:cs="Poppins"/>
          <w:sz w:val="18"/>
          <w:szCs w:val="18"/>
        </w:rPr>
        <w:t>De AVI-reductiefactor gaat vanaf 2026 lineair ingevoerd worden tot 0,4 in 2030. In het jaar 2026 is de AVI-reductiefactor dus 0,88. In 2027 0,76, in 2028 0,64 en in 2029 0,52.</w:t>
      </w:r>
    </w:p>
    <w:p w14:paraId="71009B6D" w14:textId="77777777" w:rsidR="00F15727" w:rsidRPr="005E7365" w:rsidRDefault="00F15727" w:rsidP="00F15727">
      <w:pPr>
        <w:rPr>
          <w:rStyle w:val="fontstyle01"/>
          <w:rFonts w:ascii="Poppins" w:eastAsiaTheme="majorEastAsia" w:hAnsi="Poppins" w:cs="Poppins"/>
          <w:sz w:val="18"/>
          <w:szCs w:val="18"/>
        </w:rPr>
      </w:pPr>
    </w:p>
    <w:p w14:paraId="3F57A480" w14:textId="77777777" w:rsidR="00F15727" w:rsidRPr="005E7365" w:rsidRDefault="00F15727" w:rsidP="00F15727">
      <w:pPr>
        <w:rPr>
          <w:rStyle w:val="fontstyle01"/>
          <w:rFonts w:ascii="Poppins" w:eastAsiaTheme="majorEastAsia" w:hAnsi="Poppins" w:cs="Poppins"/>
          <w:sz w:val="18"/>
          <w:szCs w:val="18"/>
        </w:rPr>
      </w:pPr>
    </w:p>
    <w:p w14:paraId="204E9EBD" w14:textId="77777777" w:rsidR="00F15727" w:rsidRPr="005E7365" w:rsidRDefault="00F15727" w:rsidP="00F15727">
      <w:pPr>
        <w:rPr>
          <w:rStyle w:val="fontstyle01"/>
          <w:rFonts w:ascii="Poppins" w:eastAsiaTheme="majorEastAsia" w:hAnsi="Poppins" w:cs="Poppins"/>
          <w:sz w:val="18"/>
          <w:szCs w:val="18"/>
        </w:rPr>
      </w:pPr>
    </w:p>
    <w:p w14:paraId="032C8325" w14:textId="77777777" w:rsidR="00F15727" w:rsidRPr="005E7365" w:rsidRDefault="00F15727" w:rsidP="00F15727">
      <w:pPr>
        <w:pStyle w:val="Bijschrift"/>
        <w:keepNext/>
        <w:rPr>
          <w:rFonts w:cs="Poppins"/>
          <w:szCs w:val="18"/>
        </w:rPr>
      </w:pPr>
      <w:r w:rsidRPr="005E7365">
        <w:rPr>
          <w:rFonts w:cs="Poppins"/>
          <w:b/>
          <w:bCs/>
          <w:i w:val="0"/>
          <w:iCs w:val="0"/>
          <w:color w:val="auto"/>
          <w:szCs w:val="18"/>
        </w:rPr>
        <w:t>Tabel 2</w:t>
      </w:r>
      <w:r w:rsidRPr="005E7365">
        <w:rPr>
          <w:rFonts w:cs="Poppins"/>
          <w:szCs w:val="18"/>
        </w:rPr>
        <w:t xml:space="preserve"> - </w:t>
      </w:r>
      <w:r w:rsidRPr="005E7365">
        <w:rPr>
          <w:rFonts w:cs="Poppins"/>
          <w:color w:val="auto"/>
          <w:szCs w:val="18"/>
        </w:rPr>
        <w:t>Nationale reductiefactor en CO</w:t>
      </w:r>
      <w:r w:rsidRPr="005E7365">
        <w:rPr>
          <w:rFonts w:cs="Poppins"/>
          <w:color w:val="auto"/>
          <w:szCs w:val="18"/>
          <w:vertAlign w:val="subscript"/>
        </w:rPr>
        <w:t>2</w:t>
      </w:r>
      <w:r w:rsidRPr="005E7365">
        <w:rPr>
          <w:rFonts w:cs="Poppins"/>
          <w:color w:val="auto"/>
          <w:szCs w:val="18"/>
        </w:rPr>
        <w:t>-tarief per jaar.</w:t>
      </w:r>
    </w:p>
    <w:tbl>
      <w:tblPr>
        <w:tblStyle w:val="Onopgemaaktetabel3"/>
        <w:tblW w:w="5000" w:type="pct"/>
        <w:tblLook w:val="04A0" w:firstRow="1" w:lastRow="0" w:firstColumn="1" w:lastColumn="0" w:noHBand="0" w:noVBand="1"/>
      </w:tblPr>
      <w:tblGrid>
        <w:gridCol w:w="1125"/>
        <w:gridCol w:w="1359"/>
        <w:gridCol w:w="1361"/>
        <w:gridCol w:w="1359"/>
        <w:gridCol w:w="1674"/>
        <w:gridCol w:w="1359"/>
        <w:gridCol w:w="267"/>
      </w:tblGrid>
      <w:tr w:rsidR="00F15727" w:rsidRPr="005E7365" w14:paraId="75227EF3" w14:textId="77777777" w:rsidTr="0073487C">
        <w:trPr>
          <w:gridAfter w:val="1"/>
          <w:cnfStyle w:val="100000000000" w:firstRow="1" w:lastRow="0" w:firstColumn="0" w:lastColumn="0" w:oddVBand="0" w:evenVBand="0" w:oddHBand="0" w:evenHBand="0" w:firstRowFirstColumn="0" w:firstRowLastColumn="0" w:lastRowFirstColumn="0" w:lastRowLastColumn="0"/>
          <w:wAfter w:w="158" w:type="pct"/>
          <w:trHeight w:val="264"/>
        </w:trPr>
        <w:tc>
          <w:tcPr>
            <w:cnfStyle w:val="001000000100" w:firstRow="0" w:lastRow="0" w:firstColumn="1" w:lastColumn="0" w:oddVBand="0" w:evenVBand="0" w:oddHBand="0" w:evenHBand="0" w:firstRowFirstColumn="1" w:firstRowLastColumn="0" w:lastRowFirstColumn="0" w:lastRowLastColumn="0"/>
            <w:tcW w:w="662" w:type="pct"/>
            <w:hideMark/>
          </w:tcPr>
          <w:p w14:paraId="5DAFC4AF" w14:textId="77777777" w:rsidR="00F15727" w:rsidRPr="005E7365" w:rsidRDefault="00F15727" w:rsidP="0073487C">
            <w:pPr>
              <w:rPr>
                <w:rFonts w:cs="Poppins"/>
                <w:b w:val="0"/>
                <w:bCs w:val="0"/>
                <w:color w:val="000000" w:themeColor="text1"/>
              </w:rPr>
            </w:pPr>
          </w:p>
        </w:tc>
        <w:tc>
          <w:tcPr>
            <w:tcW w:w="799" w:type="pct"/>
            <w:hideMark/>
          </w:tcPr>
          <w:p w14:paraId="3B1947CA" w14:textId="77777777" w:rsidR="00F15727" w:rsidRPr="005E7365" w:rsidRDefault="00F15727" w:rsidP="0073487C">
            <w:pPr>
              <w:jc w:val="center"/>
              <w:cnfStyle w:val="100000000000" w:firstRow="1" w:lastRow="0" w:firstColumn="0" w:lastColumn="0" w:oddVBand="0" w:evenVBand="0" w:oddHBand="0" w:evenHBand="0" w:firstRowFirstColumn="0" w:firstRowLastColumn="0" w:lastRowFirstColumn="0" w:lastRowLastColumn="0"/>
              <w:rPr>
                <w:rFonts w:cs="Poppins"/>
                <w:b w:val="0"/>
                <w:bCs w:val="0"/>
                <w:color w:val="000000" w:themeColor="text1"/>
              </w:rPr>
            </w:pPr>
            <w:r w:rsidRPr="005E7365">
              <w:rPr>
                <w:rFonts w:cs="Poppins"/>
                <w:color w:val="000000" w:themeColor="text1"/>
              </w:rPr>
              <w:t>2026</w:t>
            </w:r>
          </w:p>
        </w:tc>
        <w:tc>
          <w:tcPr>
            <w:tcW w:w="800" w:type="pct"/>
            <w:hideMark/>
          </w:tcPr>
          <w:p w14:paraId="53E3F589" w14:textId="77777777" w:rsidR="00F15727" w:rsidRPr="005E7365" w:rsidRDefault="00F15727" w:rsidP="0073487C">
            <w:pPr>
              <w:jc w:val="center"/>
              <w:cnfStyle w:val="100000000000" w:firstRow="1" w:lastRow="0" w:firstColumn="0" w:lastColumn="0" w:oddVBand="0" w:evenVBand="0" w:oddHBand="0" w:evenHBand="0" w:firstRowFirstColumn="0" w:firstRowLastColumn="0" w:lastRowFirstColumn="0" w:lastRowLastColumn="0"/>
              <w:rPr>
                <w:rFonts w:cs="Poppins"/>
                <w:b w:val="0"/>
                <w:bCs w:val="0"/>
                <w:color w:val="000000" w:themeColor="text1"/>
              </w:rPr>
            </w:pPr>
            <w:r w:rsidRPr="005E7365">
              <w:rPr>
                <w:rFonts w:cs="Poppins"/>
                <w:color w:val="000000" w:themeColor="text1"/>
              </w:rPr>
              <w:t>2027</w:t>
            </w:r>
          </w:p>
        </w:tc>
        <w:tc>
          <w:tcPr>
            <w:tcW w:w="799" w:type="pct"/>
            <w:hideMark/>
          </w:tcPr>
          <w:p w14:paraId="6B4F6AD9" w14:textId="77777777" w:rsidR="00F15727" w:rsidRPr="005E7365" w:rsidRDefault="00F15727" w:rsidP="0073487C">
            <w:pPr>
              <w:jc w:val="center"/>
              <w:cnfStyle w:val="100000000000" w:firstRow="1" w:lastRow="0" w:firstColumn="0" w:lastColumn="0" w:oddVBand="0" w:evenVBand="0" w:oddHBand="0" w:evenHBand="0" w:firstRowFirstColumn="0" w:firstRowLastColumn="0" w:lastRowFirstColumn="0" w:lastRowLastColumn="0"/>
              <w:rPr>
                <w:rFonts w:cs="Poppins"/>
                <w:b w:val="0"/>
                <w:bCs w:val="0"/>
                <w:color w:val="000000" w:themeColor="text1"/>
              </w:rPr>
            </w:pPr>
            <w:r w:rsidRPr="005E7365">
              <w:rPr>
                <w:rFonts w:cs="Poppins"/>
                <w:color w:val="000000" w:themeColor="text1"/>
              </w:rPr>
              <w:t>2028</w:t>
            </w:r>
          </w:p>
        </w:tc>
        <w:tc>
          <w:tcPr>
            <w:tcW w:w="984" w:type="pct"/>
            <w:hideMark/>
          </w:tcPr>
          <w:p w14:paraId="60C2FE1E" w14:textId="77777777" w:rsidR="00F15727" w:rsidRPr="005E7365" w:rsidRDefault="00F15727" w:rsidP="0073487C">
            <w:pPr>
              <w:jc w:val="center"/>
              <w:cnfStyle w:val="100000000000" w:firstRow="1" w:lastRow="0" w:firstColumn="0" w:lastColumn="0" w:oddVBand="0" w:evenVBand="0" w:oddHBand="0" w:evenHBand="0" w:firstRowFirstColumn="0" w:firstRowLastColumn="0" w:lastRowFirstColumn="0" w:lastRowLastColumn="0"/>
              <w:rPr>
                <w:rFonts w:cs="Poppins"/>
                <w:b w:val="0"/>
                <w:bCs w:val="0"/>
                <w:color w:val="000000" w:themeColor="text1"/>
              </w:rPr>
            </w:pPr>
            <w:r w:rsidRPr="005E7365">
              <w:rPr>
                <w:rFonts w:cs="Poppins"/>
                <w:color w:val="000000" w:themeColor="text1"/>
              </w:rPr>
              <w:t>2029</w:t>
            </w:r>
          </w:p>
        </w:tc>
        <w:tc>
          <w:tcPr>
            <w:tcW w:w="799" w:type="pct"/>
            <w:hideMark/>
          </w:tcPr>
          <w:p w14:paraId="339BA555" w14:textId="77777777" w:rsidR="00F15727" w:rsidRPr="005E7365" w:rsidRDefault="00F15727" w:rsidP="0073487C">
            <w:pPr>
              <w:jc w:val="center"/>
              <w:cnfStyle w:val="100000000000" w:firstRow="1" w:lastRow="0" w:firstColumn="0" w:lastColumn="0" w:oddVBand="0" w:evenVBand="0" w:oddHBand="0" w:evenHBand="0" w:firstRowFirstColumn="0" w:firstRowLastColumn="0" w:lastRowFirstColumn="0" w:lastRowLastColumn="0"/>
              <w:rPr>
                <w:rFonts w:cs="Poppins"/>
                <w:b w:val="0"/>
                <w:bCs w:val="0"/>
                <w:color w:val="000000" w:themeColor="text1"/>
              </w:rPr>
            </w:pPr>
            <w:r w:rsidRPr="005E7365">
              <w:rPr>
                <w:rFonts w:cs="Poppins"/>
                <w:color w:val="000000" w:themeColor="text1"/>
              </w:rPr>
              <w:t>2030</w:t>
            </w:r>
          </w:p>
        </w:tc>
      </w:tr>
      <w:tr w:rsidR="00F15727" w:rsidRPr="005E7365" w14:paraId="6BE35267" w14:textId="77777777" w:rsidTr="0073487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62" w:type="pct"/>
            <w:shd w:val="clear" w:color="auto" w:fill="C1F0C7" w:themeFill="accent3" w:themeFillTint="33"/>
          </w:tcPr>
          <w:p w14:paraId="476D1EA6" w14:textId="77777777" w:rsidR="00F15727" w:rsidRPr="005E7365" w:rsidRDefault="00F15727" w:rsidP="0073487C">
            <w:pPr>
              <w:rPr>
                <w:rFonts w:cs="Poppins"/>
              </w:rPr>
            </w:pPr>
            <w:r w:rsidRPr="005E7365">
              <w:rPr>
                <w:rFonts w:cs="Poppins"/>
              </w:rPr>
              <w:t>NRF</w:t>
            </w:r>
          </w:p>
        </w:tc>
        <w:tc>
          <w:tcPr>
            <w:tcW w:w="799" w:type="pct"/>
            <w:shd w:val="clear" w:color="auto" w:fill="C1F0C7" w:themeFill="accent3" w:themeFillTint="33"/>
          </w:tcPr>
          <w:p w14:paraId="403D8F36" w14:textId="77777777" w:rsidR="00F15727" w:rsidRPr="005E7365" w:rsidRDefault="00F15727" w:rsidP="0073487C">
            <w:pPr>
              <w:jc w:val="center"/>
              <w:cnfStyle w:val="000000100000" w:firstRow="0" w:lastRow="0" w:firstColumn="0" w:lastColumn="0" w:oddVBand="0" w:evenVBand="0" w:oddHBand="1" w:evenHBand="0" w:firstRowFirstColumn="0" w:firstRowLastColumn="0" w:lastRowFirstColumn="0" w:lastRowLastColumn="0"/>
              <w:rPr>
                <w:rFonts w:cs="Poppins"/>
              </w:rPr>
            </w:pPr>
            <w:r w:rsidRPr="005E7365">
              <w:rPr>
                <w:rFonts w:cs="Poppins"/>
              </w:rPr>
              <w:t>0,979</w:t>
            </w:r>
          </w:p>
        </w:tc>
        <w:tc>
          <w:tcPr>
            <w:tcW w:w="800" w:type="pct"/>
            <w:shd w:val="clear" w:color="auto" w:fill="C1F0C7" w:themeFill="accent3" w:themeFillTint="33"/>
          </w:tcPr>
          <w:p w14:paraId="14ABDA58" w14:textId="77777777" w:rsidR="00F15727" w:rsidRPr="005E7365" w:rsidRDefault="00F15727" w:rsidP="0073487C">
            <w:pPr>
              <w:jc w:val="center"/>
              <w:cnfStyle w:val="000000100000" w:firstRow="0" w:lastRow="0" w:firstColumn="0" w:lastColumn="0" w:oddVBand="0" w:evenVBand="0" w:oddHBand="1" w:evenHBand="0" w:firstRowFirstColumn="0" w:firstRowLastColumn="0" w:lastRowFirstColumn="0" w:lastRowLastColumn="0"/>
              <w:rPr>
                <w:rFonts w:cs="Poppins"/>
              </w:rPr>
            </w:pPr>
            <w:r w:rsidRPr="005E7365">
              <w:rPr>
                <w:rFonts w:cs="Poppins"/>
              </w:rPr>
              <w:t>0,901</w:t>
            </w:r>
          </w:p>
        </w:tc>
        <w:tc>
          <w:tcPr>
            <w:tcW w:w="799" w:type="pct"/>
            <w:shd w:val="clear" w:color="auto" w:fill="C1F0C7" w:themeFill="accent3" w:themeFillTint="33"/>
          </w:tcPr>
          <w:p w14:paraId="1FE41FA3" w14:textId="77777777" w:rsidR="00F15727" w:rsidRPr="005E7365" w:rsidRDefault="00F15727" w:rsidP="0073487C">
            <w:pPr>
              <w:jc w:val="center"/>
              <w:cnfStyle w:val="000000100000" w:firstRow="0" w:lastRow="0" w:firstColumn="0" w:lastColumn="0" w:oddVBand="0" w:evenVBand="0" w:oddHBand="1" w:evenHBand="0" w:firstRowFirstColumn="0" w:firstRowLastColumn="0" w:lastRowFirstColumn="0" w:lastRowLastColumn="0"/>
              <w:rPr>
                <w:rFonts w:cs="Poppins"/>
              </w:rPr>
            </w:pPr>
            <w:r w:rsidRPr="005E7365">
              <w:rPr>
                <w:rFonts w:cs="Poppins"/>
              </w:rPr>
              <w:t>0,823</w:t>
            </w:r>
          </w:p>
        </w:tc>
        <w:tc>
          <w:tcPr>
            <w:tcW w:w="984" w:type="pct"/>
            <w:shd w:val="clear" w:color="auto" w:fill="C1F0C7" w:themeFill="accent3" w:themeFillTint="33"/>
          </w:tcPr>
          <w:p w14:paraId="0D9E7680" w14:textId="77777777" w:rsidR="00F15727" w:rsidRPr="005E7365" w:rsidRDefault="00F15727" w:rsidP="0073487C">
            <w:pPr>
              <w:jc w:val="center"/>
              <w:cnfStyle w:val="000000100000" w:firstRow="0" w:lastRow="0" w:firstColumn="0" w:lastColumn="0" w:oddVBand="0" w:evenVBand="0" w:oddHBand="1" w:evenHBand="0" w:firstRowFirstColumn="0" w:firstRowLastColumn="0" w:lastRowFirstColumn="0" w:lastRowLastColumn="0"/>
              <w:rPr>
                <w:rFonts w:cs="Poppins"/>
              </w:rPr>
            </w:pPr>
            <w:r w:rsidRPr="005E7365">
              <w:rPr>
                <w:rFonts w:cs="Poppins"/>
              </w:rPr>
              <w:t>0,745</w:t>
            </w:r>
          </w:p>
        </w:tc>
        <w:tc>
          <w:tcPr>
            <w:tcW w:w="957" w:type="pct"/>
            <w:gridSpan w:val="2"/>
            <w:shd w:val="clear" w:color="auto" w:fill="C1F0C7" w:themeFill="accent3" w:themeFillTint="33"/>
          </w:tcPr>
          <w:p w14:paraId="1334CE84" w14:textId="77777777" w:rsidR="00F15727" w:rsidRPr="005E7365" w:rsidRDefault="00F15727" w:rsidP="0073487C">
            <w:pPr>
              <w:jc w:val="center"/>
              <w:cnfStyle w:val="000000100000" w:firstRow="0" w:lastRow="0" w:firstColumn="0" w:lastColumn="0" w:oddVBand="0" w:evenVBand="0" w:oddHBand="1" w:evenHBand="0" w:firstRowFirstColumn="0" w:firstRowLastColumn="0" w:lastRowFirstColumn="0" w:lastRowLastColumn="0"/>
              <w:rPr>
                <w:rFonts w:cs="Poppins"/>
              </w:rPr>
            </w:pPr>
            <w:r w:rsidRPr="005E7365">
              <w:rPr>
                <w:rFonts w:cs="Poppins"/>
              </w:rPr>
              <w:t>0,667</w:t>
            </w:r>
          </w:p>
        </w:tc>
      </w:tr>
      <w:tr w:rsidR="00F15727" w:rsidRPr="005E7365" w14:paraId="352F423A" w14:textId="77777777" w:rsidTr="0073487C">
        <w:trPr>
          <w:trHeight w:val="279"/>
        </w:trPr>
        <w:tc>
          <w:tcPr>
            <w:cnfStyle w:val="001000000000" w:firstRow="0" w:lastRow="0" w:firstColumn="1" w:lastColumn="0" w:oddVBand="0" w:evenVBand="0" w:oddHBand="0" w:evenHBand="0" w:firstRowFirstColumn="0" w:firstRowLastColumn="0" w:lastRowFirstColumn="0" w:lastRowLastColumn="0"/>
            <w:tcW w:w="662" w:type="pct"/>
          </w:tcPr>
          <w:p w14:paraId="0ADD18F5" w14:textId="77777777" w:rsidR="00F15727" w:rsidRPr="005E7365" w:rsidRDefault="00F15727" w:rsidP="0073487C">
            <w:pPr>
              <w:rPr>
                <w:rFonts w:cs="Poppins"/>
              </w:rPr>
            </w:pPr>
            <w:r w:rsidRPr="005E7365">
              <w:rPr>
                <w:rFonts w:cs="Poppins"/>
              </w:rPr>
              <w:t>TARIEF</w:t>
            </w:r>
          </w:p>
        </w:tc>
        <w:tc>
          <w:tcPr>
            <w:tcW w:w="799" w:type="pct"/>
          </w:tcPr>
          <w:p w14:paraId="5F1312E5" w14:textId="77777777" w:rsidR="00F15727" w:rsidRPr="005E7365" w:rsidRDefault="00F15727" w:rsidP="0073487C">
            <w:pPr>
              <w:jc w:val="center"/>
              <w:cnfStyle w:val="000000000000" w:firstRow="0" w:lastRow="0" w:firstColumn="0" w:lastColumn="0" w:oddVBand="0" w:evenVBand="0" w:oddHBand="0" w:evenHBand="0" w:firstRowFirstColumn="0" w:firstRowLastColumn="0" w:lastRowFirstColumn="0" w:lastRowLastColumn="0"/>
              <w:rPr>
                <w:rFonts w:cs="Poppins"/>
              </w:rPr>
            </w:pPr>
            <w:r w:rsidRPr="005E7365">
              <w:rPr>
                <w:rFonts w:cs="Poppins"/>
                <w:color w:val="000000" w:themeColor="text1"/>
              </w:rPr>
              <w:t>€103,66</w:t>
            </w:r>
          </w:p>
        </w:tc>
        <w:tc>
          <w:tcPr>
            <w:tcW w:w="800" w:type="pct"/>
          </w:tcPr>
          <w:p w14:paraId="79C8B541" w14:textId="77777777" w:rsidR="00F15727" w:rsidRPr="005E7365" w:rsidRDefault="00F15727" w:rsidP="0073487C">
            <w:pPr>
              <w:jc w:val="center"/>
              <w:cnfStyle w:val="000000000000" w:firstRow="0" w:lastRow="0" w:firstColumn="0" w:lastColumn="0" w:oddVBand="0" w:evenVBand="0" w:oddHBand="0" w:evenHBand="0" w:firstRowFirstColumn="0" w:firstRowLastColumn="0" w:lastRowFirstColumn="0" w:lastRowLastColumn="0"/>
              <w:rPr>
                <w:rFonts w:cs="Poppins"/>
              </w:rPr>
            </w:pPr>
            <w:r w:rsidRPr="005E7365">
              <w:rPr>
                <w:rFonts w:cs="Poppins"/>
              </w:rPr>
              <w:t>€153,32</w:t>
            </w:r>
          </w:p>
        </w:tc>
        <w:tc>
          <w:tcPr>
            <w:tcW w:w="799" w:type="pct"/>
          </w:tcPr>
          <w:p w14:paraId="23DE6531" w14:textId="77777777" w:rsidR="00F15727" w:rsidRPr="005E7365" w:rsidRDefault="00F15727" w:rsidP="0073487C">
            <w:pPr>
              <w:jc w:val="center"/>
              <w:cnfStyle w:val="000000000000" w:firstRow="0" w:lastRow="0" w:firstColumn="0" w:lastColumn="0" w:oddVBand="0" w:evenVBand="0" w:oddHBand="0" w:evenHBand="0" w:firstRowFirstColumn="0" w:firstRowLastColumn="0" w:lastRowFirstColumn="0" w:lastRowLastColumn="0"/>
              <w:rPr>
                <w:rFonts w:cs="Poppins"/>
              </w:rPr>
            </w:pPr>
            <w:r w:rsidRPr="005E7365">
              <w:rPr>
                <w:rFonts w:cs="Poppins"/>
              </w:rPr>
              <w:t>€203,74</w:t>
            </w:r>
          </w:p>
        </w:tc>
        <w:tc>
          <w:tcPr>
            <w:tcW w:w="984" w:type="pct"/>
          </w:tcPr>
          <w:p w14:paraId="25DCD5E7" w14:textId="77777777" w:rsidR="00F15727" w:rsidRPr="005E7365" w:rsidRDefault="00F15727" w:rsidP="0073487C">
            <w:pPr>
              <w:jc w:val="center"/>
              <w:cnfStyle w:val="000000000000" w:firstRow="0" w:lastRow="0" w:firstColumn="0" w:lastColumn="0" w:oddVBand="0" w:evenVBand="0" w:oddHBand="0" w:evenHBand="0" w:firstRowFirstColumn="0" w:firstRowLastColumn="0" w:lastRowFirstColumn="0" w:lastRowLastColumn="0"/>
              <w:rPr>
                <w:rFonts w:cs="Poppins"/>
              </w:rPr>
            </w:pPr>
            <w:r w:rsidRPr="005E7365">
              <w:rPr>
                <w:rFonts w:cs="Poppins"/>
              </w:rPr>
              <w:t>€254,16</w:t>
            </w:r>
          </w:p>
        </w:tc>
        <w:tc>
          <w:tcPr>
            <w:tcW w:w="957" w:type="pct"/>
            <w:gridSpan w:val="2"/>
          </w:tcPr>
          <w:p w14:paraId="2406D53D" w14:textId="77777777" w:rsidR="00F15727" w:rsidRPr="005E7365" w:rsidRDefault="00F15727" w:rsidP="0073487C">
            <w:pPr>
              <w:jc w:val="center"/>
              <w:cnfStyle w:val="000000000000" w:firstRow="0" w:lastRow="0" w:firstColumn="0" w:lastColumn="0" w:oddVBand="0" w:evenVBand="0" w:oddHBand="0" w:evenHBand="0" w:firstRowFirstColumn="0" w:firstRowLastColumn="0" w:lastRowFirstColumn="0" w:lastRowLastColumn="0"/>
              <w:rPr>
                <w:rFonts w:cs="Poppins"/>
              </w:rPr>
            </w:pPr>
            <w:r w:rsidRPr="005E7365">
              <w:rPr>
                <w:rFonts w:cs="Poppins"/>
              </w:rPr>
              <w:t>€303,55</w:t>
            </w:r>
          </w:p>
        </w:tc>
      </w:tr>
    </w:tbl>
    <w:p w14:paraId="4A27EE3F" w14:textId="77777777" w:rsidR="00F15727" w:rsidRDefault="00F15727" w:rsidP="00F15727">
      <w:pPr>
        <w:rPr>
          <w:rStyle w:val="fontstyle01"/>
          <w:rFonts w:ascii="Poppins" w:eastAsiaTheme="majorEastAsia" w:hAnsi="Poppins" w:cs="Poppins"/>
          <w:b/>
          <w:bCs/>
          <w:sz w:val="18"/>
          <w:szCs w:val="18"/>
        </w:rPr>
      </w:pPr>
    </w:p>
    <w:p w14:paraId="26FA331B" w14:textId="77777777" w:rsidR="00F15727" w:rsidRDefault="00F15727" w:rsidP="00F15727">
      <w:pPr>
        <w:rPr>
          <w:rStyle w:val="fontstyle01"/>
          <w:rFonts w:ascii="Poppins" w:eastAsiaTheme="majorEastAsia" w:hAnsi="Poppins" w:cs="Poppins"/>
          <w:b/>
          <w:bCs/>
          <w:sz w:val="18"/>
          <w:szCs w:val="18"/>
        </w:rPr>
      </w:pPr>
    </w:p>
    <w:p w14:paraId="4E2F92B4" w14:textId="77777777" w:rsidR="00F15727" w:rsidRDefault="00F15727" w:rsidP="00F15727">
      <w:pPr>
        <w:rPr>
          <w:rStyle w:val="fontstyle01"/>
          <w:rFonts w:ascii="Poppins" w:eastAsiaTheme="majorEastAsia" w:hAnsi="Poppins" w:cs="Poppins"/>
          <w:b/>
          <w:bCs/>
          <w:sz w:val="18"/>
          <w:szCs w:val="18"/>
        </w:rPr>
      </w:pPr>
    </w:p>
    <w:p w14:paraId="54DD1141" w14:textId="77777777" w:rsidR="00F15727" w:rsidRDefault="00F15727" w:rsidP="00F15727">
      <w:pPr>
        <w:rPr>
          <w:rStyle w:val="fontstyle01"/>
          <w:rFonts w:ascii="Poppins" w:eastAsiaTheme="majorEastAsia" w:hAnsi="Poppins" w:cs="Poppins"/>
          <w:b/>
          <w:bCs/>
          <w:sz w:val="18"/>
          <w:szCs w:val="18"/>
        </w:rPr>
      </w:pPr>
    </w:p>
    <w:p w14:paraId="56E73941" w14:textId="77777777" w:rsidR="00F15727" w:rsidRDefault="00F15727" w:rsidP="00F15727">
      <w:pPr>
        <w:rPr>
          <w:rStyle w:val="fontstyle01"/>
          <w:rFonts w:ascii="Poppins" w:eastAsiaTheme="majorEastAsia" w:hAnsi="Poppins" w:cs="Poppins"/>
          <w:b/>
          <w:bCs/>
          <w:sz w:val="18"/>
          <w:szCs w:val="18"/>
        </w:rPr>
      </w:pPr>
    </w:p>
    <w:p w14:paraId="462F7ADD" w14:textId="77777777" w:rsidR="00F15727" w:rsidRDefault="00F15727" w:rsidP="00F15727">
      <w:pPr>
        <w:rPr>
          <w:rStyle w:val="fontstyle01"/>
          <w:rFonts w:ascii="Poppins" w:eastAsiaTheme="majorEastAsia" w:hAnsi="Poppins" w:cs="Poppins"/>
          <w:b/>
          <w:bCs/>
          <w:sz w:val="18"/>
          <w:szCs w:val="18"/>
        </w:rPr>
      </w:pPr>
    </w:p>
    <w:p w14:paraId="710C8655" w14:textId="7F8C5896" w:rsidR="00F15727" w:rsidRPr="005E7365" w:rsidRDefault="00F15727" w:rsidP="00F15727">
      <w:pPr>
        <w:rPr>
          <w:rStyle w:val="fontstyle01"/>
          <w:rFonts w:ascii="Poppins" w:eastAsiaTheme="majorEastAsia" w:hAnsi="Poppins" w:cs="Poppins"/>
          <w:b/>
          <w:bCs/>
          <w:sz w:val="18"/>
          <w:szCs w:val="18"/>
        </w:rPr>
      </w:pPr>
      <w:r w:rsidRPr="005E7365">
        <w:rPr>
          <w:rStyle w:val="fontstyle01"/>
          <w:rFonts w:ascii="Poppins" w:eastAsiaTheme="majorEastAsia" w:hAnsi="Poppins" w:cs="Poppins"/>
          <w:b/>
          <w:bCs/>
          <w:sz w:val="18"/>
          <w:szCs w:val="18"/>
        </w:rPr>
        <w:lastRenderedPageBreak/>
        <w:t>Vergoedingen voor Opdrachtnemer (AVI)</w:t>
      </w:r>
    </w:p>
    <w:p w14:paraId="088A4DDD" w14:textId="77777777" w:rsidR="00F15727" w:rsidRDefault="00F15727" w:rsidP="00F15727">
      <w:pPr>
        <w:autoSpaceDE w:val="0"/>
        <w:autoSpaceDN w:val="0"/>
        <w:adjustRightInd w:val="0"/>
        <w:spacing w:line="240" w:lineRule="auto"/>
        <w:rPr>
          <w:rFonts w:cs="Poppins"/>
        </w:rPr>
      </w:pPr>
      <w:r w:rsidRPr="005E7365">
        <w:rPr>
          <w:rFonts w:cs="Poppins"/>
        </w:rPr>
        <w:t>Concreet zijn de vergoedingen voor de Nederlandse CO2-heffing per ton als volgt:</w:t>
      </w:r>
      <w:r w:rsidRPr="005E7365">
        <w:rPr>
          <w:rFonts w:cs="Poppins"/>
        </w:rPr>
        <w:br/>
        <w:t xml:space="preserve">(zie </w:t>
      </w:r>
      <w:proofErr w:type="gramStart"/>
      <w:r w:rsidRPr="005E7365">
        <w:rPr>
          <w:rFonts w:cs="Poppins"/>
        </w:rPr>
        <w:t>tevens</w:t>
      </w:r>
      <w:proofErr w:type="gramEnd"/>
      <w:r w:rsidRPr="005E7365">
        <w:rPr>
          <w:rFonts w:cs="Poppins"/>
        </w:rPr>
        <w:t xml:space="preserve"> de bijlage Proefberekening)</w:t>
      </w:r>
    </w:p>
    <w:p w14:paraId="798C1AB6" w14:textId="77777777" w:rsidR="00F15727" w:rsidRPr="005E7365" w:rsidRDefault="00F15727" w:rsidP="00F15727">
      <w:pPr>
        <w:autoSpaceDE w:val="0"/>
        <w:autoSpaceDN w:val="0"/>
        <w:adjustRightInd w:val="0"/>
        <w:spacing w:line="240" w:lineRule="auto"/>
        <w:rPr>
          <w:rFonts w:cs="Poppins"/>
          <w:color w:val="000000"/>
        </w:rPr>
      </w:pPr>
    </w:p>
    <w:p w14:paraId="3CD9C8D0" w14:textId="77777777" w:rsidR="00F15727" w:rsidRPr="005E7365" w:rsidRDefault="00F15727" w:rsidP="00F15727">
      <w:pPr>
        <w:pStyle w:val="Bijschrift"/>
        <w:keepNext/>
        <w:rPr>
          <w:rFonts w:cs="Poppins"/>
          <w:szCs w:val="18"/>
        </w:rPr>
      </w:pPr>
      <w:r w:rsidRPr="005E7365">
        <w:rPr>
          <w:rFonts w:cs="Poppins"/>
          <w:b/>
          <w:bCs/>
          <w:i w:val="0"/>
          <w:iCs w:val="0"/>
          <w:color w:val="auto"/>
          <w:szCs w:val="18"/>
        </w:rPr>
        <w:t>Tabel 3</w:t>
      </w:r>
      <w:r w:rsidRPr="005E7365">
        <w:rPr>
          <w:rFonts w:cs="Poppins"/>
          <w:szCs w:val="18"/>
        </w:rPr>
        <w:t xml:space="preserve"> – </w:t>
      </w:r>
      <w:r w:rsidRPr="005E7365">
        <w:rPr>
          <w:rFonts w:cs="Poppins"/>
          <w:color w:val="auto"/>
          <w:szCs w:val="18"/>
        </w:rPr>
        <w:t>Berekende CO</w:t>
      </w:r>
      <w:r w:rsidRPr="005E7365">
        <w:rPr>
          <w:rFonts w:cs="Poppins"/>
          <w:color w:val="auto"/>
          <w:szCs w:val="18"/>
          <w:vertAlign w:val="subscript"/>
        </w:rPr>
        <w:t>2</w:t>
      </w:r>
      <w:r w:rsidRPr="005E7365">
        <w:rPr>
          <w:rFonts w:cs="Poppins"/>
          <w:color w:val="auto"/>
          <w:szCs w:val="18"/>
        </w:rPr>
        <w:t>-heffingsbedragen.</w:t>
      </w:r>
    </w:p>
    <w:tbl>
      <w:tblPr>
        <w:tblStyle w:val="KplusV"/>
        <w:tblW w:w="5000" w:type="pct"/>
        <w:tblCellMar>
          <w:left w:w="0" w:type="dxa"/>
          <w:right w:w="0" w:type="dxa"/>
        </w:tblCellMar>
        <w:tblLook w:val="0620" w:firstRow="1" w:lastRow="0" w:firstColumn="0" w:lastColumn="0" w:noHBand="1" w:noVBand="1"/>
      </w:tblPr>
      <w:tblGrid>
        <w:gridCol w:w="2688"/>
        <w:gridCol w:w="1165"/>
        <w:gridCol w:w="1162"/>
        <w:gridCol w:w="1162"/>
        <w:gridCol w:w="1162"/>
        <w:gridCol w:w="633"/>
        <w:gridCol w:w="532"/>
      </w:tblGrid>
      <w:tr w:rsidR="00F15727" w:rsidRPr="005E7365" w14:paraId="44416D4E" w14:textId="77777777" w:rsidTr="0073487C">
        <w:trPr>
          <w:cnfStyle w:val="100000000000" w:firstRow="1" w:lastRow="0" w:firstColumn="0" w:lastColumn="0" w:oddVBand="0" w:evenVBand="0" w:oddHBand="0" w:evenHBand="0" w:firstRowFirstColumn="0" w:firstRowLastColumn="0" w:lastRowFirstColumn="0" w:lastRowLastColumn="0"/>
        </w:trPr>
        <w:tc>
          <w:tcPr>
            <w:tcW w:w="1581" w:type="pct"/>
          </w:tcPr>
          <w:p w14:paraId="09F9AFE1" w14:textId="77777777" w:rsidR="00F15727" w:rsidRPr="005E7365" w:rsidRDefault="00F15727" w:rsidP="0073487C">
            <w:pPr>
              <w:pStyle w:val="TableText"/>
              <w:rPr>
                <w:rFonts w:ascii="Poppins" w:hAnsi="Poppins" w:cs="Poppins"/>
                <w:szCs w:val="18"/>
              </w:rPr>
            </w:pPr>
          </w:p>
        </w:tc>
        <w:tc>
          <w:tcPr>
            <w:tcW w:w="3106" w:type="pct"/>
            <w:gridSpan w:val="5"/>
          </w:tcPr>
          <w:p w14:paraId="4ADCF5D2" w14:textId="77777777" w:rsidR="00F15727" w:rsidRPr="005E7365" w:rsidRDefault="00F15727" w:rsidP="0073487C">
            <w:pPr>
              <w:pStyle w:val="TableText"/>
              <w:jc w:val="center"/>
              <w:rPr>
                <w:rFonts w:ascii="Poppins" w:hAnsi="Poppins" w:cs="Poppins"/>
                <w:szCs w:val="18"/>
              </w:rPr>
            </w:pPr>
            <w:r w:rsidRPr="005E7365">
              <w:rPr>
                <w:rFonts w:ascii="Poppins" w:hAnsi="Poppins" w:cs="Poppins"/>
                <w:szCs w:val="18"/>
              </w:rPr>
              <w:t>CO</w:t>
            </w:r>
            <w:r w:rsidRPr="005E7365">
              <w:rPr>
                <w:rFonts w:ascii="Poppins" w:hAnsi="Poppins" w:cs="Poppins"/>
                <w:szCs w:val="18"/>
                <w:vertAlign w:val="subscript"/>
              </w:rPr>
              <w:t>2</w:t>
            </w:r>
            <w:r w:rsidRPr="005E7365">
              <w:rPr>
                <w:rFonts w:ascii="Poppins" w:hAnsi="Poppins" w:cs="Poppins"/>
                <w:szCs w:val="18"/>
              </w:rPr>
              <w:t>-heffing per ton</w:t>
            </w:r>
          </w:p>
        </w:tc>
        <w:tc>
          <w:tcPr>
            <w:tcW w:w="313" w:type="pct"/>
          </w:tcPr>
          <w:p w14:paraId="19CF6424" w14:textId="77777777" w:rsidR="00F15727" w:rsidRPr="005E7365" w:rsidRDefault="00F15727" w:rsidP="0073487C">
            <w:pPr>
              <w:pStyle w:val="TableText"/>
              <w:jc w:val="center"/>
              <w:rPr>
                <w:rFonts w:ascii="Poppins" w:hAnsi="Poppins" w:cs="Poppins"/>
                <w:szCs w:val="18"/>
              </w:rPr>
            </w:pPr>
          </w:p>
        </w:tc>
      </w:tr>
      <w:tr w:rsidR="00F15727" w:rsidRPr="005E7365" w14:paraId="176AA84A" w14:textId="77777777" w:rsidTr="0073487C">
        <w:tc>
          <w:tcPr>
            <w:tcW w:w="1581" w:type="pct"/>
          </w:tcPr>
          <w:p w14:paraId="1D0B13F8" w14:textId="77777777" w:rsidR="00F15727" w:rsidRPr="005E7365" w:rsidRDefault="00F15727" w:rsidP="0073487C">
            <w:pPr>
              <w:pStyle w:val="TableText"/>
              <w:rPr>
                <w:rFonts w:ascii="Poppins" w:hAnsi="Poppins" w:cs="Poppins"/>
                <w:b/>
                <w:bCs/>
                <w:szCs w:val="18"/>
              </w:rPr>
            </w:pPr>
            <w:r w:rsidRPr="005E7365">
              <w:rPr>
                <w:rFonts w:ascii="Poppins" w:hAnsi="Poppins" w:cs="Poppins"/>
                <w:b/>
                <w:bCs/>
                <w:szCs w:val="18"/>
              </w:rPr>
              <w:t>Afvalsoort</w:t>
            </w:r>
          </w:p>
        </w:tc>
        <w:tc>
          <w:tcPr>
            <w:tcW w:w="685" w:type="pct"/>
          </w:tcPr>
          <w:p w14:paraId="4D09C146" w14:textId="77777777" w:rsidR="00F15727" w:rsidRPr="005E7365" w:rsidRDefault="00F15727" w:rsidP="0073487C">
            <w:pPr>
              <w:pStyle w:val="TableText"/>
              <w:jc w:val="center"/>
              <w:rPr>
                <w:rFonts w:ascii="Poppins" w:hAnsi="Poppins" w:cs="Poppins"/>
                <w:b/>
                <w:bCs/>
                <w:szCs w:val="18"/>
              </w:rPr>
            </w:pPr>
            <w:r w:rsidRPr="005E7365">
              <w:rPr>
                <w:rFonts w:ascii="Poppins" w:hAnsi="Poppins" w:cs="Poppins"/>
                <w:b/>
                <w:bCs/>
                <w:szCs w:val="18"/>
              </w:rPr>
              <w:t>2026</w:t>
            </w:r>
          </w:p>
        </w:tc>
        <w:tc>
          <w:tcPr>
            <w:tcW w:w="683" w:type="pct"/>
          </w:tcPr>
          <w:p w14:paraId="0A486C68" w14:textId="77777777" w:rsidR="00F15727" w:rsidRPr="005E7365" w:rsidRDefault="00F15727" w:rsidP="0073487C">
            <w:pPr>
              <w:pStyle w:val="TableText"/>
              <w:jc w:val="center"/>
              <w:rPr>
                <w:rFonts w:ascii="Poppins" w:hAnsi="Poppins" w:cs="Poppins"/>
                <w:b/>
                <w:bCs/>
                <w:szCs w:val="18"/>
              </w:rPr>
            </w:pPr>
            <w:r w:rsidRPr="005E7365">
              <w:rPr>
                <w:rFonts w:ascii="Poppins" w:hAnsi="Poppins" w:cs="Poppins"/>
                <w:b/>
                <w:bCs/>
                <w:szCs w:val="18"/>
              </w:rPr>
              <w:t>2027</w:t>
            </w:r>
          </w:p>
        </w:tc>
        <w:tc>
          <w:tcPr>
            <w:tcW w:w="683" w:type="pct"/>
          </w:tcPr>
          <w:p w14:paraId="17737A52" w14:textId="77777777" w:rsidR="00F15727" w:rsidRPr="005E7365" w:rsidRDefault="00F15727" w:rsidP="0073487C">
            <w:pPr>
              <w:pStyle w:val="TableText"/>
              <w:jc w:val="center"/>
              <w:rPr>
                <w:rFonts w:ascii="Poppins" w:hAnsi="Poppins" w:cs="Poppins"/>
                <w:b/>
                <w:bCs/>
                <w:szCs w:val="18"/>
              </w:rPr>
            </w:pPr>
            <w:r w:rsidRPr="005E7365">
              <w:rPr>
                <w:rFonts w:ascii="Poppins" w:hAnsi="Poppins" w:cs="Poppins"/>
                <w:b/>
                <w:bCs/>
                <w:szCs w:val="18"/>
              </w:rPr>
              <w:t>2028</w:t>
            </w:r>
          </w:p>
        </w:tc>
        <w:tc>
          <w:tcPr>
            <w:tcW w:w="683" w:type="pct"/>
          </w:tcPr>
          <w:p w14:paraId="44285988" w14:textId="77777777" w:rsidR="00F15727" w:rsidRPr="005E7365" w:rsidRDefault="00F15727" w:rsidP="0073487C">
            <w:pPr>
              <w:pStyle w:val="TableText"/>
              <w:jc w:val="center"/>
              <w:rPr>
                <w:rFonts w:ascii="Poppins" w:hAnsi="Poppins" w:cs="Poppins"/>
                <w:b/>
                <w:bCs/>
                <w:szCs w:val="18"/>
              </w:rPr>
            </w:pPr>
            <w:r w:rsidRPr="005E7365">
              <w:rPr>
                <w:rFonts w:ascii="Poppins" w:hAnsi="Poppins" w:cs="Poppins"/>
                <w:b/>
                <w:bCs/>
                <w:szCs w:val="18"/>
              </w:rPr>
              <w:t>2029</w:t>
            </w:r>
          </w:p>
        </w:tc>
        <w:tc>
          <w:tcPr>
            <w:tcW w:w="685" w:type="pct"/>
            <w:gridSpan w:val="2"/>
          </w:tcPr>
          <w:p w14:paraId="5AFF83A8" w14:textId="77777777" w:rsidR="00F15727" w:rsidRPr="005E7365" w:rsidRDefault="00F15727" w:rsidP="0073487C">
            <w:pPr>
              <w:pStyle w:val="TableText"/>
              <w:jc w:val="center"/>
              <w:rPr>
                <w:rFonts w:ascii="Poppins" w:hAnsi="Poppins" w:cs="Poppins"/>
                <w:b/>
                <w:bCs/>
                <w:szCs w:val="18"/>
              </w:rPr>
            </w:pPr>
            <w:r w:rsidRPr="005E7365">
              <w:rPr>
                <w:rFonts w:ascii="Poppins" w:hAnsi="Poppins" w:cs="Poppins"/>
                <w:b/>
                <w:bCs/>
                <w:szCs w:val="18"/>
              </w:rPr>
              <w:t>2030</w:t>
            </w:r>
          </w:p>
        </w:tc>
      </w:tr>
      <w:tr w:rsidR="00F15727" w:rsidRPr="005E7365" w14:paraId="05FC901C" w14:textId="77777777" w:rsidTr="0073487C">
        <w:tc>
          <w:tcPr>
            <w:tcW w:w="1581" w:type="pct"/>
          </w:tcPr>
          <w:p w14:paraId="71C6D3B4" w14:textId="77777777" w:rsidR="00F15727" w:rsidRPr="005E7365" w:rsidRDefault="00F15727" w:rsidP="0073487C">
            <w:pPr>
              <w:pStyle w:val="TableText"/>
              <w:rPr>
                <w:rFonts w:ascii="Poppins" w:hAnsi="Poppins" w:cs="Poppins"/>
                <w:szCs w:val="18"/>
              </w:rPr>
            </w:pPr>
            <w:r w:rsidRPr="005E7365">
              <w:rPr>
                <w:rFonts w:ascii="Poppins" w:hAnsi="Poppins" w:cs="Poppins"/>
                <w:szCs w:val="18"/>
              </w:rPr>
              <w:t xml:space="preserve">HRA, RDA, HDO en afgekeurd PMD </w:t>
            </w:r>
          </w:p>
        </w:tc>
        <w:tc>
          <w:tcPr>
            <w:tcW w:w="685" w:type="pct"/>
          </w:tcPr>
          <w:p w14:paraId="73B4A2C3" w14:textId="77777777" w:rsidR="00F15727" w:rsidRPr="005E7365" w:rsidRDefault="00F15727" w:rsidP="0073487C">
            <w:pPr>
              <w:pStyle w:val="TableText"/>
              <w:jc w:val="center"/>
              <w:rPr>
                <w:rFonts w:ascii="Poppins" w:hAnsi="Poppins" w:cs="Poppins"/>
                <w:szCs w:val="18"/>
              </w:rPr>
            </w:pPr>
            <w:r w:rsidRPr="005E7365">
              <w:rPr>
                <w:rFonts w:ascii="Poppins" w:hAnsi="Poppins" w:cs="Poppins"/>
                <w:szCs w:val="18"/>
              </w:rPr>
              <w:t>€ 5,96</w:t>
            </w:r>
          </w:p>
        </w:tc>
        <w:tc>
          <w:tcPr>
            <w:tcW w:w="683" w:type="pct"/>
          </w:tcPr>
          <w:p w14:paraId="73D51523" w14:textId="77777777" w:rsidR="00F15727" w:rsidRPr="005E7365" w:rsidRDefault="00F15727" w:rsidP="0073487C">
            <w:pPr>
              <w:pStyle w:val="TableText"/>
              <w:jc w:val="center"/>
              <w:rPr>
                <w:rFonts w:ascii="Poppins" w:hAnsi="Poppins" w:cs="Poppins"/>
                <w:szCs w:val="18"/>
              </w:rPr>
            </w:pPr>
            <w:r w:rsidRPr="005E7365">
              <w:rPr>
                <w:rFonts w:ascii="Poppins" w:hAnsi="Poppins" w:cs="Poppins"/>
                <w:szCs w:val="18"/>
              </w:rPr>
              <w:t>€ 13,35</w:t>
            </w:r>
          </w:p>
        </w:tc>
        <w:tc>
          <w:tcPr>
            <w:tcW w:w="683" w:type="pct"/>
          </w:tcPr>
          <w:p w14:paraId="5098DB1F" w14:textId="77777777" w:rsidR="00F15727" w:rsidRPr="005E7365" w:rsidRDefault="00F15727" w:rsidP="0073487C">
            <w:pPr>
              <w:pStyle w:val="TableText"/>
              <w:jc w:val="center"/>
              <w:rPr>
                <w:rFonts w:ascii="Poppins" w:hAnsi="Poppins" w:cs="Poppins"/>
                <w:szCs w:val="18"/>
              </w:rPr>
            </w:pPr>
            <w:r w:rsidRPr="005E7365">
              <w:rPr>
                <w:rFonts w:ascii="Poppins" w:hAnsi="Poppins" w:cs="Poppins"/>
                <w:szCs w:val="18"/>
              </w:rPr>
              <w:t>€ 23,05</w:t>
            </w:r>
          </w:p>
        </w:tc>
        <w:tc>
          <w:tcPr>
            <w:tcW w:w="683" w:type="pct"/>
          </w:tcPr>
          <w:p w14:paraId="131B1466" w14:textId="77777777" w:rsidR="00F15727" w:rsidRPr="005E7365" w:rsidRDefault="00F15727" w:rsidP="0073487C">
            <w:pPr>
              <w:pStyle w:val="TableText"/>
              <w:jc w:val="center"/>
              <w:rPr>
                <w:rFonts w:ascii="Poppins" w:hAnsi="Poppins" w:cs="Poppins"/>
                <w:szCs w:val="18"/>
              </w:rPr>
            </w:pPr>
            <w:r w:rsidRPr="005E7365">
              <w:rPr>
                <w:rFonts w:ascii="Poppins" w:hAnsi="Poppins" w:cs="Poppins"/>
                <w:szCs w:val="18"/>
              </w:rPr>
              <w:t>€ 31,57</w:t>
            </w:r>
          </w:p>
        </w:tc>
        <w:tc>
          <w:tcPr>
            <w:tcW w:w="685" w:type="pct"/>
            <w:gridSpan w:val="2"/>
          </w:tcPr>
          <w:p w14:paraId="10EA4242" w14:textId="77777777" w:rsidR="00F15727" w:rsidRPr="005E7365" w:rsidRDefault="00F15727" w:rsidP="0073487C">
            <w:pPr>
              <w:pStyle w:val="TableText"/>
              <w:jc w:val="center"/>
              <w:rPr>
                <w:rFonts w:ascii="Poppins" w:hAnsi="Poppins" w:cs="Poppins"/>
                <w:szCs w:val="18"/>
              </w:rPr>
            </w:pPr>
            <w:r w:rsidRPr="005E7365">
              <w:rPr>
                <w:rFonts w:ascii="Poppins" w:hAnsi="Poppins" w:cs="Poppins"/>
                <w:szCs w:val="18"/>
              </w:rPr>
              <w:t>€ 40,32</w:t>
            </w:r>
          </w:p>
        </w:tc>
      </w:tr>
    </w:tbl>
    <w:p w14:paraId="45312324" w14:textId="77777777" w:rsidR="00F15727" w:rsidRPr="005E7365" w:rsidRDefault="00F15727" w:rsidP="00F15727">
      <w:pPr>
        <w:autoSpaceDE w:val="0"/>
        <w:autoSpaceDN w:val="0"/>
        <w:adjustRightInd w:val="0"/>
        <w:spacing w:line="240" w:lineRule="auto"/>
        <w:rPr>
          <w:rFonts w:cs="Poppins"/>
          <w:color w:val="000000"/>
        </w:rPr>
      </w:pPr>
    </w:p>
    <w:p w14:paraId="091DF2EC" w14:textId="77777777" w:rsidR="00F15727" w:rsidRPr="005E7365" w:rsidRDefault="00F15727" w:rsidP="00F15727">
      <w:pPr>
        <w:autoSpaceDE w:val="0"/>
        <w:autoSpaceDN w:val="0"/>
        <w:adjustRightInd w:val="0"/>
        <w:spacing w:line="240" w:lineRule="auto"/>
        <w:rPr>
          <w:rFonts w:cs="Poppins"/>
          <w:color w:val="000000"/>
        </w:rPr>
      </w:pPr>
      <w:r w:rsidRPr="005E7365">
        <w:rPr>
          <w:rFonts w:cs="Poppins"/>
          <w:color w:val="000000"/>
        </w:rPr>
        <w:t>Opdrachtgever zal de CO</w:t>
      </w:r>
      <w:r w:rsidRPr="005E7365">
        <w:rPr>
          <w:rFonts w:cs="Poppins"/>
          <w:color w:val="000000"/>
          <w:vertAlign w:val="subscript"/>
        </w:rPr>
        <w:t>2</w:t>
      </w:r>
      <w:r w:rsidRPr="005E7365">
        <w:rPr>
          <w:rFonts w:cs="Poppins"/>
          <w:color w:val="000000"/>
        </w:rPr>
        <w:t>-vergoeding betalen die voor haar aangeleverde restafval gelden. Deze vergoeding heeft tot doel om alle kosten als gevolg van heffingen over CO2 uitstoot te vergoeden. Het te betalen bedrag is gebaseerd op de parameters zoals hierboven beschreven. De waardes worden in ieder geval één keer per jaar geactualiseerd door Opdrachtnemer en gecommuniceerd met Opdrachtgever op basis van NEa publicaties. Na akkoord van Opdrachtgever mogen de wijzigingen in de CO</w:t>
      </w:r>
      <w:r w:rsidRPr="005E7365">
        <w:rPr>
          <w:rFonts w:cs="Poppins"/>
          <w:color w:val="000000"/>
          <w:vertAlign w:val="subscript"/>
        </w:rPr>
        <w:t>2</w:t>
      </w:r>
      <w:r w:rsidRPr="005E7365">
        <w:rPr>
          <w:rFonts w:cs="Poppins"/>
          <w:color w:val="000000"/>
        </w:rPr>
        <w:t xml:space="preserve"> vergoeding worden doorgevoerd. Dit vindt plaats in januari van ieder kalenderjaar voor de CO</w:t>
      </w:r>
      <w:r w:rsidRPr="005E7365">
        <w:rPr>
          <w:rFonts w:cs="Poppins"/>
          <w:color w:val="000000"/>
          <w:vertAlign w:val="subscript"/>
        </w:rPr>
        <w:t>2</w:t>
      </w:r>
      <w:r w:rsidRPr="005E7365">
        <w:rPr>
          <w:rFonts w:cs="Poppins"/>
          <w:color w:val="000000"/>
        </w:rPr>
        <w:t xml:space="preserve"> vergoeding van het betreffende jaar. </w:t>
      </w:r>
    </w:p>
    <w:p w14:paraId="5CFD0F37" w14:textId="77777777" w:rsidR="00F15727" w:rsidRPr="005E7365" w:rsidRDefault="00F15727" w:rsidP="00F15727">
      <w:pPr>
        <w:autoSpaceDE w:val="0"/>
        <w:autoSpaceDN w:val="0"/>
        <w:adjustRightInd w:val="0"/>
        <w:spacing w:line="240" w:lineRule="auto"/>
        <w:rPr>
          <w:rFonts w:cs="Poppins"/>
          <w:b/>
          <w:bCs/>
          <w:color w:val="000000"/>
        </w:rPr>
      </w:pPr>
    </w:p>
    <w:p w14:paraId="733D95C2" w14:textId="77777777" w:rsidR="00F15727" w:rsidRPr="005E7365" w:rsidRDefault="00F15727" w:rsidP="00F15727">
      <w:pPr>
        <w:autoSpaceDE w:val="0"/>
        <w:autoSpaceDN w:val="0"/>
        <w:adjustRightInd w:val="0"/>
        <w:spacing w:line="240" w:lineRule="auto"/>
        <w:rPr>
          <w:rFonts w:cs="Poppins"/>
          <w:color w:val="000000"/>
        </w:rPr>
      </w:pPr>
      <w:r w:rsidRPr="005E7365">
        <w:rPr>
          <w:rFonts w:cs="Poppins"/>
          <w:b/>
          <w:bCs/>
          <w:color w:val="000000"/>
        </w:rPr>
        <w:t>Verwerkers gevestigd in het buitenland</w:t>
      </w:r>
    </w:p>
    <w:p w14:paraId="1CA71915" w14:textId="77777777" w:rsidR="00F15727" w:rsidRPr="005E7365" w:rsidRDefault="00F15727" w:rsidP="00F15727">
      <w:pPr>
        <w:autoSpaceDE w:val="0"/>
        <w:autoSpaceDN w:val="0"/>
        <w:adjustRightInd w:val="0"/>
        <w:spacing w:line="240" w:lineRule="auto"/>
        <w:rPr>
          <w:rFonts w:cs="Poppins"/>
          <w:color w:val="000000"/>
        </w:rPr>
      </w:pPr>
      <w:r w:rsidRPr="005E7365">
        <w:rPr>
          <w:rFonts w:cs="Poppins"/>
          <w:color w:val="000000"/>
        </w:rPr>
        <w:t>Voor afvalverwerkers gevestigd in het buitenland geldt dat deze niet onderhevig zijn aan de Nationale (Nederlandse) CO</w:t>
      </w:r>
      <w:r w:rsidRPr="005E7365">
        <w:rPr>
          <w:rFonts w:cs="Poppins"/>
          <w:color w:val="000000"/>
          <w:vertAlign w:val="subscript"/>
        </w:rPr>
        <w:t>2</w:t>
      </w:r>
      <w:r w:rsidRPr="005E7365">
        <w:rPr>
          <w:rFonts w:cs="Poppins"/>
          <w:color w:val="000000"/>
        </w:rPr>
        <w:t>-heffing. Voor verwerkers in het buitenland geldt dat zij via een open-kostencalculatie, vergelijkbaar met de wijze waarop de proefberekening is weergegeven, dienen aan te geven wat de werkelijke CO</w:t>
      </w:r>
      <w:r w:rsidRPr="005E7365">
        <w:rPr>
          <w:rFonts w:cs="Poppins"/>
          <w:color w:val="000000"/>
          <w:vertAlign w:val="subscript"/>
        </w:rPr>
        <w:t>2</w:t>
      </w:r>
      <w:r w:rsidRPr="005E7365">
        <w:rPr>
          <w:rFonts w:cs="Poppins"/>
          <w:color w:val="000000"/>
        </w:rPr>
        <w:t>-heffing is. Opdrachtgever zal dit bedrag vergoeden tot een maximale hoogte zoals gebaseerd op de Nederlandse nationale CO</w:t>
      </w:r>
      <w:r w:rsidRPr="005E7365">
        <w:rPr>
          <w:rFonts w:cs="Poppins"/>
          <w:color w:val="000000"/>
          <w:vertAlign w:val="subscript"/>
        </w:rPr>
        <w:t>2</w:t>
      </w:r>
      <w:r w:rsidRPr="005E7365">
        <w:rPr>
          <w:rFonts w:cs="Poppins"/>
          <w:color w:val="000000"/>
        </w:rPr>
        <w:t xml:space="preserve">-heffing of de EU-ETS, </w:t>
      </w:r>
      <w:proofErr w:type="gramStart"/>
      <w:r w:rsidRPr="005E7365">
        <w:rPr>
          <w:rFonts w:cs="Poppins"/>
          <w:color w:val="000000"/>
        </w:rPr>
        <w:t>conform</w:t>
      </w:r>
      <w:proofErr w:type="gramEnd"/>
      <w:r w:rsidRPr="005E7365">
        <w:rPr>
          <w:rFonts w:cs="Poppins"/>
          <w:color w:val="000000"/>
        </w:rPr>
        <w:t xml:space="preserve"> de beschreven uitgangspunten in deze bijlage. </w:t>
      </w:r>
    </w:p>
    <w:p w14:paraId="5179F9CB" w14:textId="77777777" w:rsidR="00F15727" w:rsidRPr="005E7365" w:rsidRDefault="00F15727" w:rsidP="00F15727">
      <w:pPr>
        <w:spacing w:line="240" w:lineRule="auto"/>
        <w:rPr>
          <w:rFonts w:cs="Poppins"/>
          <w:color w:val="000000"/>
        </w:rPr>
      </w:pPr>
      <w:r w:rsidRPr="005E7365">
        <w:rPr>
          <w:rFonts w:cs="Poppins"/>
          <w:color w:val="000000"/>
        </w:rPr>
        <w:br w:type="page"/>
      </w:r>
    </w:p>
    <w:p w14:paraId="4F70BF4E" w14:textId="77777777" w:rsidR="00F15727" w:rsidRPr="005E7365" w:rsidRDefault="00F15727" w:rsidP="00F15727">
      <w:pPr>
        <w:autoSpaceDE w:val="0"/>
        <w:autoSpaceDN w:val="0"/>
        <w:adjustRightInd w:val="0"/>
        <w:spacing w:line="240" w:lineRule="auto"/>
        <w:rPr>
          <w:rFonts w:cs="Poppins"/>
          <w:color w:val="000000"/>
        </w:rPr>
      </w:pPr>
      <w:r w:rsidRPr="005E7365">
        <w:rPr>
          <w:rFonts w:cs="Poppins"/>
          <w:b/>
          <w:bCs/>
          <w:color w:val="000000"/>
        </w:rPr>
        <w:lastRenderedPageBreak/>
        <w:t>Afbouw van de percentuele vergoeding van de CO</w:t>
      </w:r>
      <w:r w:rsidRPr="005E7365">
        <w:rPr>
          <w:rFonts w:cs="Poppins"/>
          <w:b/>
          <w:bCs/>
          <w:color w:val="000000"/>
          <w:vertAlign w:val="subscript"/>
        </w:rPr>
        <w:t>2</w:t>
      </w:r>
      <w:r w:rsidRPr="005E7365">
        <w:rPr>
          <w:rFonts w:cs="Poppins"/>
          <w:b/>
          <w:bCs/>
          <w:color w:val="000000"/>
        </w:rPr>
        <w:t>-heffing</w:t>
      </w:r>
    </w:p>
    <w:p w14:paraId="143274D5" w14:textId="77777777" w:rsidR="00F15727" w:rsidRDefault="00F15727" w:rsidP="00F15727">
      <w:pPr>
        <w:autoSpaceDE w:val="0"/>
        <w:autoSpaceDN w:val="0"/>
        <w:adjustRightInd w:val="0"/>
        <w:spacing w:line="240" w:lineRule="auto"/>
        <w:rPr>
          <w:rFonts w:cs="Poppins"/>
          <w:color w:val="000000"/>
        </w:rPr>
      </w:pPr>
      <w:r w:rsidRPr="005E7365">
        <w:rPr>
          <w:rFonts w:cs="Poppins"/>
          <w:color w:val="000000"/>
        </w:rPr>
        <w:t>CO</w:t>
      </w:r>
      <w:r w:rsidRPr="005E7365">
        <w:rPr>
          <w:rFonts w:cs="Poppins"/>
          <w:color w:val="000000"/>
          <w:vertAlign w:val="subscript"/>
        </w:rPr>
        <w:t>2</w:t>
      </w:r>
      <w:r w:rsidRPr="005E7365">
        <w:rPr>
          <w:rFonts w:cs="Poppins"/>
          <w:color w:val="000000"/>
        </w:rPr>
        <w:t>-uitstoot is naast andere bekende emissies een van een van de negatieve effecten van het verbranden van Huishoudelijk Restafval. Hoe meer deze beperkt kan worden hoe beter. De Opdrachtgever wil innovatie op het gebied van CO</w:t>
      </w:r>
      <w:r w:rsidRPr="005E7365">
        <w:rPr>
          <w:rFonts w:cs="Poppins"/>
          <w:color w:val="000000"/>
          <w:vertAlign w:val="subscript"/>
        </w:rPr>
        <w:t>2</w:t>
      </w:r>
      <w:r w:rsidRPr="005E7365">
        <w:rPr>
          <w:rFonts w:cs="Poppins"/>
          <w:color w:val="000000"/>
        </w:rPr>
        <w:t>-afvang en/of het verminderen van CO</w:t>
      </w:r>
      <w:r w:rsidRPr="005E7365">
        <w:rPr>
          <w:rFonts w:cs="Poppins"/>
          <w:color w:val="000000"/>
          <w:vertAlign w:val="subscript"/>
        </w:rPr>
        <w:t>2</w:t>
      </w:r>
      <w:r w:rsidRPr="005E7365">
        <w:rPr>
          <w:rFonts w:cs="Poppins"/>
          <w:color w:val="000000"/>
        </w:rPr>
        <w:t>-uitstoot stimuleren en partijen die geïnvesteerd hebben of gaan investeren in dit soort installaties daarvoor belonen. Daarom wordt ongeacht de eventuele lagere daadwerkelijke afdracht van CO</w:t>
      </w:r>
      <w:r w:rsidRPr="005E7365">
        <w:rPr>
          <w:rFonts w:cs="Poppins"/>
          <w:color w:val="000000"/>
          <w:vertAlign w:val="subscript"/>
        </w:rPr>
        <w:t>2</w:t>
      </w:r>
      <w:r w:rsidRPr="005E7365">
        <w:rPr>
          <w:rFonts w:cs="Poppins"/>
          <w:color w:val="000000"/>
        </w:rPr>
        <w:t>-heffing door opdrachtnemer gedurende de</w:t>
      </w:r>
      <w:r>
        <w:rPr>
          <w:rFonts w:cs="Poppins"/>
          <w:color w:val="000000"/>
        </w:rPr>
        <w:t>ze</w:t>
      </w:r>
      <w:r w:rsidRPr="005E7365">
        <w:rPr>
          <w:rFonts w:cs="Poppins"/>
          <w:color w:val="000000"/>
        </w:rPr>
        <w:t xml:space="preserve"> opdracht 100% van de op basis van de mix aan input materiaal af te dragen CO</w:t>
      </w:r>
      <w:r w:rsidRPr="005E7365">
        <w:rPr>
          <w:rFonts w:cs="Poppins"/>
          <w:color w:val="000000"/>
          <w:vertAlign w:val="subscript"/>
        </w:rPr>
        <w:t>2</w:t>
      </w:r>
      <w:r w:rsidRPr="005E7365">
        <w:rPr>
          <w:rFonts w:cs="Poppins"/>
          <w:color w:val="000000"/>
        </w:rPr>
        <w:t xml:space="preserve">-heffing vergoed. </w:t>
      </w:r>
    </w:p>
    <w:p w14:paraId="3655D9C3" w14:textId="77777777" w:rsidR="00F15727" w:rsidRPr="005E7365" w:rsidRDefault="00F15727" w:rsidP="00F15727">
      <w:pPr>
        <w:rPr>
          <w:rFonts w:cs="Poppins"/>
        </w:rPr>
      </w:pPr>
    </w:p>
    <w:sectPr w:rsidR="00F15727" w:rsidRPr="005E7365" w:rsidSect="00F15727">
      <w:headerReference w:type="default" r:id="rId13"/>
      <w:footerReference w:type="default" r:id="rId14"/>
      <w:headerReference w:type="first" r:id="rId15"/>
      <w:pgSz w:w="11906" w:h="16838" w:code="9"/>
      <w:pgMar w:top="3261" w:right="1701" w:bottom="1985" w:left="1701" w:header="709" w:footer="442"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6DE74" w14:textId="77777777" w:rsidR="00B04750" w:rsidRDefault="00B04750" w:rsidP="00F15727">
      <w:pPr>
        <w:spacing w:line="240" w:lineRule="auto"/>
      </w:pPr>
      <w:r>
        <w:separator/>
      </w:r>
    </w:p>
  </w:endnote>
  <w:endnote w:type="continuationSeparator" w:id="0">
    <w:p w14:paraId="5AD8F2C8" w14:textId="77777777" w:rsidR="00B04750" w:rsidRDefault="00B04750" w:rsidP="00F157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oppins">
    <w:altName w:val="Cambria"/>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oppins-Regular">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6ECE2" w14:textId="77777777" w:rsidR="00B04750" w:rsidRDefault="00B04750">
    <w:pPr>
      <w:pStyle w:val="Voettekst"/>
    </w:pPr>
    <w:r>
      <w:rPr>
        <w:noProof/>
      </w:rPr>
      <mc:AlternateContent>
        <mc:Choice Requires="wps">
          <w:drawing>
            <wp:anchor distT="0" distB="0" distL="114300" distR="114300" simplePos="0" relativeHeight="251661312" behindDoc="0" locked="1" layoutInCell="1" allowOverlap="1" wp14:anchorId="297720DF" wp14:editId="5A34CC7F">
              <wp:simplePos x="0" y="0"/>
              <wp:positionH relativeFrom="page">
                <wp:posOffset>542290</wp:posOffset>
              </wp:positionH>
              <wp:positionV relativeFrom="page">
                <wp:posOffset>10319385</wp:posOffset>
              </wp:positionV>
              <wp:extent cx="321310" cy="165100"/>
              <wp:effectExtent l="0" t="0" r="2540" b="6350"/>
              <wp:wrapNone/>
              <wp:docPr id="421772951" name="PageNrF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49B662" w14:textId="77777777" w:rsidR="00B04750" w:rsidRPr="005E7365" w:rsidRDefault="00B04750" w:rsidP="005E6A48">
                          <w:pPr>
                            <w:rPr>
                              <w:b/>
                              <w:bCs/>
                              <w:sz w:val="14"/>
                              <w:szCs w:val="14"/>
                            </w:rPr>
                          </w:pPr>
                          <w:r w:rsidRPr="005E7365">
                            <w:rPr>
                              <w:b/>
                              <w:bCs/>
                              <w:sz w:val="14"/>
                              <w:szCs w:val="14"/>
                            </w:rPr>
                            <w:fldChar w:fldCharType="begin"/>
                          </w:r>
                          <w:r w:rsidRPr="005E7365">
                            <w:rPr>
                              <w:b/>
                              <w:bCs/>
                              <w:sz w:val="14"/>
                              <w:szCs w:val="14"/>
                            </w:rPr>
                            <w:instrText xml:space="preserve"> PAGE </w:instrText>
                          </w:r>
                          <w:r w:rsidRPr="005E7365">
                            <w:rPr>
                              <w:b/>
                              <w:bCs/>
                              <w:sz w:val="14"/>
                              <w:szCs w:val="14"/>
                            </w:rPr>
                            <w:fldChar w:fldCharType="separate"/>
                          </w:r>
                          <w:r w:rsidRPr="005E7365">
                            <w:rPr>
                              <w:b/>
                              <w:bCs/>
                              <w:sz w:val="14"/>
                              <w:szCs w:val="14"/>
                            </w:rPr>
                            <w:t>1</w:t>
                          </w:r>
                          <w:r w:rsidRPr="005E7365">
                            <w:rPr>
                              <w:b/>
                              <w:bCs/>
                              <w:sz w:val="14"/>
                              <w:szCs w:val="1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720DF" id="_x0000_t202" coordsize="21600,21600" o:spt="202" path="m,l,21600r21600,l21600,xe">
              <v:stroke joinstyle="miter"/>
              <v:path gradientshapeok="t" o:connecttype="rect"/>
            </v:shapetype>
            <v:shape id="PageNrFP" o:spid="_x0000_s1026" type="#_x0000_t202" style="position:absolute;margin-left:42.7pt;margin-top:812.55pt;width:25.3pt;height: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" stroked="f">
              <v:textbox inset="0,0,0,0">
                <w:txbxContent>
                  <w:p w14:paraId="0D49B662" w14:textId="77777777" w:rsidR="00B04750" w:rsidRPr="005E7365" w:rsidRDefault="00B04750" w:rsidP="005E6A48">
                    <w:pPr>
                      <w:rPr>
                        <w:b/>
                        <w:bCs/>
                        <w:sz w:val="14"/>
                        <w:szCs w:val="14"/>
                      </w:rPr>
                    </w:pPr>
                    <w:r w:rsidRPr="005E7365">
                      <w:rPr>
                        <w:b/>
                        <w:bCs/>
                        <w:sz w:val="14"/>
                        <w:szCs w:val="14"/>
                      </w:rPr>
                      <w:fldChar w:fldCharType="begin"/>
                    </w:r>
                    <w:r w:rsidRPr="005E7365">
                      <w:rPr>
                        <w:b/>
                        <w:bCs/>
                        <w:sz w:val="14"/>
                        <w:szCs w:val="14"/>
                      </w:rPr>
                      <w:instrText xml:space="preserve"> PAGE </w:instrText>
                    </w:r>
                    <w:r w:rsidRPr="005E7365">
                      <w:rPr>
                        <w:b/>
                        <w:bCs/>
                        <w:sz w:val="14"/>
                        <w:szCs w:val="14"/>
                      </w:rPr>
                      <w:fldChar w:fldCharType="separate"/>
                    </w:r>
                    <w:r w:rsidRPr="005E7365">
                      <w:rPr>
                        <w:b/>
                        <w:bCs/>
                        <w:sz w:val="14"/>
                        <w:szCs w:val="14"/>
                      </w:rPr>
                      <w:t>1</w:t>
                    </w:r>
                    <w:r w:rsidRPr="005E7365">
                      <w:rPr>
                        <w:b/>
                        <w:bCs/>
                        <w:sz w:val="14"/>
                        <w:szCs w:val="14"/>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2FC2" w14:textId="77777777" w:rsidR="00B04750" w:rsidRDefault="00B04750" w:rsidP="00F15727">
      <w:pPr>
        <w:spacing w:line="240" w:lineRule="auto"/>
      </w:pPr>
      <w:r>
        <w:separator/>
      </w:r>
    </w:p>
  </w:footnote>
  <w:footnote w:type="continuationSeparator" w:id="0">
    <w:p w14:paraId="043E5186" w14:textId="77777777" w:rsidR="00B04750" w:rsidRDefault="00B04750" w:rsidP="00F157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ccHeaderOP"/>
      <w:id w:val="-2065784913"/>
      <w:lock w:val="contentLocked"/>
    </w:sdtPr>
    <w:sdtEndPr/>
    <w:sdtContent>
      <w:p w14:paraId="2937AAD6" w14:textId="77777777" w:rsidR="00B04750" w:rsidRDefault="00B04750" w:rsidP="00D6681D">
        <w:pPr>
          <w:pStyle w:val="Hidden"/>
          <w:framePr w:w="11907" w:h="210" w:hSpace="142" w:wrap="around" w:x="1" w:y="1" w:anchorLock="1"/>
        </w:pPr>
        <w:r>
          <w:rPr>
            <w:noProof/>
          </w:rPr>
          <w:drawing>
            <wp:anchor distT="0" distB="0" distL="114300" distR="114300" simplePos="0" relativeHeight="251662336" behindDoc="0" locked="1" layoutInCell="1" allowOverlap="1" wp14:anchorId="10673E39" wp14:editId="63CAD317">
              <wp:simplePos x="0" y="0"/>
              <wp:positionH relativeFrom="page">
                <wp:posOffset>0</wp:posOffset>
              </wp:positionH>
              <wp:positionV relativeFrom="page">
                <wp:posOffset>0</wp:posOffset>
              </wp:positionV>
              <wp:extent cx="7560000" cy="1166400"/>
              <wp:effectExtent l="0" t="0" r="3175" b="0"/>
              <wp:wrapNone/>
              <wp:docPr id="164898251" name="Afbeelding 164898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05815" name="Afbeelding 1436405815"/>
                      <pic:cNvPicPr/>
                    </pic:nvPicPr>
                    <pic:blipFill>
                      <a:blip r:embed="rId1">
                        <a:extLst>
                          <a:ext uri="{28A0092B-C50C-407E-A947-70E740481C1C}">
                            <a14:useLocalDpi xmlns:a14="http://schemas.microsoft.com/office/drawing/2010/main" val="0"/>
                          </a:ext>
                        </a:extLst>
                      </a:blip>
                      <a:stretch>
                        <a:fillRect/>
                      </a:stretch>
                    </pic:blipFill>
                    <pic:spPr>
                      <a:xfrm>
                        <a:off x="0" y="0"/>
                        <a:ext cx="7560000" cy="1166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1" layoutInCell="1" allowOverlap="1" wp14:anchorId="77111702" wp14:editId="65AC9904">
              <wp:simplePos x="0" y="0"/>
              <wp:positionH relativeFrom="page">
                <wp:posOffset>540385</wp:posOffset>
              </wp:positionH>
              <wp:positionV relativeFrom="page">
                <wp:posOffset>540385</wp:posOffset>
              </wp:positionV>
              <wp:extent cx="1026000" cy="1026000"/>
              <wp:effectExtent l="0" t="0" r="3175" b="3175"/>
              <wp:wrapNone/>
              <wp:docPr id="1680348043" name="Afbeelding 1680348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49469" name="Afbeelding 647849469"/>
                      <pic:cNvPicPr/>
                    </pic:nvPicPr>
                    <pic:blipFill>
                      <a:blip r:embed="rId2">
                        <a:extLst>
                          <a:ext uri="{28A0092B-C50C-407E-A947-70E740481C1C}">
                            <a14:useLocalDpi xmlns:a14="http://schemas.microsoft.com/office/drawing/2010/main" val="0"/>
                          </a:ext>
                        </a:extLst>
                      </a:blip>
                      <a:stretch>
                        <a:fillRect/>
                      </a:stretch>
                    </pic:blipFill>
                    <pic:spPr>
                      <a:xfrm>
                        <a:off x="0" y="0"/>
                        <a:ext cx="1026000" cy="10260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57A196F4" w14:textId="77777777" w:rsidR="00B04750" w:rsidRDefault="00B04750" w:rsidP="00A049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ccHeaderFP"/>
      <w:id w:val="1841417795"/>
      <w:lock w:val="contentLocked"/>
    </w:sdtPr>
    <w:sdtEndPr/>
    <w:sdtContent>
      <w:p w14:paraId="5B8EC6C6" w14:textId="77777777" w:rsidR="00B04750" w:rsidRDefault="00B04750" w:rsidP="00F7317B">
        <w:pPr>
          <w:pStyle w:val="Hidden"/>
          <w:framePr w:w="11907" w:h="215" w:hSpace="142" w:wrap="around" w:x="1" w:y="1" w:anchorLock="1"/>
        </w:pPr>
        <w:r>
          <w:rPr>
            <w:noProof/>
          </w:rPr>
          <w:drawing>
            <wp:anchor distT="0" distB="0" distL="114300" distR="114300" simplePos="0" relativeHeight="251660288" behindDoc="0" locked="1" layoutInCell="1" allowOverlap="1" wp14:anchorId="36961AE6" wp14:editId="3792BF93">
              <wp:simplePos x="0" y="0"/>
              <wp:positionH relativeFrom="page">
                <wp:posOffset>540385</wp:posOffset>
              </wp:positionH>
              <wp:positionV relativeFrom="page">
                <wp:posOffset>540385</wp:posOffset>
              </wp:positionV>
              <wp:extent cx="1026000" cy="1026000"/>
              <wp:effectExtent l="0" t="0" r="3175" b="3175"/>
              <wp:wrapNone/>
              <wp:docPr id="951609575" name="Afbeelding 951609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49469" name="Afbeelding 647849469"/>
                      <pic:cNvPicPr/>
                    </pic:nvPicPr>
                    <pic:blipFill>
                      <a:blip r:embed="rId1">
                        <a:extLst>
                          <a:ext uri="{28A0092B-C50C-407E-A947-70E740481C1C}">
                            <a14:useLocalDpi xmlns:a14="http://schemas.microsoft.com/office/drawing/2010/main" val="0"/>
                          </a:ext>
                        </a:extLst>
                      </a:blip>
                      <a:stretch>
                        <a:fillRect/>
                      </a:stretch>
                    </pic:blipFill>
                    <pic:spPr>
                      <a:xfrm>
                        <a:off x="0" y="0"/>
                        <a:ext cx="1026000" cy="1026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1" layoutInCell="1" allowOverlap="1" wp14:anchorId="13CC31F6" wp14:editId="1BA56FC1">
              <wp:simplePos x="0" y="0"/>
              <wp:positionH relativeFrom="page">
                <wp:posOffset>0</wp:posOffset>
              </wp:positionH>
              <wp:positionV relativeFrom="page">
                <wp:posOffset>0</wp:posOffset>
              </wp:positionV>
              <wp:extent cx="7560000" cy="1166400"/>
              <wp:effectExtent l="0" t="0" r="3175" b="0"/>
              <wp:wrapNone/>
              <wp:docPr id="2102689111" name="Afbeelding 2102689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05815" name="Afbeelding 1436405815"/>
                      <pic:cNvPicPr/>
                    </pic:nvPicPr>
                    <pic:blipFill>
                      <a:blip r:embed="rId2">
                        <a:extLst>
                          <a:ext uri="{28A0092B-C50C-407E-A947-70E740481C1C}">
                            <a14:useLocalDpi xmlns:a14="http://schemas.microsoft.com/office/drawing/2010/main" val="0"/>
                          </a:ext>
                        </a:extLst>
                      </a:blip>
                      <a:stretch>
                        <a:fillRect/>
                      </a:stretch>
                    </pic:blipFill>
                    <pic:spPr>
                      <a:xfrm>
                        <a:off x="0" y="0"/>
                        <a:ext cx="7560000" cy="11664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0F6C9018" w14:textId="77777777" w:rsidR="00B04750" w:rsidRDefault="00B047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F27F67"/>
    <w:multiLevelType w:val="hybridMultilevel"/>
    <w:tmpl w:val="EE3E6492"/>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num w:numId="1" w16cid:durableId="339164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727"/>
    <w:rsid w:val="0023103F"/>
    <w:rsid w:val="00505BAF"/>
    <w:rsid w:val="00B04750"/>
    <w:rsid w:val="00F157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8846"/>
  <w15:chartTrackingRefBased/>
  <w15:docId w15:val="{68570ECD-2723-46C3-8637-4C7CC56E7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5727"/>
    <w:pPr>
      <w:spacing w:after="0" w:line="240" w:lineRule="atLeast"/>
    </w:pPr>
    <w:rPr>
      <w:rFonts w:ascii="Poppins" w:eastAsia="Times New Roman" w:hAnsi="Poppins" w:cs="Times New Roman"/>
      <w:kern w:val="0"/>
      <w:sz w:val="18"/>
      <w:szCs w:val="18"/>
      <w:lang w:eastAsia="nl-NL"/>
      <w14:ligatures w14:val="none"/>
    </w:rPr>
  </w:style>
  <w:style w:type="paragraph" w:styleId="Kop1">
    <w:name w:val="heading 1"/>
    <w:basedOn w:val="Standaard"/>
    <w:next w:val="Standaard"/>
    <w:link w:val="Kop1Char"/>
    <w:uiPriority w:val="9"/>
    <w:qFormat/>
    <w:rsid w:val="00F157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57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57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57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57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572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572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572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572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57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57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57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57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57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57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57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57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5727"/>
    <w:rPr>
      <w:rFonts w:eastAsiaTheme="majorEastAsia" w:cstheme="majorBidi"/>
      <w:color w:val="272727" w:themeColor="text1" w:themeTint="D8"/>
    </w:rPr>
  </w:style>
  <w:style w:type="paragraph" w:styleId="Titel">
    <w:name w:val="Title"/>
    <w:basedOn w:val="Standaard"/>
    <w:next w:val="Standaard"/>
    <w:link w:val="TitelChar"/>
    <w:uiPriority w:val="10"/>
    <w:qFormat/>
    <w:rsid w:val="00F157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57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57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57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57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5727"/>
    <w:rPr>
      <w:i/>
      <w:iCs/>
      <w:color w:val="404040" w:themeColor="text1" w:themeTint="BF"/>
    </w:rPr>
  </w:style>
  <w:style w:type="paragraph" w:styleId="Lijstalinea">
    <w:name w:val="List Paragraph"/>
    <w:basedOn w:val="Standaard"/>
    <w:uiPriority w:val="34"/>
    <w:qFormat/>
    <w:rsid w:val="00F15727"/>
    <w:pPr>
      <w:ind w:left="720"/>
      <w:contextualSpacing/>
    </w:pPr>
  </w:style>
  <w:style w:type="character" w:styleId="Intensievebenadrukking">
    <w:name w:val="Intense Emphasis"/>
    <w:basedOn w:val="Standaardalinea-lettertype"/>
    <w:uiPriority w:val="21"/>
    <w:qFormat/>
    <w:rsid w:val="00F15727"/>
    <w:rPr>
      <w:i/>
      <w:iCs/>
      <w:color w:val="0F4761" w:themeColor="accent1" w:themeShade="BF"/>
    </w:rPr>
  </w:style>
  <w:style w:type="paragraph" w:styleId="Duidelijkcitaat">
    <w:name w:val="Intense Quote"/>
    <w:basedOn w:val="Standaard"/>
    <w:next w:val="Standaard"/>
    <w:link w:val="DuidelijkcitaatChar"/>
    <w:uiPriority w:val="30"/>
    <w:qFormat/>
    <w:rsid w:val="00F157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5727"/>
    <w:rPr>
      <w:i/>
      <w:iCs/>
      <w:color w:val="0F4761" w:themeColor="accent1" w:themeShade="BF"/>
    </w:rPr>
  </w:style>
  <w:style w:type="character" w:styleId="Intensieveverwijzing">
    <w:name w:val="Intense Reference"/>
    <w:basedOn w:val="Standaardalinea-lettertype"/>
    <w:uiPriority w:val="32"/>
    <w:qFormat/>
    <w:rsid w:val="00F15727"/>
    <w:rPr>
      <w:b/>
      <w:bCs/>
      <w:smallCaps/>
      <w:color w:val="0F4761" w:themeColor="accent1" w:themeShade="BF"/>
      <w:spacing w:val="5"/>
    </w:rPr>
  </w:style>
  <w:style w:type="paragraph" w:styleId="Koptekst">
    <w:name w:val="header"/>
    <w:basedOn w:val="Standaard"/>
    <w:link w:val="KoptekstChar"/>
    <w:rsid w:val="00F15727"/>
    <w:pPr>
      <w:tabs>
        <w:tab w:val="center" w:pos="4536"/>
        <w:tab w:val="right" w:pos="9072"/>
      </w:tabs>
    </w:pPr>
  </w:style>
  <w:style w:type="character" w:customStyle="1" w:styleId="KoptekstChar">
    <w:name w:val="Koptekst Char"/>
    <w:basedOn w:val="Standaardalinea-lettertype"/>
    <w:link w:val="Koptekst"/>
    <w:rsid w:val="00F15727"/>
    <w:rPr>
      <w:rFonts w:ascii="Poppins" w:eastAsia="Times New Roman" w:hAnsi="Poppins" w:cs="Times New Roman"/>
      <w:kern w:val="0"/>
      <w:sz w:val="18"/>
      <w:szCs w:val="18"/>
      <w:lang w:eastAsia="nl-NL"/>
      <w14:ligatures w14:val="none"/>
    </w:rPr>
  </w:style>
  <w:style w:type="paragraph" w:styleId="Voettekst">
    <w:name w:val="footer"/>
    <w:basedOn w:val="Standaard"/>
    <w:link w:val="VoettekstChar"/>
    <w:rsid w:val="00F15727"/>
    <w:pPr>
      <w:tabs>
        <w:tab w:val="center" w:pos="4536"/>
        <w:tab w:val="right" w:pos="9072"/>
      </w:tabs>
    </w:pPr>
    <w:rPr>
      <w:sz w:val="14"/>
    </w:rPr>
  </w:style>
  <w:style w:type="character" w:customStyle="1" w:styleId="VoettekstChar">
    <w:name w:val="Voettekst Char"/>
    <w:basedOn w:val="Standaardalinea-lettertype"/>
    <w:link w:val="Voettekst"/>
    <w:rsid w:val="00F15727"/>
    <w:rPr>
      <w:rFonts w:ascii="Poppins" w:eastAsia="Times New Roman" w:hAnsi="Poppins" w:cs="Times New Roman"/>
      <w:kern w:val="0"/>
      <w:sz w:val="14"/>
      <w:szCs w:val="18"/>
      <w:lang w:eastAsia="nl-NL"/>
      <w14:ligatures w14:val="none"/>
    </w:rPr>
  </w:style>
  <w:style w:type="paragraph" w:customStyle="1" w:styleId="Hidden">
    <w:name w:val="Hidden"/>
    <w:basedOn w:val="Standaard"/>
    <w:next w:val="Standaard"/>
    <w:semiHidden/>
    <w:rsid w:val="00F15727"/>
    <w:pPr>
      <w:framePr w:w="957" w:h="901" w:hSpace="141" w:wrap="around" w:vAnchor="page" w:hAnchor="page" w:x="555" w:y="536"/>
    </w:pPr>
  </w:style>
  <w:style w:type="character" w:styleId="Hyperlink">
    <w:name w:val="Hyperlink"/>
    <w:basedOn w:val="Standaardalinea-lettertype"/>
    <w:uiPriority w:val="99"/>
    <w:unhideWhenUsed/>
    <w:rsid w:val="00F15727"/>
    <w:rPr>
      <w:color w:val="467886" w:themeColor="hyperlink"/>
      <w:u w:val="single"/>
    </w:rPr>
  </w:style>
  <w:style w:type="paragraph" w:customStyle="1" w:styleId="TableText">
    <w:name w:val="TableText"/>
    <w:basedOn w:val="Standaard"/>
    <w:rsid w:val="00F15727"/>
    <w:pPr>
      <w:spacing w:after="32" w:line="234" w:lineRule="exact"/>
    </w:pPr>
    <w:rPr>
      <w:rFonts w:ascii="Calibri" w:hAnsi="Calibri" w:cstheme="minorBidi"/>
      <w:szCs w:val="20"/>
    </w:rPr>
  </w:style>
  <w:style w:type="table" w:customStyle="1" w:styleId="KplusV">
    <w:name w:val="KplusV"/>
    <w:basedOn w:val="Standaardtabel"/>
    <w:uiPriority w:val="99"/>
    <w:rsid w:val="00F15727"/>
    <w:pPr>
      <w:spacing w:after="0" w:line="276" w:lineRule="auto"/>
    </w:pPr>
    <w:rPr>
      <w:rFonts w:ascii="Calibri" w:eastAsia="Times New Roman" w:hAnsi="Calibri" w:cs="Times New Roman"/>
      <w:kern w:val="0"/>
      <w:sz w:val="20"/>
      <w:szCs w:val="20"/>
      <w:lang w:eastAsia="nl-NL"/>
      <w14:ligatures w14:val="none"/>
    </w:rPr>
    <w:tblPr>
      <w:tblBorders>
        <w:top w:val="single" w:sz="4" w:space="0" w:color="auto"/>
        <w:bottom w:val="single" w:sz="4" w:space="0" w:color="auto"/>
        <w:insideH w:val="single" w:sz="4" w:space="0" w:color="auto"/>
      </w:tblBorders>
    </w:tblPr>
    <w:tblStylePr w:type="firstRow">
      <w:rPr>
        <w:b/>
      </w:rPr>
    </w:tblStylePr>
    <w:tblStylePr w:type="lastRow">
      <w:rPr>
        <w:b/>
      </w:rPr>
    </w:tblStylePr>
  </w:style>
  <w:style w:type="character" w:customStyle="1" w:styleId="fontstyle01">
    <w:name w:val="fontstyle01"/>
    <w:basedOn w:val="Standaardalinea-lettertype"/>
    <w:rsid w:val="00F15727"/>
    <w:rPr>
      <w:rFonts w:ascii="Poppins-Regular" w:hAnsi="Poppins-Regular" w:hint="default"/>
      <w:b w:val="0"/>
      <w:bCs w:val="0"/>
      <w:i w:val="0"/>
      <w:iCs w:val="0"/>
      <w:color w:val="000000"/>
      <w:sz w:val="20"/>
      <w:szCs w:val="20"/>
    </w:rPr>
  </w:style>
  <w:style w:type="paragraph" w:styleId="Bijschrift">
    <w:name w:val="caption"/>
    <w:basedOn w:val="Standaard"/>
    <w:next w:val="Standaard"/>
    <w:uiPriority w:val="99"/>
    <w:qFormat/>
    <w:rsid w:val="00F15727"/>
    <w:pPr>
      <w:spacing w:after="200" w:line="240" w:lineRule="auto"/>
      <w:contextualSpacing/>
    </w:pPr>
    <w:rPr>
      <w:rFonts w:cstheme="minorBidi"/>
      <w:i/>
      <w:iCs/>
      <w:color w:val="44546A"/>
      <w:szCs w:val="20"/>
    </w:rPr>
  </w:style>
  <w:style w:type="table" w:styleId="Onopgemaaktetabel3">
    <w:name w:val="Plain Table 3"/>
    <w:basedOn w:val="Standaardtabel"/>
    <w:uiPriority w:val="43"/>
    <w:rsid w:val="00F15727"/>
    <w:pPr>
      <w:spacing w:after="0" w:line="240" w:lineRule="auto"/>
    </w:pPr>
    <w:rPr>
      <w:rFonts w:ascii="Calibri" w:eastAsia="Times New Roman" w:hAnsi="Calibri"/>
      <w:color w:val="000000"/>
      <w:kern w:val="0"/>
      <w:sz w:val="22"/>
      <w:szCs w:val="20"/>
      <w:lang w:eastAsia="nl-NL"/>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issieautoriteit.nl/onderwerpen/afvalverbrandingsinstallaties/documenten/hulpdocument/2021/05/25/berekeningsfactoren-afvalstoffe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missieautoriteit.nl/onderwerpen/afvalverbrandingsinstallaties/documenten/hulpdocument/2021/05/25/berekeningsfactoren-afvalstoffen" TargetMode="External"/><Relationship Id="rId12" Type="http://schemas.openxmlformats.org/officeDocument/2006/relationships/hyperlink" Target="https://www.eerstekamer.nl/behandeling/20240917/memorie_van_toelichting_36602/document3/f=/vmgskfu9zlsd.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issieautoriteit.nl/onderwerpen/tarieven-co2-heffin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rijksfinancien.nl/belastingplan-memorie-van-toelichting/2025/d17e3908" TargetMode="External"/><Relationship Id="rId4" Type="http://schemas.openxmlformats.org/officeDocument/2006/relationships/webSettings" Target="webSettings.xml"/><Relationship Id="rId9" Type="http://schemas.openxmlformats.org/officeDocument/2006/relationships/hyperlink" Target="https://www.emissieautoriteit.nl/onderwerpen/dispensatierechten/berekening-aantal-dispensatierechte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617</Words>
  <Characters>3540</Characters>
  <Application>Microsoft Office Word</Application>
  <DocSecurity>0</DocSecurity>
  <Lines>160</Lines>
  <Paragraphs>125</Paragraphs>
  <ScaleCrop>false</ScaleCrop>
  <Company>Cyclus NV</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Wallast</dc:creator>
  <cp:keywords/>
  <dc:description/>
  <cp:lastModifiedBy>Claudia Wallast</cp:lastModifiedBy>
  <cp:revision>2</cp:revision>
  <dcterms:created xsi:type="dcterms:W3CDTF">2026-08-03T14:07:00Z</dcterms:created>
  <dcterms:modified xsi:type="dcterms:W3CDTF">2026-08-03T14:12:00Z</dcterms:modified>
</cp:coreProperties>
</file>