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34A3469" w:rsidR="00C744DF" w:rsidRDefault="00C28BF4" w:rsidP="00C744DF">
      <w:pPr>
        <w:pStyle w:val="Titel"/>
      </w:pPr>
      <w:r>
        <w:t xml:space="preserve"> </w:t>
      </w:r>
      <w:r w:rsidR="00C744DF">
        <w:tab/>
      </w: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29D46258" w:rsidR="00C744DF" w:rsidRPr="006C21C1" w:rsidRDefault="00AC4AD0" w:rsidP="00C744DF">
      <w:pPr>
        <w:pStyle w:val="Titel"/>
        <w:rPr>
          <w:b w:val="0"/>
          <w:bCs w:val="0"/>
        </w:rPr>
      </w:pPr>
      <w:r>
        <w:rPr>
          <w:b w:val="0"/>
          <w:bCs w:val="0"/>
        </w:rPr>
        <w:t xml:space="preserve">CONCEPT </w:t>
      </w:r>
      <w:r w:rsidR="00567DF8" w:rsidRPr="006C21C1">
        <w:rPr>
          <w:b w:val="0"/>
          <w:bCs w:val="0"/>
        </w:rPr>
        <w:t>ADDENDUM DIGITALE VEILIGHEID &amp; PRIVACY</w:t>
      </w:r>
      <w:r w:rsidR="004A16FC" w:rsidRPr="006C21C1">
        <w:rPr>
          <w:b w:val="0"/>
          <w:bCs w:val="0"/>
        </w:rPr>
        <w:t xml:space="preserve"> </w:t>
      </w:r>
    </w:p>
    <w:p w14:paraId="4B9E8EB6" w14:textId="6AF4586F" w:rsidR="00E347A7" w:rsidRPr="00E347A7" w:rsidRDefault="00E347A7" w:rsidP="00E347A7">
      <w:pPr>
        <w:jc w:val="center"/>
        <w:rPr>
          <w:rFonts w:ascii="Trebuchet MS" w:hAnsi="Trebuchet MS"/>
          <w:b/>
          <w:bCs/>
          <w:color w:val="04286C"/>
          <w:sz w:val="28"/>
          <w:szCs w:val="28"/>
        </w:rPr>
      </w:pPr>
      <w:r w:rsidRPr="00E347A7">
        <w:rPr>
          <w:rFonts w:ascii="Trebuchet MS" w:hAnsi="Trebuchet MS"/>
          <w:b/>
          <w:bCs/>
          <w:color w:val="04286C"/>
          <w:sz w:val="28"/>
          <w:szCs w:val="28"/>
        </w:rPr>
        <w:t xml:space="preserve">(DV&amp;P </w:t>
      </w:r>
      <w:r w:rsidR="006C21C1">
        <w:rPr>
          <w:rFonts w:ascii="Trebuchet MS" w:hAnsi="Trebuchet MS"/>
          <w:b/>
          <w:bCs/>
          <w:color w:val="04286C"/>
          <w:sz w:val="28"/>
          <w:szCs w:val="28"/>
        </w:rPr>
        <w:t>ADDENDUM</w:t>
      </w:r>
      <w:r w:rsidRPr="00E347A7">
        <w:rPr>
          <w:rFonts w:ascii="Trebuchet MS" w:hAnsi="Trebuchet MS"/>
          <w:b/>
          <w:bCs/>
          <w:color w:val="04286C"/>
          <w:sz w:val="28"/>
          <w:szCs w:val="28"/>
        </w:rPr>
        <w:t>)</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33B9AFA7" w14:textId="77777777" w:rsidR="00C744DF" w:rsidRPr="000C64F8" w:rsidRDefault="00C744DF" w:rsidP="000C64F8">
      <w:pPr>
        <w:jc w:val="center"/>
        <w:rPr>
          <w:sz w:val="24"/>
          <w:szCs w:val="24"/>
        </w:rPr>
      </w:pPr>
      <w:r w:rsidRPr="000C64F8">
        <w:rPr>
          <w:sz w:val="24"/>
          <w:szCs w:val="24"/>
        </w:rPr>
        <w:t>tussen</w:t>
      </w:r>
    </w:p>
    <w:p w14:paraId="759470BB" w14:textId="367D8AD3" w:rsidR="00C744DF" w:rsidRDefault="00C744DF" w:rsidP="000C64F8">
      <w:pPr>
        <w:jc w:val="center"/>
        <w:rPr>
          <w:sz w:val="24"/>
          <w:szCs w:val="24"/>
        </w:rPr>
      </w:pPr>
    </w:p>
    <w:p w14:paraId="09439207" w14:textId="77777777" w:rsidR="000C64F8" w:rsidRPr="000C64F8" w:rsidRDefault="000C64F8" w:rsidP="000C64F8">
      <w:pPr>
        <w:jc w:val="center"/>
        <w:rPr>
          <w:sz w:val="24"/>
          <w:szCs w:val="24"/>
        </w:rPr>
      </w:pPr>
    </w:p>
    <w:p w14:paraId="5AB5B8AF" w14:textId="5A855CC1" w:rsidR="00C744DF" w:rsidRPr="000C64F8" w:rsidRDefault="00107E97" w:rsidP="000C64F8">
      <w:pPr>
        <w:jc w:val="center"/>
        <w:rPr>
          <w:b/>
          <w:bCs/>
          <w:sz w:val="24"/>
          <w:szCs w:val="24"/>
        </w:rPr>
      </w:pPr>
      <w:r>
        <w:rPr>
          <w:b/>
          <w:bCs/>
          <w:sz w:val="24"/>
          <w:szCs w:val="24"/>
        </w:rPr>
        <w:t>[</w:t>
      </w:r>
      <w:r w:rsidR="00C744DF" w:rsidRPr="002D31ED">
        <w:rPr>
          <w:b/>
          <w:bCs/>
          <w:sz w:val="24"/>
          <w:szCs w:val="24"/>
          <w:highlight w:val="yellow"/>
        </w:rPr>
        <w:t>NAAM WEDERPARTIJ</w:t>
      </w:r>
      <w:r>
        <w:rPr>
          <w:b/>
          <w:bCs/>
          <w:sz w:val="24"/>
          <w:szCs w:val="24"/>
        </w:rPr>
        <w: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r w:rsidRPr="000C64F8">
        <w:rPr>
          <w:sz w:val="24"/>
          <w:szCs w:val="24"/>
        </w:rPr>
        <w:t>en</w:t>
      </w:r>
    </w:p>
    <w:p w14:paraId="4D7F0118" w14:textId="77777777" w:rsidR="00C744DF" w:rsidRPr="000C64F8" w:rsidRDefault="00C744DF" w:rsidP="000C64F8">
      <w:pPr>
        <w:jc w:val="center"/>
        <w:rPr>
          <w:sz w:val="24"/>
          <w:szCs w:val="24"/>
        </w:rPr>
      </w:pPr>
    </w:p>
    <w:p w14:paraId="3F2B73B6" w14:textId="7A142116" w:rsidR="00C744DF" w:rsidRPr="000C64F8" w:rsidRDefault="00C744DF" w:rsidP="000C64F8">
      <w:pPr>
        <w:jc w:val="center"/>
        <w:rPr>
          <w:sz w:val="24"/>
          <w:szCs w:val="24"/>
        </w:rPr>
      </w:pPr>
      <w:r w:rsidRPr="000C64F8">
        <w:rPr>
          <w:sz w:val="24"/>
          <w:szCs w:val="24"/>
        </w:rPr>
        <w:t>Enexis Personeel B.V.</w:t>
      </w:r>
    </w:p>
    <w:p w14:paraId="0102F306" w14:textId="77777777" w:rsidR="00C744DF" w:rsidRPr="000C64F8" w:rsidRDefault="00C744DF" w:rsidP="000C64F8">
      <w:pPr>
        <w:jc w:val="center"/>
        <w:rPr>
          <w:sz w:val="24"/>
          <w:szCs w:val="24"/>
        </w:rPr>
      </w:pPr>
    </w:p>
    <w:p w14:paraId="6931E1DA" w14:textId="13A9DBD3" w:rsidR="00C744DF" w:rsidRPr="000C64F8" w:rsidRDefault="00C744DF" w:rsidP="000C64F8">
      <w:pPr>
        <w:jc w:val="center"/>
        <w:rPr>
          <w:sz w:val="24"/>
          <w:szCs w:val="24"/>
        </w:rPr>
      </w:pPr>
      <w:r w:rsidRPr="000C64F8">
        <w:rPr>
          <w:sz w:val="24"/>
          <w:szCs w:val="24"/>
        </w:rPr>
        <w:t>d.d.</w:t>
      </w:r>
      <w:r w:rsidR="00596F4B">
        <w:rPr>
          <w:sz w:val="24"/>
          <w:szCs w:val="24"/>
        </w:rPr>
        <w:t xml:space="preserve"> [</w:t>
      </w:r>
      <w:r w:rsidR="00596F4B" w:rsidRPr="002D31ED">
        <w:rPr>
          <w:sz w:val="24"/>
          <w:szCs w:val="24"/>
          <w:highlight w:val="yellow"/>
        </w:rPr>
        <w:t>datum</w:t>
      </w:r>
      <w:r w:rsidR="00596F4B">
        <w:rPr>
          <w:sz w:val="24"/>
          <w:szCs w:val="24"/>
        </w:rPr>
        <w:t>]</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1AD48A7" w14:textId="77777777" w:rsidR="000C64F8" w:rsidRDefault="000C64F8" w:rsidP="00C744DF">
      <w:pPr>
        <w:pStyle w:val="Ondertitel"/>
      </w:pPr>
    </w:p>
    <w:p w14:paraId="3D24D44F" w14:textId="77777777" w:rsidR="004E55F3" w:rsidRDefault="004E55F3" w:rsidP="004E55F3"/>
    <w:p w14:paraId="7926E0A4" w14:textId="77777777" w:rsidR="004E55F3" w:rsidRPr="004E55F3" w:rsidRDefault="004E55F3" w:rsidP="004E55F3"/>
    <w:p w14:paraId="7112B578" w14:textId="77777777" w:rsidR="000C64F8" w:rsidRDefault="000C64F8" w:rsidP="00C744DF">
      <w:pPr>
        <w:pStyle w:val="Ondertitel"/>
      </w:pPr>
    </w:p>
    <w:p w14:paraId="3056176A" w14:textId="77777777" w:rsidR="000C64F8" w:rsidRDefault="000C64F8" w:rsidP="00E868FF">
      <w:pPr>
        <w:pStyle w:val="Ondertitel"/>
        <w:jc w:val="both"/>
      </w:pPr>
    </w:p>
    <w:p w14:paraId="2D98B5C3" w14:textId="77777777" w:rsidR="00AC4AD0" w:rsidRDefault="00AC4AD0">
      <w:pPr>
        <w:spacing w:after="60"/>
        <w:rPr>
          <w:rFonts w:ascii="Trebuchet MS" w:hAnsi="Trebuchet MS"/>
          <w:b/>
          <w:bCs/>
          <w:color w:val="04286C"/>
          <w:sz w:val="28"/>
          <w:szCs w:val="28"/>
        </w:rPr>
      </w:pPr>
      <w:r>
        <w:br w:type="page"/>
      </w:r>
    </w:p>
    <w:p w14:paraId="0E57DCA1" w14:textId="71463629" w:rsidR="00C744DF" w:rsidRDefault="00C744DF" w:rsidP="00C744DF">
      <w:pPr>
        <w:pStyle w:val="Kop2"/>
      </w:pPr>
      <w:r w:rsidRPr="00C744DF">
        <w:lastRenderedPageBreak/>
        <w:t>INHOUDSOPGAVE</w:t>
      </w:r>
    </w:p>
    <w:p w14:paraId="3D0F4594" w14:textId="77777777" w:rsidR="00CD2AA3" w:rsidRPr="00CD2AA3" w:rsidRDefault="00CD2AA3" w:rsidP="00CD2AA3"/>
    <w:p w14:paraId="7D820B79" w14:textId="55E28F33" w:rsidR="004E55F3"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338641" w:history="1">
        <w:r w:rsidR="004E55F3" w:rsidRPr="008871AF">
          <w:rPr>
            <w:rStyle w:val="Hyperlink"/>
            <w:noProof/>
          </w:rPr>
          <w:t>1.</w:t>
        </w:r>
        <w:r w:rsidR="004E55F3">
          <w:rPr>
            <w:rFonts w:asciiTheme="minorHAnsi" w:eastAsiaTheme="minorEastAsia" w:hAnsiTheme="minorHAnsi" w:cstheme="minorBidi"/>
            <w:noProof/>
            <w:color w:val="auto"/>
            <w:kern w:val="2"/>
            <w:sz w:val="24"/>
            <w:szCs w:val="24"/>
            <w:lang w:eastAsia="nl-NL"/>
            <w14:ligatures w14:val="standardContextual"/>
          </w:rPr>
          <w:tab/>
        </w:r>
        <w:r w:rsidR="004E55F3" w:rsidRPr="008871AF">
          <w:rPr>
            <w:rStyle w:val="Hyperlink"/>
            <w:noProof/>
          </w:rPr>
          <w:t>DOEL, TOEPASSELIJKHEID EN HIËRARCHIE</w:t>
        </w:r>
        <w:r w:rsidR="004E55F3">
          <w:rPr>
            <w:noProof/>
            <w:webHidden/>
          </w:rPr>
          <w:tab/>
        </w:r>
        <w:r w:rsidR="004E55F3">
          <w:rPr>
            <w:noProof/>
            <w:webHidden/>
          </w:rPr>
          <w:fldChar w:fldCharType="begin"/>
        </w:r>
        <w:r w:rsidR="004E55F3">
          <w:rPr>
            <w:noProof/>
            <w:webHidden/>
          </w:rPr>
          <w:instrText xml:space="preserve"> PAGEREF _Toc199338641 \h </w:instrText>
        </w:r>
        <w:r w:rsidR="004E55F3">
          <w:rPr>
            <w:noProof/>
            <w:webHidden/>
          </w:rPr>
        </w:r>
        <w:r w:rsidR="004E55F3">
          <w:rPr>
            <w:noProof/>
            <w:webHidden/>
          </w:rPr>
          <w:fldChar w:fldCharType="separate"/>
        </w:r>
        <w:r w:rsidR="005A71E9">
          <w:rPr>
            <w:noProof/>
            <w:webHidden/>
          </w:rPr>
          <w:t>6</w:t>
        </w:r>
        <w:r w:rsidR="004E55F3">
          <w:rPr>
            <w:noProof/>
            <w:webHidden/>
          </w:rPr>
          <w:fldChar w:fldCharType="end"/>
        </w:r>
      </w:hyperlink>
    </w:p>
    <w:p w14:paraId="00FF17CC" w14:textId="3A5E659B"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2" w:history="1">
        <w:r w:rsidRPr="008871AF">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BEVEILIGINGSBELEIDSLIJNEN</w:t>
        </w:r>
        <w:r>
          <w:rPr>
            <w:noProof/>
            <w:webHidden/>
          </w:rPr>
          <w:tab/>
        </w:r>
        <w:r>
          <w:rPr>
            <w:noProof/>
            <w:webHidden/>
          </w:rPr>
          <w:fldChar w:fldCharType="begin"/>
        </w:r>
        <w:r>
          <w:rPr>
            <w:noProof/>
            <w:webHidden/>
          </w:rPr>
          <w:instrText xml:space="preserve"> PAGEREF _Toc199338642 \h </w:instrText>
        </w:r>
        <w:r>
          <w:rPr>
            <w:noProof/>
            <w:webHidden/>
          </w:rPr>
        </w:r>
        <w:r>
          <w:rPr>
            <w:noProof/>
            <w:webHidden/>
          </w:rPr>
          <w:fldChar w:fldCharType="separate"/>
        </w:r>
        <w:r w:rsidR="005A71E9">
          <w:rPr>
            <w:noProof/>
            <w:webHidden/>
          </w:rPr>
          <w:t>6</w:t>
        </w:r>
        <w:r>
          <w:rPr>
            <w:noProof/>
            <w:webHidden/>
          </w:rPr>
          <w:fldChar w:fldCharType="end"/>
        </w:r>
      </w:hyperlink>
    </w:p>
    <w:p w14:paraId="5540A3E2" w14:textId="2F0E146C"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3" w:history="1">
        <w:r w:rsidRPr="008871AF">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GEHEIMHOUDING EN VERWERKING VAN GEGEVENS</w:t>
        </w:r>
        <w:r>
          <w:rPr>
            <w:noProof/>
            <w:webHidden/>
          </w:rPr>
          <w:tab/>
        </w:r>
        <w:r>
          <w:rPr>
            <w:noProof/>
            <w:webHidden/>
          </w:rPr>
          <w:fldChar w:fldCharType="begin"/>
        </w:r>
        <w:r>
          <w:rPr>
            <w:noProof/>
            <w:webHidden/>
          </w:rPr>
          <w:instrText xml:space="preserve"> PAGEREF _Toc199338643 \h </w:instrText>
        </w:r>
        <w:r>
          <w:rPr>
            <w:noProof/>
            <w:webHidden/>
          </w:rPr>
        </w:r>
        <w:r>
          <w:rPr>
            <w:noProof/>
            <w:webHidden/>
          </w:rPr>
          <w:fldChar w:fldCharType="separate"/>
        </w:r>
        <w:r w:rsidR="005A71E9">
          <w:rPr>
            <w:noProof/>
            <w:webHidden/>
          </w:rPr>
          <w:t>7</w:t>
        </w:r>
        <w:r>
          <w:rPr>
            <w:noProof/>
            <w:webHidden/>
          </w:rPr>
          <w:fldChar w:fldCharType="end"/>
        </w:r>
      </w:hyperlink>
    </w:p>
    <w:p w14:paraId="2BDBE67A" w14:textId="04036343"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4" w:history="1">
        <w:r w:rsidRPr="008871AF">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AUDIT</w:t>
        </w:r>
        <w:r>
          <w:rPr>
            <w:noProof/>
            <w:webHidden/>
          </w:rPr>
          <w:tab/>
        </w:r>
        <w:r>
          <w:rPr>
            <w:noProof/>
            <w:webHidden/>
          </w:rPr>
          <w:fldChar w:fldCharType="begin"/>
        </w:r>
        <w:r>
          <w:rPr>
            <w:noProof/>
            <w:webHidden/>
          </w:rPr>
          <w:instrText xml:space="preserve"> PAGEREF _Toc199338644 \h </w:instrText>
        </w:r>
        <w:r>
          <w:rPr>
            <w:noProof/>
            <w:webHidden/>
          </w:rPr>
        </w:r>
        <w:r>
          <w:rPr>
            <w:noProof/>
            <w:webHidden/>
          </w:rPr>
          <w:fldChar w:fldCharType="separate"/>
        </w:r>
        <w:r w:rsidR="005A71E9">
          <w:rPr>
            <w:noProof/>
            <w:webHidden/>
          </w:rPr>
          <w:t>8</w:t>
        </w:r>
        <w:r>
          <w:rPr>
            <w:noProof/>
            <w:webHidden/>
          </w:rPr>
          <w:fldChar w:fldCharType="end"/>
        </w:r>
      </w:hyperlink>
    </w:p>
    <w:p w14:paraId="2E259F4D" w14:textId="57FFD34B"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5" w:history="1">
        <w:r w:rsidRPr="008871AF">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lang w:eastAsia="nl-NL" w:bidi="en-US"/>
          </w:rPr>
          <w:t>COMMUNICATIE EN RAPPORTAGE</w:t>
        </w:r>
        <w:r>
          <w:rPr>
            <w:noProof/>
            <w:webHidden/>
          </w:rPr>
          <w:tab/>
        </w:r>
        <w:r>
          <w:rPr>
            <w:noProof/>
            <w:webHidden/>
          </w:rPr>
          <w:fldChar w:fldCharType="begin"/>
        </w:r>
        <w:r>
          <w:rPr>
            <w:noProof/>
            <w:webHidden/>
          </w:rPr>
          <w:instrText xml:space="preserve"> PAGEREF _Toc199338645 \h </w:instrText>
        </w:r>
        <w:r>
          <w:rPr>
            <w:noProof/>
            <w:webHidden/>
          </w:rPr>
        </w:r>
        <w:r>
          <w:rPr>
            <w:noProof/>
            <w:webHidden/>
          </w:rPr>
          <w:fldChar w:fldCharType="separate"/>
        </w:r>
        <w:r w:rsidR="005A71E9">
          <w:rPr>
            <w:noProof/>
            <w:webHidden/>
          </w:rPr>
          <w:t>8</w:t>
        </w:r>
        <w:r>
          <w:rPr>
            <w:noProof/>
            <w:webHidden/>
          </w:rPr>
          <w:fldChar w:fldCharType="end"/>
        </w:r>
      </w:hyperlink>
    </w:p>
    <w:p w14:paraId="745D23A9" w14:textId="6A933B84"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6" w:history="1">
        <w:r w:rsidRPr="008871AF">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INCIDENTRESPONSE EN MELDINGSPLICHT</w:t>
        </w:r>
        <w:r>
          <w:rPr>
            <w:noProof/>
            <w:webHidden/>
          </w:rPr>
          <w:tab/>
        </w:r>
        <w:r>
          <w:rPr>
            <w:noProof/>
            <w:webHidden/>
          </w:rPr>
          <w:fldChar w:fldCharType="begin"/>
        </w:r>
        <w:r>
          <w:rPr>
            <w:noProof/>
            <w:webHidden/>
          </w:rPr>
          <w:instrText xml:space="preserve"> PAGEREF _Toc199338646 \h </w:instrText>
        </w:r>
        <w:r>
          <w:rPr>
            <w:noProof/>
            <w:webHidden/>
          </w:rPr>
        </w:r>
        <w:r>
          <w:rPr>
            <w:noProof/>
            <w:webHidden/>
          </w:rPr>
          <w:fldChar w:fldCharType="separate"/>
        </w:r>
        <w:r w:rsidR="005A71E9">
          <w:rPr>
            <w:noProof/>
            <w:webHidden/>
          </w:rPr>
          <w:t>9</w:t>
        </w:r>
        <w:r>
          <w:rPr>
            <w:noProof/>
            <w:webHidden/>
          </w:rPr>
          <w:fldChar w:fldCharType="end"/>
        </w:r>
      </w:hyperlink>
    </w:p>
    <w:p w14:paraId="342E10AB" w14:textId="3458DECE"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7" w:history="1">
        <w:r w:rsidRPr="008871AF">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RELATIES MET DERDEN</w:t>
        </w:r>
        <w:r>
          <w:rPr>
            <w:noProof/>
            <w:webHidden/>
          </w:rPr>
          <w:tab/>
        </w:r>
        <w:r>
          <w:rPr>
            <w:noProof/>
            <w:webHidden/>
          </w:rPr>
          <w:fldChar w:fldCharType="begin"/>
        </w:r>
        <w:r>
          <w:rPr>
            <w:noProof/>
            <w:webHidden/>
          </w:rPr>
          <w:instrText xml:space="preserve"> PAGEREF _Toc199338647 \h </w:instrText>
        </w:r>
        <w:r>
          <w:rPr>
            <w:noProof/>
            <w:webHidden/>
          </w:rPr>
        </w:r>
        <w:r>
          <w:rPr>
            <w:noProof/>
            <w:webHidden/>
          </w:rPr>
          <w:fldChar w:fldCharType="separate"/>
        </w:r>
        <w:r w:rsidR="005A71E9">
          <w:rPr>
            <w:noProof/>
            <w:webHidden/>
          </w:rPr>
          <w:t>9</w:t>
        </w:r>
        <w:r>
          <w:rPr>
            <w:noProof/>
            <w:webHidden/>
          </w:rPr>
          <w:fldChar w:fldCharType="end"/>
        </w:r>
      </w:hyperlink>
    </w:p>
    <w:p w14:paraId="664236C7" w14:textId="4E278E7A"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8" w:history="1">
        <w:r w:rsidRPr="008871AF">
          <w:rPr>
            <w:rStyle w:val="Hyperlink"/>
            <w:noProof/>
          </w:rPr>
          <w:t>8.</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DUUR EN BEEINDIGING</w:t>
        </w:r>
        <w:r>
          <w:rPr>
            <w:noProof/>
            <w:webHidden/>
          </w:rPr>
          <w:tab/>
        </w:r>
        <w:r>
          <w:rPr>
            <w:noProof/>
            <w:webHidden/>
          </w:rPr>
          <w:fldChar w:fldCharType="begin"/>
        </w:r>
        <w:r>
          <w:rPr>
            <w:noProof/>
            <w:webHidden/>
          </w:rPr>
          <w:instrText xml:space="preserve"> PAGEREF _Toc199338648 \h </w:instrText>
        </w:r>
        <w:r>
          <w:rPr>
            <w:noProof/>
            <w:webHidden/>
          </w:rPr>
        </w:r>
        <w:r>
          <w:rPr>
            <w:noProof/>
            <w:webHidden/>
          </w:rPr>
          <w:fldChar w:fldCharType="separate"/>
        </w:r>
        <w:r w:rsidR="005A71E9">
          <w:rPr>
            <w:noProof/>
            <w:webHidden/>
          </w:rPr>
          <w:t>10</w:t>
        </w:r>
        <w:r>
          <w:rPr>
            <w:noProof/>
            <w:webHidden/>
          </w:rPr>
          <w:fldChar w:fldCharType="end"/>
        </w:r>
      </w:hyperlink>
    </w:p>
    <w:p w14:paraId="153C5526" w14:textId="18D11D5E"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9" w:history="1">
        <w:r w:rsidRPr="008871AF">
          <w:rPr>
            <w:rStyle w:val="Hyperlink"/>
            <w:noProof/>
          </w:rPr>
          <w:t>9.</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TUSSENTIJDSE BEËINDIGING, ONTBINDING EN OPSCHORTING</w:t>
        </w:r>
        <w:r>
          <w:rPr>
            <w:noProof/>
            <w:webHidden/>
          </w:rPr>
          <w:tab/>
        </w:r>
        <w:r>
          <w:rPr>
            <w:noProof/>
            <w:webHidden/>
          </w:rPr>
          <w:fldChar w:fldCharType="begin"/>
        </w:r>
        <w:r>
          <w:rPr>
            <w:noProof/>
            <w:webHidden/>
          </w:rPr>
          <w:instrText xml:space="preserve"> PAGEREF _Toc199338649 \h </w:instrText>
        </w:r>
        <w:r>
          <w:rPr>
            <w:noProof/>
            <w:webHidden/>
          </w:rPr>
        </w:r>
        <w:r>
          <w:rPr>
            <w:noProof/>
            <w:webHidden/>
          </w:rPr>
          <w:fldChar w:fldCharType="separate"/>
        </w:r>
        <w:r w:rsidR="005A71E9">
          <w:rPr>
            <w:noProof/>
            <w:webHidden/>
          </w:rPr>
          <w:t>10</w:t>
        </w:r>
        <w:r>
          <w:rPr>
            <w:noProof/>
            <w:webHidden/>
          </w:rPr>
          <w:fldChar w:fldCharType="end"/>
        </w:r>
      </w:hyperlink>
    </w:p>
    <w:p w14:paraId="469B5903" w14:textId="7356875E" w:rsidR="004E55F3" w:rsidRDefault="004E55F3">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0" w:history="1">
        <w:r w:rsidRPr="008871AF">
          <w:rPr>
            <w:rStyle w:val="Hyperlink"/>
            <w:noProof/>
          </w:rPr>
          <w:t>10.</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VERZEKERING</w:t>
        </w:r>
        <w:r>
          <w:rPr>
            <w:noProof/>
            <w:webHidden/>
          </w:rPr>
          <w:tab/>
        </w:r>
        <w:r>
          <w:rPr>
            <w:noProof/>
            <w:webHidden/>
          </w:rPr>
          <w:fldChar w:fldCharType="begin"/>
        </w:r>
        <w:r>
          <w:rPr>
            <w:noProof/>
            <w:webHidden/>
          </w:rPr>
          <w:instrText xml:space="preserve"> PAGEREF _Toc199338650 \h </w:instrText>
        </w:r>
        <w:r>
          <w:rPr>
            <w:noProof/>
            <w:webHidden/>
          </w:rPr>
        </w:r>
        <w:r>
          <w:rPr>
            <w:noProof/>
            <w:webHidden/>
          </w:rPr>
          <w:fldChar w:fldCharType="separate"/>
        </w:r>
        <w:r w:rsidR="005A71E9">
          <w:rPr>
            <w:noProof/>
            <w:webHidden/>
          </w:rPr>
          <w:t>10</w:t>
        </w:r>
        <w:r>
          <w:rPr>
            <w:noProof/>
            <w:webHidden/>
          </w:rPr>
          <w:fldChar w:fldCharType="end"/>
        </w:r>
      </w:hyperlink>
    </w:p>
    <w:p w14:paraId="50B2A97F" w14:textId="1F805185" w:rsidR="004E55F3" w:rsidRDefault="004E55F3">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1" w:history="1">
        <w:r w:rsidRPr="008871AF">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OVERIG</w:t>
        </w:r>
        <w:r>
          <w:rPr>
            <w:noProof/>
            <w:webHidden/>
          </w:rPr>
          <w:tab/>
        </w:r>
        <w:r>
          <w:rPr>
            <w:noProof/>
            <w:webHidden/>
          </w:rPr>
          <w:fldChar w:fldCharType="begin"/>
        </w:r>
        <w:r>
          <w:rPr>
            <w:noProof/>
            <w:webHidden/>
          </w:rPr>
          <w:instrText xml:space="preserve"> PAGEREF _Toc199338651 \h </w:instrText>
        </w:r>
        <w:r>
          <w:rPr>
            <w:noProof/>
            <w:webHidden/>
          </w:rPr>
        </w:r>
        <w:r>
          <w:rPr>
            <w:noProof/>
            <w:webHidden/>
          </w:rPr>
          <w:fldChar w:fldCharType="separate"/>
        </w:r>
        <w:r w:rsidR="005A71E9">
          <w:rPr>
            <w:noProof/>
            <w:webHidden/>
          </w:rPr>
          <w:t>11</w:t>
        </w:r>
        <w:r>
          <w:rPr>
            <w:noProof/>
            <w:webHidden/>
          </w:rPr>
          <w:fldChar w:fldCharType="end"/>
        </w:r>
      </w:hyperlink>
    </w:p>
    <w:p w14:paraId="711D4C11" w14:textId="385DC68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2" w:history="1">
        <w:r w:rsidRPr="008871AF">
          <w:rPr>
            <w:rStyle w:val="Hyperlink"/>
            <w:noProof/>
          </w:rPr>
          <w:t>BIJLAGEN</w:t>
        </w:r>
        <w:r>
          <w:rPr>
            <w:noProof/>
            <w:webHidden/>
          </w:rPr>
          <w:tab/>
        </w:r>
        <w:r>
          <w:rPr>
            <w:noProof/>
            <w:webHidden/>
          </w:rPr>
          <w:fldChar w:fldCharType="begin"/>
        </w:r>
        <w:r>
          <w:rPr>
            <w:noProof/>
            <w:webHidden/>
          </w:rPr>
          <w:instrText xml:space="preserve"> PAGEREF _Toc199338652 \h </w:instrText>
        </w:r>
        <w:r>
          <w:rPr>
            <w:noProof/>
            <w:webHidden/>
          </w:rPr>
        </w:r>
        <w:r>
          <w:rPr>
            <w:noProof/>
            <w:webHidden/>
          </w:rPr>
          <w:fldChar w:fldCharType="separate"/>
        </w:r>
        <w:r w:rsidR="005A71E9">
          <w:rPr>
            <w:noProof/>
            <w:webHidden/>
          </w:rPr>
          <w:t>12</w:t>
        </w:r>
        <w:r>
          <w:rPr>
            <w:noProof/>
            <w:webHidden/>
          </w:rPr>
          <w:fldChar w:fldCharType="end"/>
        </w:r>
      </w:hyperlink>
    </w:p>
    <w:p w14:paraId="0BFC2DB4" w14:textId="2B51D3ED"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3" w:history="1">
        <w:r w:rsidRPr="008871AF">
          <w:rPr>
            <w:rStyle w:val="Hyperlink"/>
            <w:noProof/>
          </w:rPr>
          <w:t>BIJLAGE 1 – OVEREENGEKOMEN AFWIJKINGEN DV&amp;P ADDENDUM</w:t>
        </w:r>
        <w:r>
          <w:rPr>
            <w:noProof/>
            <w:webHidden/>
          </w:rPr>
          <w:tab/>
        </w:r>
        <w:r>
          <w:rPr>
            <w:noProof/>
            <w:webHidden/>
          </w:rPr>
          <w:fldChar w:fldCharType="begin"/>
        </w:r>
        <w:r>
          <w:rPr>
            <w:noProof/>
            <w:webHidden/>
          </w:rPr>
          <w:instrText xml:space="preserve"> PAGEREF _Toc199338653 \h </w:instrText>
        </w:r>
        <w:r>
          <w:rPr>
            <w:noProof/>
            <w:webHidden/>
          </w:rPr>
        </w:r>
        <w:r>
          <w:rPr>
            <w:noProof/>
            <w:webHidden/>
          </w:rPr>
          <w:fldChar w:fldCharType="separate"/>
        </w:r>
        <w:r w:rsidR="005A71E9">
          <w:rPr>
            <w:noProof/>
            <w:webHidden/>
          </w:rPr>
          <w:t>13</w:t>
        </w:r>
        <w:r>
          <w:rPr>
            <w:noProof/>
            <w:webHidden/>
          </w:rPr>
          <w:fldChar w:fldCharType="end"/>
        </w:r>
      </w:hyperlink>
    </w:p>
    <w:p w14:paraId="6471F9E0" w14:textId="015176F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4" w:history="1">
        <w:r w:rsidRPr="008871AF">
          <w:rPr>
            <w:rStyle w:val="Hyperlink"/>
            <w:noProof/>
          </w:rPr>
          <w:t>BIJLAGE 2 – CONTACTPERSONEN</w:t>
        </w:r>
        <w:r>
          <w:rPr>
            <w:noProof/>
            <w:webHidden/>
          </w:rPr>
          <w:tab/>
        </w:r>
        <w:r>
          <w:rPr>
            <w:noProof/>
            <w:webHidden/>
          </w:rPr>
          <w:fldChar w:fldCharType="begin"/>
        </w:r>
        <w:r>
          <w:rPr>
            <w:noProof/>
            <w:webHidden/>
          </w:rPr>
          <w:instrText xml:space="preserve"> PAGEREF _Toc199338654 \h </w:instrText>
        </w:r>
        <w:r>
          <w:rPr>
            <w:noProof/>
            <w:webHidden/>
          </w:rPr>
        </w:r>
        <w:r>
          <w:rPr>
            <w:noProof/>
            <w:webHidden/>
          </w:rPr>
          <w:fldChar w:fldCharType="separate"/>
        </w:r>
        <w:r w:rsidR="005A71E9">
          <w:rPr>
            <w:noProof/>
            <w:webHidden/>
          </w:rPr>
          <w:t>14</w:t>
        </w:r>
        <w:r>
          <w:rPr>
            <w:noProof/>
            <w:webHidden/>
          </w:rPr>
          <w:fldChar w:fldCharType="end"/>
        </w:r>
      </w:hyperlink>
    </w:p>
    <w:p w14:paraId="038BFC04" w14:textId="28923B67"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5" w:history="1">
        <w:r w:rsidRPr="008871AF">
          <w:rPr>
            <w:rStyle w:val="Hyperlink"/>
            <w:noProof/>
          </w:rPr>
          <w:t>BIJLAGE 3 – LOCATIES INFORMATIE</w:t>
        </w:r>
        <w:r>
          <w:rPr>
            <w:noProof/>
            <w:webHidden/>
          </w:rPr>
          <w:tab/>
        </w:r>
        <w:r>
          <w:rPr>
            <w:noProof/>
            <w:webHidden/>
          </w:rPr>
          <w:fldChar w:fldCharType="begin"/>
        </w:r>
        <w:r>
          <w:rPr>
            <w:noProof/>
            <w:webHidden/>
          </w:rPr>
          <w:instrText xml:space="preserve"> PAGEREF _Toc199338655 \h </w:instrText>
        </w:r>
        <w:r>
          <w:rPr>
            <w:noProof/>
            <w:webHidden/>
          </w:rPr>
        </w:r>
        <w:r>
          <w:rPr>
            <w:noProof/>
            <w:webHidden/>
          </w:rPr>
          <w:fldChar w:fldCharType="separate"/>
        </w:r>
        <w:r w:rsidR="005A71E9">
          <w:rPr>
            <w:noProof/>
            <w:webHidden/>
          </w:rPr>
          <w:t>15</w:t>
        </w:r>
        <w:r>
          <w:rPr>
            <w:noProof/>
            <w:webHidden/>
          </w:rPr>
          <w:fldChar w:fldCharType="end"/>
        </w:r>
      </w:hyperlink>
    </w:p>
    <w:p w14:paraId="2C4FDFAD" w14:textId="77A6165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6" w:history="1">
        <w:r w:rsidRPr="008871AF">
          <w:rPr>
            <w:rStyle w:val="Hyperlink"/>
            <w:noProof/>
          </w:rPr>
          <w:t>BIJLAGE 4 – TOEGANGSBEVEILIGING</w:t>
        </w:r>
        <w:r>
          <w:rPr>
            <w:noProof/>
            <w:webHidden/>
          </w:rPr>
          <w:tab/>
        </w:r>
        <w:r>
          <w:rPr>
            <w:noProof/>
            <w:webHidden/>
          </w:rPr>
          <w:fldChar w:fldCharType="begin"/>
        </w:r>
        <w:r>
          <w:rPr>
            <w:noProof/>
            <w:webHidden/>
          </w:rPr>
          <w:instrText xml:space="preserve"> PAGEREF _Toc199338656 \h </w:instrText>
        </w:r>
        <w:r>
          <w:rPr>
            <w:noProof/>
            <w:webHidden/>
          </w:rPr>
        </w:r>
        <w:r>
          <w:rPr>
            <w:noProof/>
            <w:webHidden/>
          </w:rPr>
          <w:fldChar w:fldCharType="separate"/>
        </w:r>
        <w:r w:rsidR="005A71E9">
          <w:rPr>
            <w:noProof/>
            <w:webHidden/>
          </w:rPr>
          <w:t>16</w:t>
        </w:r>
        <w:r>
          <w:rPr>
            <w:noProof/>
            <w:webHidden/>
          </w:rPr>
          <w:fldChar w:fldCharType="end"/>
        </w:r>
      </w:hyperlink>
    </w:p>
    <w:p w14:paraId="0F44A87F" w14:textId="5F44041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7" w:history="1">
        <w:r w:rsidRPr="008871AF">
          <w:rPr>
            <w:rStyle w:val="Hyperlink"/>
            <w:noProof/>
          </w:rPr>
          <w:t>BIJLAGE 5 – ENCRYPTIE EN BACK-UPS</w:t>
        </w:r>
        <w:r>
          <w:rPr>
            <w:noProof/>
            <w:webHidden/>
          </w:rPr>
          <w:tab/>
        </w:r>
        <w:r>
          <w:rPr>
            <w:noProof/>
            <w:webHidden/>
          </w:rPr>
          <w:fldChar w:fldCharType="begin"/>
        </w:r>
        <w:r>
          <w:rPr>
            <w:noProof/>
            <w:webHidden/>
          </w:rPr>
          <w:instrText xml:space="preserve"> PAGEREF _Toc199338657 \h </w:instrText>
        </w:r>
        <w:r>
          <w:rPr>
            <w:noProof/>
            <w:webHidden/>
          </w:rPr>
        </w:r>
        <w:r>
          <w:rPr>
            <w:noProof/>
            <w:webHidden/>
          </w:rPr>
          <w:fldChar w:fldCharType="separate"/>
        </w:r>
        <w:r w:rsidR="005A71E9">
          <w:rPr>
            <w:noProof/>
            <w:webHidden/>
          </w:rPr>
          <w:t>17</w:t>
        </w:r>
        <w:r>
          <w:rPr>
            <w:noProof/>
            <w:webHidden/>
          </w:rPr>
          <w:fldChar w:fldCharType="end"/>
        </w:r>
      </w:hyperlink>
    </w:p>
    <w:p w14:paraId="5800CFE6" w14:textId="58AC0677"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8" w:history="1">
        <w:r w:rsidRPr="008871AF">
          <w:rPr>
            <w:rStyle w:val="Hyperlink"/>
            <w:noProof/>
          </w:rPr>
          <w:t>BIJLAGE 6 – PERSONELE EN FYSIEKE BEVEILIGING</w:t>
        </w:r>
        <w:r>
          <w:rPr>
            <w:noProof/>
            <w:webHidden/>
          </w:rPr>
          <w:tab/>
        </w:r>
        <w:r>
          <w:rPr>
            <w:noProof/>
            <w:webHidden/>
          </w:rPr>
          <w:fldChar w:fldCharType="begin"/>
        </w:r>
        <w:r>
          <w:rPr>
            <w:noProof/>
            <w:webHidden/>
          </w:rPr>
          <w:instrText xml:space="preserve"> PAGEREF _Toc199338658 \h </w:instrText>
        </w:r>
        <w:r>
          <w:rPr>
            <w:noProof/>
            <w:webHidden/>
          </w:rPr>
        </w:r>
        <w:r>
          <w:rPr>
            <w:noProof/>
            <w:webHidden/>
          </w:rPr>
          <w:fldChar w:fldCharType="separate"/>
        </w:r>
        <w:r w:rsidR="005A71E9">
          <w:rPr>
            <w:noProof/>
            <w:webHidden/>
          </w:rPr>
          <w:t>18</w:t>
        </w:r>
        <w:r>
          <w:rPr>
            <w:noProof/>
            <w:webHidden/>
          </w:rPr>
          <w:fldChar w:fldCharType="end"/>
        </w:r>
      </w:hyperlink>
    </w:p>
    <w:p w14:paraId="32349A80" w14:textId="21343918"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9" w:history="1">
        <w:r w:rsidRPr="008871AF">
          <w:rPr>
            <w:rStyle w:val="Hyperlink"/>
            <w:noProof/>
          </w:rPr>
          <w:t>BIJLAGE 7 – TRAINING EN BEWUSTZIJN</w:t>
        </w:r>
        <w:r>
          <w:rPr>
            <w:noProof/>
            <w:webHidden/>
          </w:rPr>
          <w:tab/>
        </w:r>
        <w:r>
          <w:rPr>
            <w:noProof/>
            <w:webHidden/>
          </w:rPr>
          <w:fldChar w:fldCharType="begin"/>
        </w:r>
        <w:r>
          <w:rPr>
            <w:noProof/>
            <w:webHidden/>
          </w:rPr>
          <w:instrText xml:space="preserve"> PAGEREF _Toc199338659 \h </w:instrText>
        </w:r>
        <w:r>
          <w:rPr>
            <w:noProof/>
            <w:webHidden/>
          </w:rPr>
        </w:r>
        <w:r>
          <w:rPr>
            <w:noProof/>
            <w:webHidden/>
          </w:rPr>
          <w:fldChar w:fldCharType="separate"/>
        </w:r>
        <w:r w:rsidR="005A71E9">
          <w:rPr>
            <w:noProof/>
            <w:webHidden/>
          </w:rPr>
          <w:t>19</w:t>
        </w:r>
        <w:r>
          <w:rPr>
            <w:noProof/>
            <w:webHidden/>
          </w:rPr>
          <w:fldChar w:fldCharType="end"/>
        </w:r>
      </w:hyperlink>
    </w:p>
    <w:p w14:paraId="2717E237" w14:textId="065FDEAC"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0" w:history="1">
        <w:r w:rsidRPr="008871AF">
          <w:rPr>
            <w:rStyle w:val="Hyperlink"/>
            <w:noProof/>
          </w:rPr>
          <w:t>BIJLAGE 8 – PATCHMANAGEMENT</w:t>
        </w:r>
        <w:r>
          <w:rPr>
            <w:noProof/>
            <w:webHidden/>
          </w:rPr>
          <w:tab/>
        </w:r>
        <w:r>
          <w:rPr>
            <w:noProof/>
            <w:webHidden/>
          </w:rPr>
          <w:fldChar w:fldCharType="begin"/>
        </w:r>
        <w:r>
          <w:rPr>
            <w:noProof/>
            <w:webHidden/>
          </w:rPr>
          <w:instrText xml:space="preserve"> PAGEREF _Toc199338660 \h </w:instrText>
        </w:r>
        <w:r>
          <w:rPr>
            <w:noProof/>
            <w:webHidden/>
          </w:rPr>
        </w:r>
        <w:r>
          <w:rPr>
            <w:noProof/>
            <w:webHidden/>
          </w:rPr>
          <w:fldChar w:fldCharType="separate"/>
        </w:r>
        <w:r w:rsidR="005A71E9">
          <w:rPr>
            <w:noProof/>
            <w:webHidden/>
          </w:rPr>
          <w:t>20</w:t>
        </w:r>
        <w:r>
          <w:rPr>
            <w:noProof/>
            <w:webHidden/>
          </w:rPr>
          <w:fldChar w:fldCharType="end"/>
        </w:r>
      </w:hyperlink>
    </w:p>
    <w:p w14:paraId="5A4E16EB" w14:textId="163C09D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1" w:history="1">
        <w:r w:rsidRPr="008871AF">
          <w:rPr>
            <w:rStyle w:val="Hyperlink"/>
            <w:noProof/>
          </w:rPr>
          <w:t>BIJLAGE 9 – VULNERABILITY MANAGEMENT</w:t>
        </w:r>
        <w:r>
          <w:rPr>
            <w:noProof/>
            <w:webHidden/>
          </w:rPr>
          <w:tab/>
        </w:r>
        <w:r>
          <w:rPr>
            <w:noProof/>
            <w:webHidden/>
          </w:rPr>
          <w:fldChar w:fldCharType="begin"/>
        </w:r>
        <w:r>
          <w:rPr>
            <w:noProof/>
            <w:webHidden/>
          </w:rPr>
          <w:instrText xml:space="preserve"> PAGEREF _Toc199338661 \h </w:instrText>
        </w:r>
        <w:r>
          <w:rPr>
            <w:noProof/>
            <w:webHidden/>
          </w:rPr>
        </w:r>
        <w:r>
          <w:rPr>
            <w:noProof/>
            <w:webHidden/>
          </w:rPr>
          <w:fldChar w:fldCharType="separate"/>
        </w:r>
        <w:r w:rsidR="005A71E9">
          <w:rPr>
            <w:noProof/>
            <w:webHidden/>
          </w:rPr>
          <w:t>21</w:t>
        </w:r>
        <w:r>
          <w:rPr>
            <w:noProof/>
            <w:webHidden/>
          </w:rPr>
          <w:fldChar w:fldCharType="end"/>
        </w:r>
      </w:hyperlink>
    </w:p>
    <w:p w14:paraId="00D22565" w14:textId="22B46619"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2" w:history="1">
        <w:r w:rsidRPr="008871AF">
          <w:rPr>
            <w:rStyle w:val="Hyperlink"/>
            <w:rFonts w:ascii="Trebuchet MS" w:hAnsi="Trebuchet MS"/>
            <w:b/>
            <w:bCs/>
            <w:noProof/>
          </w:rPr>
          <w:t>BIJLAGE 10 - CONTINUITEITSBEHEER</w:t>
        </w:r>
        <w:r>
          <w:rPr>
            <w:noProof/>
            <w:webHidden/>
          </w:rPr>
          <w:tab/>
        </w:r>
        <w:r>
          <w:rPr>
            <w:noProof/>
            <w:webHidden/>
          </w:rPr>
          <w:fldChar w:fldCharType="begin"/>
        </w:r>
        <w:r>
          <w:rPr>
            <w:noProof/>
            <w:webHidden/>
          </w:rPr>
          <w:instrText xml:space="preserve"> PAGEREF _Toc199338662 \h </w:instrText>
        </w:r>
        <w:r>
          <w:rPr>
            <w:noProof/>
            <w:webHidden/>
          </w:rPr>
        </w:r>
        <w:r>
          <w:rPr>
            <w:noProof/>
            <w:webHidden/>
          </w:rPr>
          <w:fldChar w:fldCharType="separate"/>
        </w:r>
        <w:r w:rsidR="005A71E9">
          <w:rPr>
            <w:noProof/>
            <w:webHidden/>
          </w:rPr>
          <w:t>22</w:t>
        </w:r>
        <w:r>
          <w:rPr>
            <w:noProof/>
            <w:webHidden/>
          </w:rPr>
          <w:fldChar w:fldCharType="end"/>
        </w:r>
      </w:hyperlink>
    </w:p>
    <w:p w14:paraId="18F13603" w14:textId="6CFC1CF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3" w:history="1">
        <w:r w:rsidRPr="008871AF">
          <w:rPr>
            <w:rStyle w:val="Hyperlink"/>
            <w:rFonts w:ascii="Trebuchet MS" w:hAnsi="Trebuchet MS"/>
            <w:b/>
            <w:bCs/>
            <w:noProof/>
          </w:rPr>
          <w:t>BIJLAGE 11 - SOFTWAREONTWIKKELING</w:t>
        </w:r>
        <w:r>
          <w:rPr>
            <w:noProof/>
            <w:webHidden/>
          </w:rPr>
          <w:tab/>
        </w:r>
        <w:r>
          <w:rPr>
            <w:noProof/>
            <w:webHidden/>
          </w:rPr>
          <w:fldChar w:fldCharType="begin"/>
        </w:r>
        <w:r>
          <w:rPr>
            <w:noProof/>
            <w:webHidden/>
          </w:rPr>
          <w:instrText xml:space="preserve"> PAGEREF _Toc199338663 \h </w:instrText>
        </w:r>
        <w:r>
          <w:rPr>
            <w:noProof/>
            <w:webHidden/>
          </w:rPr>
        </w:r>
        <w:r>
          <w:rPr>
            <w:noProof/>
            <w:webHidden/>
          </w:rPr>
          <w:fldChar w:fldCharType="separate"/>
        </w:r>
        <w:r w:rsidR="005A71E9">
          <w:rPr>
            <w:noProof/>
            <w:webHidden/>
          </w:rPr>
          <w:t>23</w:t>
        </w:r>
        <w:r>
          <w:rPr>
            <w:noProof/>
            <w:webHidden/>
          </w:rPr>
          <w:fldChar w:fldCharType="end"/>
        </w:r>
      </w:hyperlink>
    </w:p>
    <w:p w14:paraId="78B1CBE8" w14:textId="75172C8C"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4" w:history="1">
        <w:r w:rsidRPr="008871AF">
          <w:rPr>
            <w:rStyle w:val="Hyperlink"/>
            <w:rFonts w:ascii="Trebuchet MS" w:hAnsi="Trebuchet MS"/>
            <w:b/>
            <w:bCs/>
            <w:noProof/>
          </w:rPr>
          <w:t>BIJLAGE 12 – LOGGING &amp; BEVEILIGINGSCONTROLES</w:t>
        </w:r>
        <w:r>
          <w:rPr>
            <w:noProof/>
            <w:webHidden/>
          </w:rPr>
          <w:tab/>
        </w:r>
        <w:r>
          <w:rPr>
            <w:noProof/>
            <w:webHidden/>
          </w:rPr>
          <w:fldChar w:fldCharType="begin"/>
        </w:r>
        <w:r>
          <w:rPr>
            <w:noProof/>
            <w:webHidden/>
          </w:rPr>
          <w:instrText xml:space="preserve"> PAGEREF _Toc199338664 \h </w:instrText>
        </w:r>
        <w:r>
          <w:rPr>
            <w:noProof/>
            <w:webHidden/>
          </w:rPr>
        </w:r>
        <w:r>
          <w:rPr>
            <w:noProof/>
            <w:webHidden/>
          </w:rPr>
          <w:fldChar w:fldCharType="separate"/>
        </w:r>
        <w:r w:rsidR="005A71E9">
          <w:rPr>
            <w:noProof/>
            <w:webHidden/>
          </w:rPr>
          <w:t>24</w:t>
        </w:r>
        <w:r>
          <w:rPr>
            <w:noProof/>
            <w:webHidden/>
          </w:rPr>
          <w:fldChar w:fldCharType="end"/>
        </w:r>
      </w:hyperlink>
    </w:p>
    <w:p w14:paraId="39524AE7" w14:textId="57E87F2D" w:rsidR="00C744DF" w:rsidRDefault="00CD2AA3" w:rsidP="00C744DF">
      <w:pPr>
        <w:rPr>
          <w:rFonts w:ascii="Trebuchet MS" w:hAnsi="Trebuchet MS"/>
          <w:color w:val="04286C"/>
          <w:sz w:val="28"/>
          <w:szCs w:val="28"/>
        </w:rPr>
      </w:pPr>
      <w:r>
        <w:fldChar w:fldCharType="end"/>
      </w:r>
      <w:r w:rsidR="00C744DF">
        <w:br w:type="page"/>
      </w:r>
    </w:p>
    <w:p w14:paraId="412EE673" w14:textId="4A177D52" w:rsidR="00C744DF" w:rsidRDefault="00C744DF" w:rsidP="0071795E">
      <w:pPr>
        <w:pStyle w:val="Kop2"/>
      </w:pPr>
      <w:r>
        <w:lastRenderedPageBreak/>
        <w:t>ONDERGETEKENDEN:</w:t>
      </w:r>
      <w:r>
        <w:br/>
      </w:r>
    </w:p>
    <w:p w14:paraId="1E0C0CF6" w14:textId="25B0DBBE" w:rsidR="00C744DF" w:rsidRDefault="00C744DF" w:rsidP="00980537">
      <w:pPr>
        <w:pStyle w:val="Lijstalinea"/>
        <w:numPr>
          <w:ilvl w:val="0"/>
          <w:numId w:val="1"/>
        </w:numPr>
      </w:pPr>
      <w:r w:rsidRPr="00760EC8">
        <w:t>Enexis Personeel B.V. een besloten</w:t>
      </w:r>
      <w:r>
        <w:t xml:space="preserve"> vennootschap met beperkte aansprakelijkheid statutair gevestigd te ’s-Hertogenbosch, kantoorhoudende te 5223 MB ’s-Hertogenbosch aan de Magistratenlaan 116, ingeschreven in het handelsregister van de Kamer van Koophandel onder nummer 66934389, mede handelend ten behoeve van de overige tot de groep behorende ondernemingen, te dezen rechtsgeldig vertegenwoordigd </w:t>
      </w:r>
      <w:r w:rsidR="00E36C14">
        <w:t xml:space="preserve">door </w:t>
      </w:r>
      <w:r w:rsidR="00E36C14" w:rsidRPr="006D7E6E">
        <w:t>Drs. R.B.A. van der Leeuw</w:t>
      </w:r>
      <w:r w:rsidR="00E36C14">
        <w:t xml:space="preserve">, CEO, hierna te noemen: Enexis </w:t>
      </w:r>
    </w:p>
    <w:p w14:paraId="138E8D7B" w14:textId="77777777" w:rsidR="00E8320C" w:rsidRDefault="00E8320C" w:rsidP="00FB5A8E">
      <w:pPr>
        <w:jc w:val="both"/>
      </w:pPr>
    </w:p>
    <w:p w14:paraId="4F59EBA5" w14:textId="6CCBB6DA" w:rsidR="00C744DF" w:rsidRDefault="0066510F" w:rsidP="0066510F">
      <w:pPr>
        <w:ind w:firstLine="708"/>
        <w:jc w:val="both"/>
      </w:pPr>
      <w:r>
        <w:t>e</w:t>
      </w:r>
      <w:r w:rsidR="00C744DF">
        <w:t>n</w:t>
      </w:r>
    </w:p>
    <w:p w14:paraId="7F63359B" w14:textId="77777777" w:rsidR="00C744DF" w:rsidRDefault="00C744DF" w:rsidP="00FB5A8E">
      <w:pPr>
        <w:jc w:val="both"/>
      </w:pPr>
    </w:p>
    <w:p w14:paraId="47B1EE36" w14:textId="3A89B180" w:rsidR="00C744DF" w:rsidRDefault="00C744DF" w:rsidP="00980537">
      <w:pPr>
        <w:pStyle w:val="Lijstalinea"/>
        <w:numPr>
          <w:ilvl w:val="0"/>
          <w:numId w:val="1"/>
        </w:numPr>
      </w:pPr>
      <w:r>
        <w:t xml:space="preserve">Wederpartij </w:t>
      </w:r>
      <w:r w:rsidR="00E703D4">
        <w:rPr>
          <w:highlight w:val="yellow"/>
        </w:rPr>
        <w:t>[</w:t>
      </w:r>
      <w:r w:rsidRPr="00CA7131">
        <w:rPr>
          <w:highlight w:val="yellow"/>
        </w:rPr>
        <w:t>naam en rechtsvorm</w:t>
      </w:r>
      <w:r w:rsidR="00E703D4">
        <w:t>]</w:t>
      </w:r>
      <w:r>
        <w:t xml:space="preserve"> statutair gevestigd te &lt;statutaire vestigingsplaats&gt; kantoorhoudende aan &lt;adres&gt;, ingeschreven in het handelsregister van de Kamer van Koophandel onder nummer </w:t>
      </w:r>
      <w:r w:rsidR="00E703D4">
        <w:rPr>
          <w:highlight w:val="yellow"/>
        </w:rPr>
        <w:t>[</w:t>
      </w:r>
      <w:r w:rsidRPr="00CA7131">
        <w:rPr>
          <w:highlight w:val="yellow"/>
        </w:rPr>
        <w:t>kvk</w:t>
      </w:r>
      <w:r w:rsidR="00766F01">
        <w:rPr>
          <w:highlight w:val="yellow"/>
        </w:rPr>
        <w:t>-</w:t>
      </w:r>
      <w:r w:rsidRPr="00CA7131">
        <w:rPr>
          <w:highlight w:val="yellow"/>
        </w:rPr>
        <w:t>nummer</w:t>
      </w:r>
      <w:r w:rsidR="00E703D4">
        <w:t>]</w:t>
      </w:r>
      <w:r>
        <w:t xml:space="preserve"> te dezen rechtsgeldig vertegenwoordigd door &lt;naam&gt; &lt;functie&gt; hierna te noemen: Wederpartij;</w:t>
      </w:r>
    </w:p>
    <w:p w14:paraId="100C5C38" w14:textId="77777777" w:rsidR="00C744DF" w:rsidRDefault="00C744DF" w:rsidP="00FB5A8E">
      <w:pPr>
        <w:jc w:val="both"/>
      </w:pPr>
    </w:p>
    <w:p w14:paraId="453A9893" w14:textId="77777777" w:rsidR="00C744DF" w:rsidRDefault="00C744DF" w:rsidP="00FB5A8E">
      <w:pPr>
        <w:jc w:val="both"/>
      </w:pPr>
      <w:r>
        <w:t>Ieder afzonderlijk aangeduid als “</w:t>
      </w:r>
      <w:r w:rsidRPr="00987B5D">
        <w:rPr>
          <w:b/>
          <w:bCs/>
        </w:rPr>
        <w:t>Partij</w:t>
      </w:r>
      <w:r>
        <w:t>” of gezamenlijk als “</w:t>
      </w:r>
      <w:r w:rsidRPr="00987B5D">
        <w:rPr>
          <w:b/>
          <w:bCs/>
        </w:rPr>
        <w:t>Partijen</w:t>
      </w:r>
      <w:r>
        <w:t xml:space="preserve">”; </w:t>
      </w:r>
    </w:p>
    <w:p w14:paraId="73FC1D23" w14:textId="77777777" w:rsidR="00C744DF" w:rsidRDefault="00C744DF" w:rsidP="00FB5A8E">
      <w:pPr>
        <w:jc w:val="both"/>
      </w:pPr>
    </w:p>
    <w:p w14:paraId="76F6A704" w14:textId="1FF3BD06" w:rsidR="00C744DF" w:rsidRDefault="00C744DF" w:rsidP="0066510F">
      <w:r w:rsidRPr="00C744DF">
        <w:rPr>
          <w:b/>
          <w:bCs/>
        </w:rPr>
        <w:t>Overwegende da</w:t>
      </w:r>
      <w:r w:rsidR="00265521">
        <w:rPr>
          <w:b/>
          <w:bCs/>
        </w:rPr>
        <w:t>t:</w:t>
      </w:r>
      <w:r w:rsidR="00244BD5">
        <w:rPr>
          <w:b/>
          <w:bCs/>
        </w:rPr>
        <w:br/>
      </w:r>
    </w:p>
    <w:p w14:paraId="496D6FD6" w14:textId="3C030765" w:rsidR="009C27A7" w:rsidRPr="009C27A7" w:rsidRDefault="009C27A7" w:rsidP="00E73F44">
      <w:pPr>
        <w:pStyle w:val="Lijstalinea"/>
        <w:numPr>
          <w:ilvl w:val="0"/>
          <w:numId w:val="4"/>
        </w:numPr>
        <w:jc w:val="both"/>
      </w:pPr>
      <w:r w:rsidRPr="009C27A7">
        <w:t xml:space="preserve">Partijen de overeenkomst </w:t>
      </w:r>
      <w:proofErr w:type="spellStart"/>
      <w:r w:rsidR="00980537">
        <w:t>Vendor</w:t>
      </w:r>
      <w:proofErr w:type="spellEnd"/>
      <w:r w:rsidR="00980537">
        <w:t xml:space="preserve"> Management Systeem</w:t>
      </w:r>
      <w:r w:rsidRPr="009C27A7">
        <w:t xml:space="preserve"> met ingangsdatum </w:t>
      </w:r>
      <w:r w:rsidR="008B6B8B" w:rsidRPr="008B6B8B">
        <w:rPr>
          <w:b/>
          <w:bCs/>
        </w:rPr>
        <w:t>1</w:t>
      </w:r>
      <w:r w:rsidR="00980537" w:rsidRPr="008B6B8B">
        <w:rPr>
          <w:b/>
          <w:bCs/>
        </w:rPr>
        <w:t>9 april 2027</w:t>
      </w:r>
      <w:r w:rsidRPr="009C27A7">
        <w:t xml:space="preserve"> hebben gesloten</w:t>
      </w:r>
      <w:r w:rsidR="0066510F">
        <w:t xml:space="preserve"> </w:t>
      </w:r>
      <w:r w:rsidRPr="009C27A7">
        <w:t>(</w:t>
      </w:r>
      <w:r w:rsidR="001A5049">
        <w:t xml:space="preserve">hierna: </w:t>
      </w:r>
      <w:r w:rsidRPr="009C27A7">
        <w:t xml:space="preserve">de </w:t>
      </w:r>
      <w:r w:rsidRPr="00615D5C">
        <w:rPr>
          <w:b/>
          <w:bCs/>
        </w:rPr>
        <w:t>Hoofdovereenkomst</w:t>
      </w:r>
      <w:r w:rsidRPr="009C27A7">
        <w:t>)</w:t>
      </w:r>
      <w:r w:rsidR="00132593">
        <w:t>, en dat op de Hoofdovereenkomst de Enexis</w:t>
      </w:r>
      <w:r w:rsidR="00E275C3">
        <w:t xml:space="preserve"> Inkoopvoorwaarden</w:t>
      </w:r>
      <w:r w:rsidR="00132593">
        <w:t xml:space="preserve"> 2025 (hierna: </w:t>
      </w:r>
      <w:r w:rsidR="00132593" w:rsidRPr="001D4316">
        <w:rPr>
          <w:b/>
          <w:bCs/>
        </w:rPr>
        <w:t>AV</w:t>
      </w:r>
      <w:r w:rsidR="00132593">
        <w:t>) van toepassing zijn verklaard</w:t>
      </w:r>
      <w:r w:rsidR="00132593" w:rsidRPr="009C27A7">
        <w:t xml:space="preserve">. </w:t>
      </w:r>
      <w:r w:rsidRPr="009C27A7">
        <w:t xml:space="preserve"> De Hoofdovereenkomst heeft betrekking op </w:t>
      </w:r>
      <w:r w:rsidR="00AA6AD2">
        <w:t xml:space="preserve">het implementeren, leveren en onderhouden van een </w:t>
      </w:r>
      <w:proofErr w:type="spellStart"/>
      <w:r w:rsidR="00AA6AD2">
        <w:t>Vendor</w:t>
      </w:r>
      <w:proofErr w:type="spellEnd"/>
      <w:r w:rsidR="00AA6AD2">
        <w:t xml:space="preserve"> Management Systeem</w:t>
      </w:r>
      <w:r w:rsidRPr="009C27A7">
        <w:t xml:space="preserve">; </w:t>
      </w:r>
    </w:p>
    <w:p w14:paraId="4400F346" w14:textId="058E52A3" w:rsidR="00905DC1" w:rsidRPr="00905DC1" w:rsidRDefault="00905DC1" w:rsidP="00E73F44">
      <w:pPr>
        <w:pStyle w:val="Lijstalinea"/>
        <w:numPr>
          <w:ilvl w:val="0"/>
          <w:numId w:val="4"/>
        </w:numPr>
        <w:jc w:val="both"/>
      </w:pPr>
      <w:r w:rsidRPr="00905DC1">
        <w:t xml:space="preserve">Enexis wegens haar rol in de vitale infrastructuur van Nederland </w:t>
      </w:r>
      <w:r w:rsidR="006F6D03">
        <w:t xml:space="preserve">als </w:t>
      </w:r>
      <w:r w:rsidRPr="00905DC1">
        <w:t>essentiële entiteit in de zin van de Cyberbeveiligingswet (</w:t>
      </w:r>
      <w:r w:rsidRPr="00615D5C">
        <w:rPr>
          <w:b/>
          <w:bCs/>
        </w:rPr>
        <w:t>Cbw</w:t>
      </w:r>
      <w:r w:rsidRPr="00905DC1">
        <w:t>) en kritieke entiteit in de zin van de Wet weerbaarheid kritieke entiteiten (</w:t>
      </w:r>
      <w:r w:rsidRPr="00615D5C">
        <w:rPr>
          <w:b/>
          <w:bCs/>
        </w:rPr>
        <w:t>Wwke</w:t>
      </w:r>
      <w:r w:rsidRPr="00905DC1">
        <w:t xml:space="preserve">) </w:t>
      </w:r>
      <w:r w:rsidR="006F6D03">
        <w:t xml:space="preserve">geldt </w:t>
      </w:r>
      <w:r w:rsidRPr="00905DC1">
        <w:t xml:space="preserve">en als zodanig </w:t>
      </w:r>
      <w:r w:rsidR="00F25C0C">
        <w:t>gebonden</w:t>
      </w:r>
      <w:r w:rsidRPr="00905DC1">
        <w:t xml:space="preserve"> is aan strikte wet- en regelgeving op het gebied van beveiliging en continuïteit; </w:t>
      </w:r>
    </w:p>
    <w:p w14:paraId="1A59BB91" w14:textId="77777777" w:rsidR="008F0486" w:rsidRPr="008F0486" w:rsidRDefault="008F0486" w:rsidP="00E73F44">
      <w:pPr>
        <w:pStyle w:val="Lijstalinea"/>
        <w:numPr>
          <w:ilvl w:val="0"/>
          <w:numId w:val="4"/>
        </w:numPr>
        <w:jc w:val="both"/>
      </w:pPr>
      <w:r w:rsidRPr="008F0486">
        <w:t xml:space="preserve">de vitale aard van de openbare taken van Enexis op het gebied van transport van elektriciteit, gas en warmte betekent dat uitval, verstoring of het compromitteren van systemen ernstige gevolgen kan hebben voor de leefbaarheid en bedrijfsvoering in grote delen van Nederland; </w:t>
      </w:r>
    </w:p>
    <w:p w14:paraId="4B9F8CD9" w14:textId="43316521" w:rsidR="00D07F13" w:rsidRPr="00D07F13" w:rsidRDefault="00D07F13" w:rsidP="00E73F44">
      <w:pPr>
        <w:pStyle w:val="Lijstalinea"/>
        <w:numPr>
          <w:ilvl w:val="0"/>
          <w:numId w:val="4"/>
        </w:numPr>
        <w:jc w:val="both"/>
      </w:pPr>
      <w:r w:rsidRPr="00D07F13">
        <w:t xml:space="preserve">Enexis de verantwoordelijkheid draagt om passende beveiligingsmaatregelen te implementeren met </w:t>
      </w:r>
      <w:r w:rsidR="0055311D">
        <w:t>Wederpartij</w:t>
      </w:r>
      <w:r w:rsidRPr="00D07F13">
        <w:t xml:space="preserve"> en te onderhouden</w:t>
      </w:r>
      <w:r w:rsidR="00422336">
        <w:t>;</w:t>
      </w:r>
    </w:p>
    <w:p w14:paraId="28C7BC2B" w14:textId="77777777" w:rsidR="00B0051A" w:rsidRPr="00B0051A" w:rsidRDefault="00B0051A" w:rsidP="00E73F44">
      <w:pPr>
        <w:pStyle w:val="Lijstalinea"/>
        <w:numPr>
          <w:ilvl w:val="0"/>
          <w:numId w:val="4"/>
        </w:numPr>
        <w:jc w:val="both"/>
      </w:pPr>
      <w:r w:rsidRPr="00B0051A">
        <w:t>Enexis voortdurend de behoefte heeft aan het evalueren en verbeteren van beveiligingsmaatregelen tussen Partijen om te anticiperen en reageren op opkomende bedreigingen en risico's;</w:t>
      </w:r>
    </w:p>
    <w:p w14:paraId="75EA61EC" w14:textId="46FEFD57" w:rsidR="00D270C2" w:rsidRDefault="006875F2" w:rsidP="00E73F44">
      <w:pPr>
        <w:numPr>
          <w:ilvl w:val="0"/>
          <w:numId w:val="4"/>
        </w:numPr>
        <w:jc w:val="both"/>
      </w:pPr>
      <w:r w:rsidRPr="006875F2">
        <w:t>Enexis een Digitale Veiligheid &amp; Privacy Impact-analyse (</w:t>
      </w:r>
      <w:r w:rsidRPr="006875F2">
        <w:rPr>
          <w:b/>
          <w:bCs/>
        </w:rPr>
        <w:t>DV&amp;P-analyse</w:t>
      </w:r>
      <w:r w:rsidRPr="006875F2">
        <w:t xml:space="preserve">) </w:t>
      </w:r>
      <w:r w:rsidR="00ED0FCE">
        <w:t xml:space="preserve">heeft uitgevoerd </w:t>
      </w:r>
      <w:r w:rsidRPr="006875F2">
        <w:t>met betrekking tot de goederen</w:t>
      </w:r>
      <w:r w:rsidR="00C41206">
        <w:t>, diensten</w:t>
      </w:r>
      <w:r w:rsidRPr="006875F2">
        <w:t xml:space="preserve"> en/of </w:t>
      </w:r>
      <w:r w:rsidR="00C41206">
        <w:t>werkzaamheden</w:t>
      </w:r>
      <w:r w:rsidRPr="006875F2">
        <w:t xml:space="preserve"> onder de Hoofdovereenkomst, waarbij het risico als ‘hoog’ is vastgesteld;</w:t>
      </w:r>
    </w:p>
    <w:p w14:paraId="26E3A7E8" w14:textId="0538143E" w:rsidR="00AA26A0" w:rsidRPr="00AA26A0" w:rsidRDefault="00AA26A0" w:rsidP="00E73F44">
      <w:pPr>
        <w:pStyle w:val="Lijstalinea"/>
        <w:numPr>
          <w:ilvl w:val="0"/>
          <w:numId w:val="4"/>
        </w:numPr>
        <w:jc w:val="both"/>
      </w:pPr>
      <w:r w:rsidRPr="00AA26A0">
        <w:t xml:space="preserve">Partijen in dit DV&amp;P Addendum </w:t>
      </w:r>
      <w:r w:rsidR="000537E8">
        <w:t xml:space="preserve">in </w:t>
      </w:r>
      <w:r w:rsidRPr="00AA26A0">
        <w:t>aanvulling op de Hoofdovereenkomst</w:t>
      </w:r>
      <w:r w:rsidR="000537E8">
        <w:t xml:space="preserve"> </w:t>
      </w:r>
      <w:r w:rsidRPr="00AA26A0">
        <w:t xml:space="preserve">afspraken over de te implementeren en onderhouden beveiligingsmaatregelen </w:t>
      </w:r>
      <w:r w:rsidR="007D502C">
        <w:t xml:space="preserve">vastleggen. </w:t>
      </w:r>
    </w:p>
    <w:p w14:paraId="33753012" w14:textId="77777777" w:rsidR="00AA26A0" w:rsidRPr="00E40BBB" w:rsidRDefault="00AA26A0" w:rsidP="00AA26A0">
      <w:pPr>
        <w:ind w:left="720"/>
      </w:pPr>
    </w:p>
    <w:p w14:paraId="7B43119A" w14:textId="382397CB" w:rsidR="00C744DF" w:rsidRPr="00C744DF" w:rsidRDefault="00C744DF" w:rsidP="00C744DF">
      <w:pPr>
        <w:rPr>
          <w:b/>
          <w:bCs/>
        </w:rPr>
      </w:pPr>
      <w:r w:rsidRPr="00C744DF">
        <w:rPr>
          <w:b/>
          <w:bCs/>
        </w:rPr>
        <w:t>Zijn het volgende overeengekomen: </w:t>
      </w:r>
    </w:p>
    <w:p w14:paraId="615DB16E" w14:textId="77777777" w:rsidR="00C744DF" w:rsidRDefault="00C744DF">
      <w:pPr>
        <w:spacing w:after="60"/>
      </w:pPr>
      <w:r>
        <w:br w:type="page"/>
      </w:r>
    </w:p>
    <w:p w14:paraId="57073828" w14:textId="1ACDB9CD" w:rsidR="00C744DF" w:rsidRPr="00C744DF" w:rsidRDefault="00C744DF" w:rsidP="00C744DF">
      <w:pPr>
        <w:pStyle w:val="Kop2"/>
      </w:pPr>
      <w:r w:rsidRPr="00C744DF">
        <w:lastRenderedPageBreak/>
        <w:t>DEFINITIES</w:t>
      </w:r>
    </w:p>
    <w:p w14:paraId="62E72D11" w14:textId="6526B947" w:rsidR="00D5410E" w:rsidRDefault="0087359C" w:rsidP="00D5410E">
      <w:r w:rsidRPr="0087359C">
        <w:t xml:space="preserve">Wanneer in </w:t>
      </w:r>
      <w:r>
        <w:t xml:space="preserve">dit DV&amp;P Addendum </w:t>
      </w:r>
      <w:r w:rsidRPr="0087359C">
        <w:t xml:space="preserve">de termen worden gebruikt die zijn gedefinieerd in </w:t>
      </w:r>
      <w:r w:rsidR="00CB549B">
        <w:t>de AV</w:t>
      </w:r>
      <w:r w:rsidRPr="0087359C">
        <w:t xml:space="preserve">, hebben die termen dezelfde betekenis als in de </w:t>
      </w:r>
      <w:r w:rsidR="004F2358">
        <w:t>AV</w:t>
      </w:r>
      <w:r w:rsidRPr="0087359C">
        <w:t>. Partijen hanteren in d</w:t>
      </w:r>
      <w:r w:rsidR="004F2358">
        <w:t>it DV&amp;P Addendum</w:t>
      </w:r>
      <w:r w:rsidRPr="0087359C">
        <w:t xml:space="preserve"> verder de onderstaande definities: </w:t>
      </w:r>
    </w:p>
    <w:tbl>
      <w:tblPr>
        <w:tblStyle w:val="Tabelraster"/>
        <w:tblpPr w:leftFromText="141" w:rightFromText="141" w:vertAnchor="text" w:horzAnchor="margin" w:tblpY="339"/>
        <w:tblOverlap w:val="never"/>
        <w:tblW w:w="9067" w:type="dxa"/>
        <w:tblBorders>
          <w:top w:val="dotted" w:sz="4" w:space="0" w:color="04286C"/>
          <w:left w:val="dotted" w:sz="4" w:space="0" w:color="04286C"/>
          <w:bottom w:val="dotted" w:sz="4" w:space="0" w:color="04286C"/>
          <w:right w:val="dotted" w:sz="4" w:space="0" w:color="04286C"/>
          <w:insideH w:val="dotted" w:sz="4" w:space="0" w:color="04286C"/>
          <w:insideV w:val="dotted" w:sz="4" w:space="0" w:color="04286C"/>
        </w:tblBorders>
        <w:tblLook w:val="04A0" w:firstRow="1" w:lastRow="0" w:firstColumn="1" w:lastColumn="0" w:noHBand="0" w:noVBand="1"/>
      </w:tblPr>
      <w:tblGrid>
        <w:gridCol w:w="2760"/>
        <w:gridCol w:w="6307"/>
      </w:tblGrid>
      <w:tr w:rsidR="00D5410E" w:rsidRPr="008463A0" w14:paraId="40D878AC" w14:textId="77777777" w:rsidTr="00D53CBD">
        <w:tc>
          <w:tcPr>
            <w:tcW w:w="2760" w:type="dxa"/>
            <w:shd w:val="clear" w:color="auto" w:fill="04286C"/>
          </w:tcPr>
          <w:p w14:paraId="59B8C35C" w14:textId="77777777" w:rsidR="00D5410E" w:rsidRPr="00C744DF" w:rsidRDefault="00D5410E" w:rsidP="00FD1E22">
            <w:pPr>
              <w:pStyle w:val="Kop3"/>
              <w:framePr w:hSpace="0" w:wrap="auto" w:vAnchor="margin" w:hAnchor="text" w:yAlign="inline"/>
              <w:suppressOverlap w:val="0"/>
            </w:pPr>
            <w:r>
              <w:t>Definitie</w:t>
            </w:r>
          </w:p>
        </w:tc>
        <w:tc>
          <w:tcPr>
            <w:tcW w:w="6307" w:type="dxa"/>
            <w:shd w:val="clear" w:color="auto" w:fill="04286C"/>
          </w:tcPr>
          <w:p w14:paraId="202B86A0" w14:textId="77777777" w:rsidR="00D5410E" w:rsidRPr="00C744DF" w:rsidRDefault="00D5410E" w:rsidP="00FD1E22">
            <w:pPr>
              <w:pStyle w:val="Kop3"/>
              <w:framePr w:hSpace="0" w:wrap="auto" w:vAnchor="margin" w:hAnchor="text" w:yAlign="inline"/>
              <w:suppressOverlap w:val="0"/>
            </w:pPr>
            <w:r>
              <w:t>Omschrijving</w:t>
            </w:r>
          </w:p>
        </w:tc>
      </w:tr>
      <w:tr w:rsidR="00D5410E" w:rsidRPr="008463A0" w14:paraId="598EE448" w14:textId="77777777" w:rsidTr="00D53CBD">
        <w:tc>
          <w:tcPr>
            <w:tcW w:w="2760" w:type="dxa"/>
          </w:tcPr>
          <w:p w14:paraId="4B9A4270" w14:textId="60E475EB" w:rsidR="00D5410E" w:rsidRPr="00A44714" w:rsidRDefault="00A44714" w:rsidP="00FD1E22">
            <w:pPr>
              <w:widowControl w:val="0"/>
              <w:rPr>
                <w:b/>
                <w:bCs/>
              </w:rPr>
            </w:pPr>
            <w:r w:rsidRPr="00A44714">
              <w:rPr>
                <w:b/>
                <w:bCs/>
              </w:rPr>
              <w:t>Beveiligingsmaatregelen</w:t>
            </w:r>
          </w:p>
        </w:tc>
        <w:tc>
          <w:tcPr>
            <w:tcW w:w="6307" w:type="dxa"/>
          </w:tcPr>
          <w:p w14:paraId="77F3A85D" w14:textId="0C74A2D0" w:rsidR="00D5410E" w:rsidRPr="00971BEA" w:rsidRDefault="00F64B97" w:rsidP="00FB5A8E">
            <w:pPr>
              <w:widowControl w:val="0"/>
              <w:jc w:val="both"/>
            </w:pPr>
            <w:r w:rsidRPr="00F64B97">
              <w:t>het geheel van beleid, processen, procedures en technische maatregelen die de beschikbaarheid, integriteit, kwaliteit en vertrouwelijkheid van alle vormen van Informatie, processen, goederen en/of diensten van Enexis en Wederpartij borgt en de eventuele gevolgen van Incidenten en/of Inbreuken beperkt en herstelt.</w:t>
            </w:r>
          </w:p>
        </w:tc>
      </w:tr>
      <w:tr w:rsidR="00D5410E" w:rsidRPr="008463A0" w14:paraId="25D65637" w14:textId="77777777" w:rsidTr="00D53CBD">
        <w:tc>
          <w:tcPr>
            <w:tcW w:w="2760" w:type="dxa"/>
          </w:tcPr>
          <w:p w14:paraId="59D87898" w14:textId="7A45CC90" w:rsidR="00D5410E" w:rsidRPr="004B3DF8" w:rsidRDefault="00070E31" w:rsidP="00FD1E22">
            <w:pPr>
              <w:widowControl w:val="0"/>
              <w:rPr>
                <w:b/>
                <w:bCs/>
                <w:lang w:eastAsia="nl-NL"/>
              </w:rPr>
            </w:pPr>
            <w:r w:rsidRPr="004B3DF8">
              <w:rPr>
                <w:b/>
                <w:bCs/>
                <w:lang w:eastAsia="nl-NL"/>
              </w:rPr>
              <w:t xml:space="preserve">Derde(n) </w:t>
            </w:r>
          </w:p>
        </w:tc>
        <w:tc>
          <w:tcPr>
            <w:tcW w:w="6307" w:type="dxa"/>
          </w:tcPr>
          <w:p w14:paraId="60974246" w14:textId="34D634AA" w:rsidR="00D5410E" w:rsidRPr="00971BEA" w:rsidRDefault="00BD22C4" w:rsidP="00FB5A8E">
            <w:pPr>
              <w:widowControl w:val="0"/>
              <w:jc w:val="both"/>
              <w:rPr>
                <w:lang w:eastAsia="nl-NL"/>
              </w:rPr>
            </w:pPr>
            <w:r w:rsidRPr="00BD22C4">
              <w:rPr>
                <w:lang w:eastAsia="nl-NL"/>
              </w:rPr>
              <w:t xml:space="preserve">een door Wederpartij bij de uitvoering van (een onderdeel van) de Hoofdovereenkomst ingeschakelde derde, waaronder begrepen onderaannemers en nevenaannemers. Van een Derde(n) is ook sprake bij het gebruik van goederen en/of diensten van derden door </w:t>
            </w:r>
            <w:r w:rsidR="0055311D">
              <w:rPr>
                <w:lang w:eastAsia="nl-NL"/>
              </w:rPr>
              <w:t>Wederpartij</w:t>
            </w:r>
            <w:r w:rsidRPr="00BD22C4">
              <w:rPr>
                <w:lang w:eastAsia="nl-NL"/>
              </w:rPr>
              <w:t xml:space="preserve"> ten behoeve van Enexis.</w:t>
            </w:r>
          </w:p>
        </w:tc>
      </w:tr>
      <w:tr w:rsidR="00D5410E" w:rsidRPr="008463A0" w14:paraId="14666755" w14:textId="77777777" w:rsidTr="00D53CBD">
        <w:tc>
          <w:tcPr>
            <w:tcW w:w="2760" w:type="dxa"/>
          </w:tcPr>
          <w:p w14:paraId="2AB64D34" w14:textId="07415818" w:rsidR="00D5410E" w:rsidRPr="004B3DF8" w:rsidRDefault="00300B95" w:rsidP="00FD1E22">
            <w:pPr>
              <w:widowControl w:val="0"/>
              <w:rPr>
                <w:b/>
                <w:bCs/>
              </w:rPr>
            </w:pPr>
            <w:r w:rsidRPr="004B3DF8">
              <w:rPr>
                <w:b/>
                <w:bCs/>
              </w:rPr>
              <w:t>DV&amp;P-analyse</w:t>
            </w:r>
          </w:p>
        </w:tc>
        <w:tc>
          <w:tcPr>
            <w:tcW w:w="6307" w:type="dxa"/>
          </w:tcPr>
          <w:p w14:paraId="2EBC99D6" w14:textId="127976D7" w:rsidR="00D5410E" w:rsidRPr="00971BEA" w:rsidRDefault="005B3AE0" w:rsidP="00FB5A8E">
            <w:pPr>
              <w:widowControl w:val="0"/>
              <w:jc w:val="both"/>
            </w:pPr>
            <w:r w:rsidRPr="005B3AE0">
              <w:t xml:space="preserve">een </w:t>
            </w:r>
            <w:r w:rsidR="003E6BD1">
              <w:t xml:space="preserve">interne </w:t>
            </w:r>
            <w:r w:rsidRPr="005B3AE0">
              <w:t xml:space="preserve">Enexis analyse die, onder meer op grond van de aard, de continuïteitsrisico’s en de mate van toegang tot Enexis Informatie en locaties door (medewerkers van) </w:t>
            </w:r>
            <w:r w:rsidR="0055311D">
              <w:t>Wederpartij</w:t>
            </w:r>
            <w:r w:rsidRPr="005B3AE0">
              <w:t>, de mate van het beveiligingsrisico voor Enexis aanduidt als ‘midden’ of ‘hoog’.</w:t>
            </w:r>
          </w:p>
        </w:tc>
      </w:tr>
      <w:tr w:rsidR="00B9041A" w:rsidRPr="008463A0" w14:paraId="6A573FAA" w14:textId="77777777" w:rsidTr="00D53CBD">
        <w:tc>
          <w:tcPr>
            <w:tcW w:w="2760" w:type="dxa"/>
          </w:tcPr>
          <w:p w14:paraId="470DA1CD" w14:textId="0A9FB73F" w:rsidR="00B9041A" w:rsidRPr="004B3DF8" w:rsidRDefault="00955F4B" w:rsidP="00FD1E22">
            <w:pPr>
              <w:widowControl w:val="0"/>
              <w:rPr>
                <w:b/>
                <w:bCs/>
              </w:rPr>
            </w:pPr>
            <w:r w:rsidRPr="004B3DF8">
              <w:rPr>
                <w:b/>
                <w:bCs/>
              </w:rPr>
              <w:t>Incident</w:t>
            </w:r>
          </w:p>
        </w:tc>
        <w:tc>
          <w:tcPr>
            <w:tcW w:w="6307" w:type="dxa"/>
          </w:tcPr>
          <w:p w14:paraId="71051082" w14:textId="443F7929" w:rsidR="00B9041A" w:rsidRPr="00971BEA" w:rsidRDefault="00734680" w:rsidP="00FB5A8E">
            <w:pPr>
              <w:widowControl w:val="0"/>
              <w:jc w:val="both"/>
            </w:pPr>
            <w:r>
              <w:t xml:space="preserve">in afwijking van artikel </w:t>
            </w:r>
            <w:r w:rsidR="00D4273A">
              <w:t xml:space="preserve">32.17 AV, wordt onder Incident verstaan </w:t>
            </w:r>
            <w:r w:rsidR="00955F4B" w:rsidRPr="00955F4B">
              <w:t xml:space="preserve">een inbreuk op de beveiliging waardoor de beschikbaarheid, integriteit of vertrouwelijkheid van Informatie bedreigd wordt of (gedeeltelijk) gecompromitteerd is dan wel een gebeurtenis die ertoe leidt dat continuïteit c.q. kwaliteit van de processen, goederen en/of diensten van </w:t>
            </w:r>
            <w:r w:rsidR="0055311D">
              <w:t>Wederpartij</w:t>
            </w:r>
            <w:r w:rsidR="00955F4B" w:rsidRPr="00955F4B">
              <w:t xml:space="preserve"> en/of van Enexis (nadelig) beïnvloed kan worden, waaronder begrepen een Inbreuk.</w:t>
            </w:r>
          </w:p>
        </w:tc>
      </w:tr>
      <w:tr w:rsidR="00B9041A" w:rsidRPr="008463A0" w14:paraId="52A61740" w14:textId="77777777" w:rsidTr="00D53CBD">
        <w:tc>
          <w:tcPr>
            <w:tcW w:w="2760" w:type="dxa"/>
          </w:tcPr>
          <w:p w14:paraId="61929F58" w14:textId="1AA3E05A" w:rsidR="00B9041A" w:rsidRPr="004B3DF8" w:rsidRDefault="00955F4B" w:rsidP="00FD1E22">
            <w:pPr>
              <w:widowControl w:val="0"/>
              <w:rPr>
                <w:b/>
                <w:bCs/>
              </w:rPr>
            </w:pPr>
            <w:r w:rsidRPr="004B3DF8">
              <w:rPr>
                <w:b/>
                <w:bCs/>
              </w:rPr>
              <w:t>Informatie</w:t>
            </w:r>
          </w:p>
        </w:tc>
        <w:tc>
          <w:tcPr>
            <w:tcW w:w="6307" w:type="dxa"/>
          </w:tcPr>
          <w:p w14:paraId="50F7EF59" w14:textId="294818E8" w:rsidR="00B9041A" w:rsidRPr="00971BEA" w:rsidRDefault="00FA59A5" w:rsidP="00FB5A8E">
            <w:pPr>
              <w:widowControl w:val="0"/>
              <w:jc w:val="both"/>
            </w:pPr>
            <w:r w:rsidRPr="00FA59A5">
              <w:t>data, gegevens (waaronder Persoonsgegevens)</w:t>
            </w:r>
            <w:r w:rsidR="000D1CCF">
              <w:t>, databanken</w:t>
            </w:r>
            <w:r w:rsidRPr="00FA59A5">
              <w:t xml:space="preserve"> en informatie (waaronder Vertrouwelijke Informatie) betreffende de Enexis bedrijfsvoering in de breedste zin.</w:t>
            </w:r>
            <w:r w:rsidR="001B0E65">
              <w:t xml:space="preserve"> Hieronder wordt begrepen </w:t>
            </w:r>
            <w:r w:rsidR="001B0E65" w:rsidRPr="001B0E65">
              <w:t>alle door of namens Enexis te verstrekken</w:t>
            </w:r>
            <w:r w:rsidR="001B0E65">
              <w:t>/</w:t>
            </w:r>
            <w:r w:rsidR="001B0E65" w:rsidRPr="001B0E65">
              <w:t xml:space="preserve">verstrekte </w:t>
            </w:r>
            <w:r w:rsidR="001B0E65">
              <w:t>i</w:t>
            </w:r>
            <w:r w:rsidR="001B0E65" w:rsidRPr="001B0E65">
              <w:t xml:space="preserve">nformatie, hetzij mondeling, schriftelijk of in enige andere vorm, hetzij voorafgaand of </w:t>
            </w:r>
            <w:r w:rsidR="00F91298">
              <w:t xml:space="preserve">gedurende </w:t>
            </w:r>
            <w:r w:rsidR="001B0E65" w:rsidRPr="001B0E65">
              <w:t xml:space="preserve">de Hoofdovereenkomst, alsmede alle documenten en overige gegevens in welke vorm dan ook die informatie bevat of weergeeft of die voortkomt uit de </w:t>
            </w:r>
            <w:r w:rsidR="00ED629B">
              <w:t>i</w:t>
            </w:r>
            <w:r w:rsidR="001B0E65" w:rsidRPr="001B0E65">
              <w:t xml:space="preserve">nformatie die aan </w:t>
            </w:r>
            <w:r w:rsidR="0055311D">
              <w:t>Wederpartij</w:t>
            </w:r>
            <w:r w:rsidR="001B0E65" w:rsidRPr="001B0E65">
              <w:t xml:space="preserve"> wordt verstrekt in verband met de uitvoering van de Hoofdovereenkomst.</w:t>
            </w:r>
          </w:p>
        </w:tc>
      </w:tr>
      <w:tr w:rsidR="00C8090D" w:rsidRPr="008463A0" w14:paraId="4500C86A" w14:textId="77777777" w:rsidTr="00D53CBD">
        <w:tc>
          <w:tcPr>
            <w:tcW w:w="2760" w:type="dxa"/>
          </w:tcPr>
          <w:p w14:paraId="7588F1E8" w14:textId="78050458" w:rsidR="00C8090D" w:rsidRPr="004B3DF8" w:rsidRDefault="00C8090D" w:rsidP="00FD1E22">
            <w:pPr>
              <w:widowControl w:val="0"/>
              <w:rPr>
                <w:b/>
                <w:bCs/>
              </w:rPr>
            </w:pPr>
            <w:r>
              <w:rPr>
                <w:b/>
                <w:bCs/>
              </w:rPr>
              <w:t>Kritische Derde</w:t>
            </w:r>
          </w:p>
        </w:tc>
        <w:tc>
          <w:tcPr>
            <w:tcW w:w="6307" w:type="dxa"/>
          </w:tcPr>
          <w:p w14:paraId="21B55814" w14:textId="09E9F3D6" w:rsidR="00C8090D" w:rsidRPr="00E868FF" w:rsidRDefault="001F4462" w:rsidP="00FB5A8E">
            <w:pPr>
              <w:widowControl w:val="0"/>
              <w:jc w:val="both"/>
              <w:rPr>
                <w:highlight w:val="yellow"/>
              </w:rPr>
            </w:pPr>
            <w:r w:rsidRPr="001F4462">
              <w:t xml:space="preserve">een </w:t>
            </w:r>
            <w:r w:rsidR="002F1AAC">
              <w:t xml:space="preserve">Derde </w:t>
            </w:r>
            <w:r w:rsidRPr="001F4462">
              <w:t xml:space="preserve">die </w:t>
            </w:r>
            <w:r w:rsidR="00782BA5">
              <w:t>goederen</w:t>
            </w:r>
            <w:r w:rsidR="00C553A2">
              <w:t xml:space="preserve"> levert</w:t>
            </w:r>
            <w:r w:rsidRPr="001F4462">
              <w:t xml:space="preserve">, </w:t>
            </w:r>
            <w:r w:rsidR="00C553A2">
              <w:t xml:space="preserve">danwel </w:t>
            </w:r>
            <w:r w:rsidRPr="001F4462">
              <w:t xml:space="preserve">diensten of </w:t>
            </w:r>
            <w:r w:rsidR="00C553A2">
              <w:t>werk</w:t>
            </w:r>
            <w:r w:rsidR="00B16AE0">
              <w:t>z</w:t>
            </w:r>
            <w:r w:rsidR="00C553A2">
              <w:t>aamheden verricht</w:t>
            </w:r>
            <w:r w:rsidRPr="001F4462">
              <w:t xml:space="preserve"> die </w:t>
            </w:r>
            <w:r w:rsidR="00C553A2">
              <w:t xml:space="preserve">zodanig </w:t>
            </w:r>
            <w:r w:rsidRPr="001F4462">
              <w:t>essentieel</w:t>
            </w:r>
            <w:r w:rsidR="00B33A5D">
              <w:t xml:space="preserve"> zijn</w:t>
            </w:r>
            <w:r w:rsidR="00C553A2">
              <w:t xml:space="preserve">, dat </w:t>
            </w:r>
            <w:r w:rsidR="00A00ED5">
              <w:t>het niet beschikbaar</w:t>
            </w:r>
            <w:r w:rsidR="00AE12ED">
              <w:t xml:space="preserve"> </w:t>
            </w:r>
            <w:r w:rsidR="00A00ED5">
              <w:t>zijn</w:t>
            </w:r>
            <w:r w:rsidR="004C5D68">
              <w:t xml:space="preserve"> daarvan</w:t>
            </w:r>
            <w:r w:rsidR="00A00ED5">
              <w:t xml:space="preserve"> </w:t>
            </w:r>
            <w:r w:rsidR="00B26526">
              <w:t xml:space="preserve">direct </w:t>
            </w:r>
            <w:r w:rsidR="004C5D68">
              <w:t xml:space="preserve">leidt dan wel kan leiden </w:t>
            </w:r>
            <w:r w:rsidR="005733BA">
              <w:t xml:space="preserve">tot het onderbreken of beperken van </w:t>
            </w:r>
            <w:r w:rsidR="0066298F">
              <w:t xml:space="preserve">de distributie </w:t>
            </w:r>
            <w:r w:rsidR="00B33A5D">
              <w:t>van warmte, elektriciteit of gas</w:t>
            </w:r>
            <w:r w:rsidR="005733BA">
              <w:t>.</w:t>
            </w:r>
            <w:r w:rsidR="00B33A5D">
              <w:t xml:space="preserve"> </w:t>
            </w:r>
          </w:p>
        </w:tc>
      </w:tr>
      <w:tr w:rsidR="00FA59A5" w:rsidRPr="008463A0" w14:paraId="1F626274" w14:textId="77777777" w:rsidTr="00D53CBD">
        <w:tc>
          <w:tcPr>
            <w:tcW w:w="2760" w:type="dxa"/>
          </w:tcPr>
          <w:p w14:paraId="7168A848" w14:textId="1FCEC3FA" w:rsidR="00FA59A5" w:rsidRPr="004B3DF8" w:rsidRDefault="006324A0" w:rsidP="00FD1E22">
            <w:pPr>
              <w:widowControl w:val="0"/>
              <w:rPr>
                <w:b/>
                <w:bCs/>
              </w:rPr>
            </w:pPr>
            <w:r w:rsidRPr="004B3DF8">
              <w:rPr>
                <w:b/>
                <w:bCs/>
              </w:rPr>
              <w:t xml:space="preserve">Least </w:t>
            </w:r>
            <w:r w:rsidR="005621C2">
              <w:rPr>
                <w:b/>
                <w:bCs/>
              </w:rPr>
              <w:t>P</w:t>
            </w:r>
            <w:r w:rsidRPr="004B3DF8">
              <w:rPr>
                <w:b/>
                <w:bCs/>
              </w:rPr>
              <w:t xml:space="preserve">rivilege </w:t>
            </w:r>
            <w:r w:rsidR="005621C2">
              <w:rPr>
                <w:b/>
                <w:bCs/>
              </w:rPr>
              <w:t>P</w:t>
            </w:r>
            <w:r w:rsidRPr="004B3DF8">
              <w:rPr>
                <w:b/>
                <w:bCs/>
              </w:rPr>
              <w:t>rincipe</w:t>
            </w:r>
          </w:p>
        </w:tc>
        <w:tc>
          <w:tcPr>
            <w:tcW w:w="6307" w:type="dxa"/>
          </w:tcPr>
          <w:p w14:paraId="570CC159" w14:textId="4F32FA56" w:rsidR="00FA59A5" w:rsidRPr="00FA59A5" w:rsidRDefault="00897AE9" w:rsidP="00FB5A8E">
            <w:pPr>
              <w:widowControl w:val="0"/>
              <w:jc w:val="both"/>
            </w:pPr>
            <w:r w:rsidRPr="00897AE9">
              <w:t xml:space="preserve">een beveiligingsconcept en operationele maatregel waarbij elke gebruiker, proces of systeem binnen de organisatie c.q. het domein slechts die toegangsrechten en permissies krijgt die noodzakelijk zijn om </w:t>
            </w:r>
            <w:r w:rsidR="003F1A47">
              <w:t xml:space="preserve">de voor die gebruiker, proces of systeem </w:t>
            </w:r>
            <w:r w:rsidRPr="00897AE9">
              <w:t xml:space="preserve">essentiële taken en functies uit te </w:t>
            </w:r>
            <w:r w:rsidR="003F1A47">
              <w:t xml:space="preserve">kunnen </w:t>
            </w:r>
            <w:r w:rsidRPr="00897AE9">
              <w:t>voeren.</w:t>
            </w:r>
          </w:p>
        </w:tc>
      </w:tr>
      <w:tr w:rsidR="00FA59A5" w:rsidRPr="008463A0" w14:paraId="00F50F79" w14:textId="77777777" w:rsidTr="00D53CBD">
        <w:tc>
          <w:tcPr>
            <w:tcW w:w="2760" w:type="dxa"/>
          </w:tcPr>
          <w:p w14:paraId="7C87615B" w14:textId="66548253" w:rsidR="00FA59A5" w:rsidRPr="004B3DF8" w:rsidRDefault="00F70C1D" w:rsidP="00FD1E22">
            <w:pPr>
              <w:widowControl w:val="0"/>
              <w:rPr>
                <w:b/>
                <w:bCs/>
              </w:rPr>
            </w:pPr>
            <w:r w:rsidRPr="004B3DF8">
              <w:rPr>
                <w:b/>
                <w:bCs/>
              </w:rPr>
              <w:t xml:space="preserve">Persoonsgegevens </w:t>
            </w:r>
          </w:p>
        </w:tc>
        <w:tc>
          <w:tcPr>
            <w:tcW w:w="6307" w:type="dxa"/>
          </w:tcPr>
          <w:p w14:paraId="70AEE787" w14:textId="40230079" w:rsidR="00FA59A5" w:rsidRPr="00FA59A5" w:rsidRDefault="00F70C1D" w:rsidP="00FB5A8E">
            <w:pPr>
              <w:widowControl w:val="0"/>
              <w:jc w:val="both"/>
            </w:pPr>
            <w:r w:rsidRPr="00F70C1D">
              <w:t>alle informatie over een geïdentificeerde of identificeerbare natuurlijke persoon (“de betrokkene”), zoals nader gespecificeerd in artikel 4 lid 1 van de AVG.</w:t>
            </w:r>
          </w:p>
        </w:tc>
      </w:tr>
      <w:tr w:rsidR="00F70C1D" w:rsidRPr="008463A0" w14:paraId="520D26FF" w14:textId="77777777" w:rsidTr="00D53CBD">
        <w:tc>
          <w:tcPr>
            <w:tcW w:w="2760" w:type="dxa"/>
          </w:tcPr>
          <w:p w14:paraId="4D24BEE0" w14:textId="2FDECBFB" w:rsidR="00F70C1D" w:rsidRPr="004B3DF8" w:rsidRDefault="00087A21" w:rsidP="00FD1E22">
            <w:pPr>
              <w:widowControl w:val="0"/>
              <w:rPr>
                <w:b/>
                <w:bCs/>
              </w:rPr>
            </w:pPr>
            <w:r w:rsidRPr="004B3DF8">
              <w:rPr>
                <w:b/>
                <w:bCs/>
              </w:rPr>
              <w:t>Station</w:t>
            </w:r>
          </w:p>
        </w:tc>
        <w:tc>
          <w:tcPr>
            <w:tcW w:w="6307" w:type="dxa"/>
          </w:tcPr>
          <w:p w14:paraId="15BB6B39" w14:textId="6FE0B970" w:rsidR="00F70C1D" w:rsidRPr="00F70C1D" w:rsidRDefault="00087A21" w:rsidP="00FB5A8E">
            <w:pPr>
              <w:widowControl w:val="0"/>
              <w:jc w:val="both"/>
            </w:pPr>
            <w:r w:rsidRPr="00087A21">
              <w:t xml:space="preserve">een fysieke locatie in de Infrastructuur van Enexis, waar apparatuur is gehuisvest voor het transport en/of de distributie van elektriciteit, gas (een tot het elektriciteitsnet of gastransportnet van Enexis Netbeheer B.V. behorend transformator-, schakel-, verdeel- en onderstation, installatie of hulpmiddel), zoals bedoeld in artikel 1 sub i Elektriciteitswet en artikel 1 sub d Gaswet dan wel in de nieuwe </w:t>
            </w:r>
            <w:r w:rsidRPr="00087A21">
              <w:lastRenderedPageBreak/>
              <w:t>Energiewet.</w:t>
            </w:r>
          </w:p>
        </w:tc>
      </w:tr>
      <w:tr w:rsidR="00F70C1D" w:rsidRPr="008463A0" w14:paraId="661554CC" w14:textId="77777777" w:rsidTr="00D53CBD">
        <w:tc>
          <w:tcPr>
            <w:tcW w:w="2760" w:type="dxa"/>
          </w:tcPr>
          <w:p w14:paraId="6F806B3C" w14:textId="60DD0F01" w:rsidR="00F70C1D" w:rsidRPr="004B3DF8" w:rsidRDefault="00841066" w:rsidP="00FD1E22">
            <w:pPr>
              <w:widowControl w:val="0"/>
              <w:rPr>
                <w:b/>
                <w:bCs/>
              </w:rPr>
            </w:pPr>
            <w:r w:rsidRPr="004B3DF8">
              <w:rPr>
                <w:b/>
                <w:bCs/>
              </w:rPr>
              <w:lastRenderedPageBreak/>
              <w:t>Toegangsbeveiliging</w:t>
            </w:r>
          </w:p>
        </w:tc>
        <w:tc>
          <w:tcPr>
            <w:tcW w:w="6307" w:type="dxa"/>
          </w:tcPr>
          <w:p w14:paraId="2C9EE073" w14:textId="56ED9323" w:rsidR="00F70C1D" w:rsidRPr="00F70C1D" w:rsidRDefault="00841066" w:rsidP="00FB5A8E">
            <w:pPr>
              <w:widowControl w:val="0"/>
              <w:jc w:val="both"/>
            </w:pPr>
            <w:r w:rsidRPr="00841066">
              <w:t>het op gecontroleerde wijze verlenen van toegang aan geautoriseerde personen of systemen, waarbij toegang door ongeautoriseerde personen of systemen voorkomen wordt door het treffen van technische maatregelen.</w:t>
            </w:r>
          </w:p>
        </w:tc>
      </w:tr>
      <w:tr w:rsidR="00FA59A5" w:rsidRPr="008463A0" w14:paraId="114D3456" w14:textId="77777777" w:rsidTr="00D53CBD">
        <w:tc>
          <w:tcPr>
            <w:tcW w:w="2760" w:type="dxa"/>
          </w:tcPr>
          <w:p w14:paraId="2E56A871" w14:textId="0A1C2960" w:rsidR="00FA59A5" w:rsidRPr="004B3DF8" w:rsidRDefault="00290A0B" w:rsidP="00FD1E22">
            <w:pPr>
              <w:widowControl w:val="0"/>
              <w:rPr>
                <w:b/>
                <w:bCs/>
              </w:rPr>
            </w:pPr>
            <w:r w:rsidRPr="004B3DF8">
              <w:rPr>
                <w:b/>
                <w:bCs/>
              </w:rPr>
              <w:t>Vertrouwelijke Informatie</w:t>
            </w:r>
          </w:p>
        </w:tc>
        <w:tc>
          <w:tcPr>
            <w:tcW w:w="6307" w:type="dxa"/>
          </w:tcPr>
          <w:p w14:paraId="4D88B9D0" w14:textId="3DD8C447" w:rsidR="00FA59A5" w:rsidRPr="00FA59A5" w:rsidRDefault="00290A0B" w:rsidP="00FB5A8E">
            <w:pPr>
              <w:widowControl w:val="0"/>
              <w:jc w:val="both"/>
            </w:pPr>
            <w:r w:rsidRPr="00290A0B">
              <w:t>Informatie waarvan het vertrouwelijke karakter door Enexis uitdrukkelijk is medegedeeld of dit vertrouwelijke karakter redelijkerwijs aangenomen moet worden op grond van de aard en inhoud. Deze informatie ziet in ieder geval op de beveiliging van Enexis.</w:t>
            </w:r>
          </w:p>
        </w:tc>
      </w:tr>
      <w:tr w:rsidR="00290A0B" w:rsidRPr="008463A0" w14:paraId="51DBDA91" w14:textId="77777777" w:rsidTr="00D53CBD">
        <w:tc>
          <w:tcPr>
            <w:tcW w:w="2760" w:type="dxa"/>
          </w:tcPr>
          <w:p w14:paraId="647DD3D3" w14:textId="2FE45061" w:rsidR="00290A0B" w:rsidRPr="004B3DF8" w:rsidRDefault="00290A0B" w:rsidP="00FD1E22">
            <w:pPr>
              <w:widowControl w:val="0"/>
              <w:rPr>
                <w:b/>
                <w:bCs/>
              </w:rPr>
            </w:pPr>
            <w:r w:rsidRPr="004B3DF8">
              <w:rPr>
                <w:b/>
                <w:bCs/>
              </w:rPr>
              <w:t xml:space="preserve">Werkzaamheden </w:t>
            </w:r>
          </w:p>
        </w:tc>
        <w:tc>
          <w:tcPr>
            <w:tcW w:w="6307" w:type="dxa"/>
          </w:tcPr>
          <w:p w14:paraId="4A34422F" w14:textId="5217FAC7" w:rsidR="00290A0B" w:rsidRPr="00290A0B" w:rsidRDefault="00D53CBD" w:rsidP="00FB5A8E">
            <w:pPr>
              <w:widowControl w:val="0"/>
              <w:jc w:val="both"/>
            </w:pPr>
            <w:r>
              <w:t xml:space="preserve">in afwijking van </w:t>
            </w:r>
            <w:r w:rsidR="008869A0">
              <w:t xml:space="preserve">de </w:t>
            </w:r>
            <w:r>
              <w:t xml:space="preserve">AV ziet dit begrip op </w:t>
            </w:r>
            <w:r w:rsidR="004B3DF8" w:rsidRPr="004B3DF8">
              <w:t xml:space="preserve">alle door </w:t>
            </w:r>
            <w:r w:rsidR="0055311D">
              <w:t>Wederpartij</w:t>
            </w:r>
            <w:r w:rsidR="004B3DF8" w:rsidRPr="004B3DF8">
              <w:t xml:space="preserve"> op basis van de Hoofdovereenkomst uit te voeren activiteiten.</w:t>
            </w:r>
          </w:p>
        </w:tc>
      </w:tr>
    </w:tbl>
    <w:p w14:paraId="34B71DB6" w14:textId="77777777" w:rsidR="00D5410E" w:rsidRDefault="00D5410E" w:rsidP="00D5410E"/>
    <w:p w14:paraId="6FFB922D" w14:textId="77777777" w:rsidR="00D5410E" w:rsidRDefault="00D5410E" w:rsidP="00D5410E">
      <w:r>
        <w:t> </w:t>
      </w:r>
    </w:p>
    <w:p w14:paraId="684CC281" w14:textId="72E2A1DD" w:rsidR="00C744DF" w:rsidRPr="00FD4ADC" w:rsidRDefault="00D5410E" w:rsidP="00FD4ADC">
      <w:pPr>
        <w:spacing w:after="60"/>
        <w:rPr>
          <w:rFonts w:ascii="Trebuchet MS" w:hAnsi="Trebuchet MS"/>
          <w:b/>
          <w:bCs/>
          <w:color w:val="04286C"/>
          <w:sz w:val="28"/>
          <w:szCs w:val="28"/>
          <w:highlight w:val="lightGray"/>
        </w:rPr>
      </w:pPr>
      <w:r>
        <w:rPr>
          <w:highlight w:val="lightGray"/>
        </w:rPr>
        <w:br w:type="page"/>
      </w:r>
    </w:p>
    <w:p w14:paraId="32D90E84" w14:textId="77777777" w:rsidR="00C744DF" w:rsidRDefault="00C744DF" w:rsidP="00C744DF"/>
    <w:p w14:paraId="51687BA9" w14:textId="30302B71" w:rsidR="0076727C" w:rsidRPr="00C744DF" w:rsidRDefault="00FD4ADC" w:rsidP="00FD4ADC">
      <w:pPr>
        <w:pStyle w:val="Kop1"/>
      </w:pPr>
      <w:bookmarkStart w:id="0" w:name="_Toc199338641"/>
      <w:r w:rsidRPr="00FD4ADC">
        <w:t>DOEL, TOEPASSELIJKHEID EN HIËRARCHIE</w:t>
      </w:r>
      <w:bookmarkEnd w:id="0"/>
      <w:r w:rsidRPr="00FD4ADC">
        <w:t xml:space="preserve"> </w:t>
      </w:r>
    </w:p>
    <w:p w14:paraId="0F7DAAD9" w14:textId="30D81714" w:rsidR="00B62B67" w:rsidRDefault="00ED79FB" w:rsidP="00310630">
      <w:pPr>
        <w:pStyle w:val="Lijstalinea"/>
        <w:numPr>
          <w:ilvl w:val="1"/>
          <w:numId w:val="3"/>
        </w:numPr>
        <w:jc w:val="both"/>
      </w:pPr>
      <w:bookmarkStart w:id="1" w:name="_Hlk123726162"/>
      <w:r w:rsidRPr="00ED79FB">
        <w:t xml:space="preserve">Dit DV&amp;P Addendum heeft tot doel om in aanvulling op de Hoofdovereenkomst afspraken </w:t>
      </w:r>
      <w:r w:rsidR="00B62B67">
        <w:t xml:space="preserve">te maken </w:t>
      </w:r>
      <w:r w:rsidRPr="00ED79FB">
        <w:t>over de minimaal te treffen Beveiligingsmaatregelen en</w:t>
      </w:r>
      <w:r w:rsidR="00975437">
        <w:t xml:space="preserve"> </w:t>
      </w:r>
      <w:r w:rsidRPr="00ED79FB">
        <w:t>verantwoordelijkheden van Partije</w:t>
      </w:r>
      <w:r w:rsidR="009F6C0D">
        <w:t>n</w:t>
      </w:r>
      <w:r w:rsidR="00FC201D">
        <w:t xml:space="preserve">. </w:t>
      </w:r>
    </w:p>
    <w:bookmarkEnd w:id="1"/>
    <w:p w14:paraId="74FA784A" w14:textId="77777777" w:rsidR="005979A8" w:rsidRPr="005979A8" w:rsidRDefault="005979A8" w:rsidP="00310630">
      <w:pPr>
        <w:pStyle w:val="Lijstalinea"/>
        <w:numPr>
          <w:ilvl w:val="1"/>
          <w:numId w:val="3"/>
        </w:numPr>
        <w:jc w:val="both"/>
      </w:pPr>
      <w:r w:rsidRPr="005979A8">
        <w:t>Dit DV&amp;P Addendum is van toepassing op:</w:t>
      </w:r>
    </w:p>
    <w:p w14:paraId="5635D78D" w14:textId="0EE4BBD9" w:rsidR="00455267" w:rsidRPr="00455267" w:rsidRDefault="00455267" w:rsidP="00310630">
      <w:pPr>
        <w:pStyle w:val="Lijstalinea"/>
        <w:numPr>
          <w:ilvl w:val="0"/>
          <w:numId w:val="6"/>
        </w:numPr>
        <w:jc w:val="both"/>
      </w:pPr>
      <w:r w:rsidRPr="00455267">
        <w:t xml:space="preserve">alle </w:t>
      </w:r>
      <w:r w:rsidR="000449EB" w:rsidRPr="00547CFA">
        <w:t>Werkzaamheden, goederen en/of diensten</w:t>
      </w:r>
      <w:r w:rsidR="000449EB" w:rsidRPr="00455267">
        <w:t xml:space="preserve"> </w:t>
      </w:r>
      <w:r w:rsidRPr="00455267">
        <w:t xml:space="preserve">die </w:t>
      </w:r>
      <w:r w:rsidR="0055311D">
        <w:t>Wederpartij</w:t>
      </w:r>
      <w:r w:rsidRPr="00455267">
        <w:t xml:space="preserve"> op basis van de Hoofdovereenkomst </w:t>
      </w:r>
      <w:r w:rsidR="00350F03">
        <w:t xml:space="preserve">voor Enexis </w:t>
      </w:r>
      <w:r w:rsidR="000943CD">
        <w:t xml:space="preserve">uitvoert en zal uitvoeren en/of </w:t>
      </w:r>
      <w:r w:rsidRPr="00455267">
        <w:t>aan Enexis levert en zal leveren;</w:t>
      </w:r>
    </w:p>
    <w:p w14:paraId="1E2FEDFE" w14:textId="5DBDCF67" w:rsidR="005979A8" w:rsidRDefault="00CB38C1" w:rsidP="00310630">
      <w:pPr>
        <w:pStyle w:val="Lijstalinea"/>
        <w:numPr>
          <w:ilvl w:val="0"/>
          <w:numId w:val="6"/>
        </w:numPr>
        <w:jc w:val="both"/>
      </w:pPr>
      <w:r w:rsidRPr="00CB38C1">
        <w:t xml:space="preserve">alle relevante c.q. betrokken Informatie, processen, goederen en diensten van Enexis die aan </w:t>
      </w:r>
      <w:r w:rsidR="0055311D">
        <w:t>Wederpartij</w:t>
      </w:r>
      <w:r w:rsidRPr="00CB38C1">
        <w:t xml:space="preserve"> worden verstrekt respectievelijk waarmee </w:t>
      </w:r>
      <w:r w:rsidR="0055311D">
        <w:t>Wederpartij</w:t>
      </w:r>
      <w:r w:rsidRPr="00CB38C1">
        <w:t xml:space="preserve"> door uitvoering van de Hoofdovereenkomst bekend is geworden </w:t>
      </w:r>
    </w:p>
    <w:p w14:paraId="7064E339" w14:textId="4DE40660" w:rsidR="00C6192E" w:rsidRDefault="00A304B9" w:rsidP="00207196">
      <w:pPr>
        <w:pStyle w:val="Lijstalinea"/>
        <w:numPr>
          <w:ilvl w:val="1"/>
          <w:numId w:val="3"/>
        </w:numPr>
        <w:jc w:val="both"/>
      </w:pPr>
      <w:r>
        <w:t>D</w:t>
      </w:r>
      <w:r w:rsidR="008E5016">
        <w:t>e</w:t>
      </w:r>
      <w:r w:rsidR="00D3440F">
        <w:t xml:space="preserve"> </w:t>
      </w:r>
      <w:r w:rsidR="00EE2892">
        <w:t xml:space="preserve">verplichtingen </w:t>
      </w:r>
      <w:r w:rsidR="00A60C98">
        <w:t xml:space="preserve">van Wederpartij op basis van </w:t>
      </w:r>
      <w:r w:rsidR="00EE2892">
        <w:t xml:space="preserve">dit </w:t>
      </w:r>
      <w:r w:rsidR="00D3440F">
        <w:t xml:space="preserve">DV&amp;P Addendum </w:t>
      </w:r>
      <w:r w:rsidR="00A3555B">
        <w:t>geld</w:t>
      </w:r>
      <w:r w:rsidR="00522AC8">
        <w:t>en</w:t>
      </w:r>
      <w:r w:rsidR="0082616A">
        <w:t>, voor zover relevant,</w:t>
      </w:r>
      <w:r w:rsidR="00EE2892">
        <w:t xml:space="preserve"> </w:t>
      </w:r>
      <w:r w:rsidR="00831EC6">
        <w:t xml:space="preserve">tevens </w:t>
      </w:r>
      <w:r w:rsidR="00EE2892">
        <w:t xml:space="preserve">ten aanzien van </w:t>
      </w:r>
      <w:r w:rsidR="0082616A" w:rsidRPr="00501F96">
        <w:t>Enexis Holding N.V. en alle tot haar groep behorende bedrijven</w:t>
      </w:r>
      <w:r w:rsidR="00890098">
        <w:t xml:space="preserve">. </w:t>
      </w:r>
    </w:p>
    <w:p w14:paraId="0B1D4E3E" w14:textId="4A742F32" w:rsidR="009E3670" w:rsidRPr="009E3670" w:rsidRDefault="009E3670" w:rsidP="00310630">
      <w:pPr>
        <w:pStyle w:val="Lijstalinea"/>
        <w:numPr>
          <w:ilvl w:val="1"/>
          <w:numId w:val="3"/>
        </w:numPr>
        <w:jc w:val="both"/>
      </w:pPr>
      <w:r w:rsidRPr="009E3670">
        <w:t xml:space="preserve">Afwijkingen van dit DV&amp;P Addendum gelden slechts als deze schriftelijk tussen Partijen zijn overeengekomen in </w:t>
      </w:r>
      <w:r w:rsidRPr="00CD2447">
        <w:rPr>
          <w:b/>
          <w:bCs/>
        </w:rPr>
        <w:t>Bijlage 1</w:t>
      </w:r>
      <w:r w:rsidR="00CD2447" w:rsidRPr="00CD2447">
        <w:rPr>
          <w:b/>
          <w:bCs/>
        </w:rPr>
        <w:t xml:space="preserve"> -</w:t>
      </w:r>
      <w:r w:rsidR="00815855" w:rsidRPr="00CD2447">
        <w:rPr>
          <w:b/>
          <w:bCs/>
        </w:rPr>
        <w:t xml:space="preserve"> Overeengekomen afwijkingen van DV&amp;P Addendum</w:t>
      </w:r>
      <w:r w:rsidR="00815855">
        <w:t xml:space="preserve">. </w:t>
      </w:r>
    </w:p>
    <w:p w14:paraId="47560A35" w14:textId="4762AF1B" w:rsidR="0076727C" w:rsidRDefault="00840050" w:rsidP="00310630">
      <w:pPr>
        <w:pStyle w:val="Lijstalinea"/>
        <w:numPr>
          <w:ilvl w:val="1"/>
          <w:numId w:val="3"/>
        </w:numPr>
        <w:jc w:val="both"/>
      </w:pPr>
      <w:r>
        <w:t xml:space="preserve">In het geval van </w:t>
      </w:r>
      <w:r w:rsidR="005B2171" w:rsidRPr="005B2171">
        <w:t xml:space="preserve">tegenstrijdigheden tussen dit DV&amp;P Addendum en de Hoofdovereenkomst, prevaleert hetgeen </w:t>
      </w:r>
      <w:r w:rsidR="008E5016">
        <w:t xml:space="preserve">is </w:t>
      </w:r>
      <w:r w:rsidR="005B2171" w:rsidRPr="005B2171">
        <w:t>opgenomen in dit DV&amp;P Addendum tenzij in de Hoofdovereenkomst nadrukkelijk van een artikel uit dit DV&amp;P Addendum wordt afgeweken.</w:t>
      </w:r>
      <w:r w:rsidR="0076727C" w:rsidRPr="003B33DC">
        <w:br/>
      </w:r>
    </w:p>
    <w:p w14:paraId="4AD267C6" w14:textId="013174FE" w:rsidR="0076727C" w:rsidRDefault="00D628B1" w:rsidP="00D628B1">
      <w:pPr>
        <w:pStyle w:val="Kop1"/>
      </w:pPr>
      <w:bookmarkStart w:id="2" w:name="_Toc199338642"/>
      <w:r w:rsidRPr="00D628B1">
        <w:t>BEVEILIGINGSBELEIDSLIJNEN</w:t>
      </w:r>
      <w:bookmarkEnd w:id="2"/>
      <w:r w:rsidRPr="00D628B1">
        <w:t xml:space="preserve"> </w:t>
      </w:r>
    </w:p>
    <w:p w14:paraId="1BCBDA82" w14:textId="587A4EB1" w:rsidR="00547CFA" w:rsidRDefault="0055311D" w:rsidP="00B038ED">
      <w:pPr>
        <w:pStyle w:val="Lijstalinea"/>
        <w:numPr>
          <w:ilvl w:val="1"/>
          <w:numId w:val="3"/>
        </w:numPr>
        <w:jc w:val="both"/>
      </w:pPr>
      <w:r>
        <w:t>Wederpartij</w:t>
      </w:r>
      <w:r w:rsidR="00547CFA" w:rsidRPr="00547CFA">
        <w:t xml:space="preserve"> garandeert dat alle Werkzaamheden, goederen en/of diensten</w:t>
      </w:r>
      <w:r w:rsidR="009A06AD">
        <w:t xml:space="preserve"> </w:t>
      </w:r>
      <w:r w:rsidR="00004323">
        <w:t xml:space="preserve">onder </w:t>
      </w:r>
      <w:r w:rsidR="00547CFA" w:rsidRPr="00547CFA">
        <w:t>de Hoofdovereenkomst</w:t>
      </w:r>
      <w:r w:rsidR="009A06AD">
        <w:t>, waaronder begrepen deelopleveringen,</w:t>
      </w:r>
      <w:r w:rsidR="00547CFA" w:rsidRPr="00547CFA">
        <w:t xml:space="preserve"> </w:t>
      </w:r>
      <w:r w:rsidR="0003124E">
        <w:t xml:space="preserve">telkens </w:t>
      </w:r>
      <w:r w:rsidR="00547CFA" w:rsidRPr="00547CFA">
        <w:t xml:space="preserve">voldoen aan voor Enexis toepasselijke en meest actuele wet- en regelgeving en gangbare normen op het gebied van </w:t>
      </w:r>
      <w:r w:rsidR="00547CFA">
        <w:t>b</w:t>
      </w:r>
      <w:r w:rsidR="00547CFA" w:rsidRPr="00547CFA">
        <w:t xml:space="preserve">eveiliging. Hieronder wordt minimaal begrepen: </w:t>
      </w:r>
    </w:p>
    <w:p w14:paraId="4A03883A" w14:textId="77777777" w:rsidR="0026090D" w:rsidRDefault="0026090D" w:rsidP="00B038ED">
      <w:pPr>
        <w:pStyle w:val="Lijstalinea"/>
        <w:ind w:left="360"/>
        <w:jc w:val="both"/>
      </w:pPr>
    </w:p>
    <w:p w14:paraId="515FA319" w14:textId="3E1DA26C" w:rsidR="0026090D" w:rsidRPr="007E2BE9" w:rsidRDefault="0026090D" w:rsidP="00B038ED">
      <w:pPr>
        <w:ind w:firstLine="360"/>
        <w:jc w:val="both"/>
        <w:rPr>
          <w:i/>
          <w:iCs/>
          <w:sz w:val="16"/>
          <w:szCs w:val="16"/>
        </w:rPr>
      </w:pPr>
      <w:r w:rsidRPr="007E2BE9">
        <w:rPr>
          <w:i/>
          <w:iCs/>
          <w:sz w:val="16"/>
          <w:szCs w:val="16"/>
        </w:rPr>
        <w:t xml:space="preserve">Wetgeving </w:t>
      </w:r>
    </w:p>
    <w:p w14:paraId="04E3EC94" w14:textId="4C245F72" w:rsidR="0076727C" w:rsidRDefault="00B02694" w:rsidP="00E73F44">
      <w:pPr>
        <w:pStyle w:val="Lijstalinea"/>
        <w:numPr>
          <w:ilvl w:val="0"/>
          <w:numId w:val="7"/>
        </w:numPr>
        <w:jc w:val="both"/>
      </w:pPr>
      <w:r w:rsidRPr="00B02694">
        <w:t>de NIS2-richtlijn zoals geïmplementeerd in de Cyberbeveiligingswet;</w:t>
      </w:r>
    </w:p>
    <w:p w14:paraId="033563BD" w14:textId="77777777" w:rsidR="004023FB" w:rsidRPr="004023FB" w:rsidRDefault="004023FB" w:rsidP="00E73F44">
      <w:pPr>
        <w:pStyle w:val="Lijstalinea"/>
        <w:numPr>
          <w:ilvl w:val="0"/>
          <w:numId w:val="7"/>
        </w:numPr>
        <w:jc w:val="both"/>
      </w:pPr>
      <w:r w:rsidRPr="004023FB">
        <w:t>de CER-richtlijn zoals geïmplementeerd in de Wwke;</w:t>
      </w:r>
    </w:p>
    <w:p w14:paraId="08B1B654" w14:textId="77777777" w:rsidR="000E065D" w:rsidRPr="000E065D" w:rsidRDefault="000E065D" w:rsidP="00E73F44">
      <w:pPr>
        <w:pStyle w:val="Lijstalinea"/>
        <w:numPr>
          <w:ilvl w:val="0"/>
          <w:numId w:val="7"/>
        </w:numPr>
        <w:jc w:val="both"/>
      </w:pPr>
      <w:r w:rsidRPr="000E065D">
        <w:t xml:space="preserve">de Energiewet, waaronder in het bijzonder artikel 3.18 Energiewet; </w:t>
      </w:r>
    </w:p>
    <w:p w14:paraId="3B8682C9" w14:textId="77777777" w:rsidR="0026090D" w:rsidRPr="0026090D" w:rsidRDefault="0026090D" w:rsidP="00E73F44">
      <w:pPr>
        <w:pStyle w:val="Lijstalinea"/>
        <w:numPr>
          <w:ilvl w:val="0"/>
          <w:numId w:val="7"/>
        </w:numPr>
        <w:jc w:val="both"/>
      </w:pPr>
      <w:r w:rsidRPr="0026090D">
        <w:t>de Netcode voor Digitale Veiligheid; en</w:t>
      </w:r>
    </w:p>
    <w:p w14:paraId="693C03A1" w14:textId="071F14CA" w:rsidR="00B02694" w:rsidRDefault="0026090D" w:rsidP="00E73F44">
      <w:pPr>
        <w:pStyle w:val="Lijstalinea"/>
        <w:numPr>
          <w:ilvl w:val="0"/>
          <w:numId w:val="7"/>
        </w:numPr>
        <w:jc w:val="both"/>
      </w:pPr>
      <w:r>
        <w:t xml:space="preserve">de AVG. </w:t>
      </w:r>
    </w:p>
    <w:p w14:paraId="6EB52C95" w14:textId="77777777" w:rsidR="00FB3F5D" w:rsidRDefault="00FB3F5D" w:rsidP="00B038ED">
      <w:pPr>
        <w:ind w:left="567"/>
        <w:jc w:val="both"/>
      </w:pPr>
    </w:p>
    <w:p w14:paraId="5586F0C3" w14:textId="529D3A84" w:rsidR="00FB3F5D" w:rsidRPr="007E2BE9" w:rsidRDefault="00FB3F5D" w:rsidP="00B038ED">
      <w:pPr>
        <w:ind w:firstLine="425"/>
        <w:jc w:val="both"/>
        <w:rPr>
          <w:i/>
          <w:iCs/>
          <w:sz w:val="16"/>
          <w:szCs w:val="16"/>
        </w:rPr>
      </w:pPr>
      <w:r w:rsidRPr="007E2BE9">
        <w:rPr>
          <w:i/>
          <w:iCs/>
          <w:sz w:val="16"/>
          <w:szCs w:val="16"/>
        </w:rPr>
        <w:t xml:space="preserve">Relevante normen </w:t>
      </w:r>
    </w:p>
    <w:p w14:paraId="1F059E54" w14:textId="77777777" w:rsidR="008C74AD" w:rsidRPr="008C74AD" w:rsidRDefault="008C74AD" w:rsidP="00E73F44">
      <w:pPr>
        <w:pStyle w:val="Lijstalinea"/>
        <w:numPr>
          <w:ilvl w:val="0"/>
          <w:numId w:val="7"/>
        </w:numPr>
        <w:jc w:val="both"/>
      </w:pPr>
      <w:r w:rsidRPr="008C74AD">
        <w:t>ISO 27001, NIST 800-53 of daaraan gelijkwaardige normen; en</w:t>
      </w:r>
    </w:p>
    <w:p w14:paraId="354E10D8" w14:textId="13993353" w:rsidR="00CB511B" w:rsidRPr="00FB3F5D" w:rsidRDefault="00FB3F5D" w:rsidP="00E73F44">
      <w:pPr>
        <w:pStyle w:val="Lijstalinea"/>
        <w:numPr>
          <w:ilvl w:val="0"/>
          <w:numId w:val="7"/>
        </w:numPr>
        <w:jc w:val="both"/>
      </w:pPr>
      <w:r w:rsidRPr="00FB3F5D">
        <w:t>de ICT-Beveiligingsrichtlijnen vanuit het Nationaal Cyber Security Centrum.</w:t>
      </w:r>
    </w:p>
    <w:p w14:paraId="544AEAB6" w14:textId="77777777" w:rsidR="0026090D" w:rsidRDefault="0026090D" w:rsidP="00B038ED">
      <w:pPr>
        <w:ind w:left="567"/>
        <w:jc w:val="both"/>
      </w:pPr>
    </w:p>
    <w:p w14:paraId="054F299B" w14:textId="316938C7" w:rsidR="00E03BF6" w:rsidRDefault="0055311D" w:rsidP="00F53D64">
      <w:pPr>
        <w:pStyle w:val="Lijstalinea"/>
        <w:numPr>
          <w:ilvl w:val="1"/>
          <w:numId w:val="3"/>
        </w:numPr>
        <w:jc w:val="both"/>
      </w:pPr>
      <w:r>
        <w:t>Wederpartij</w:t>
      </w:r>
      <w:r w:rsidR="00BC5AB3" w:rsidRPr="00BC5AB3">
        <w:t xml:space="preserve"> garandeert verder dat alle Werkzaamheden, goederen en/of diensten</w:t>
      </w:r>
      <w:r w:rsidR="009A06AD">
        <w:t xml:space="preserve"> </w:t>
      </w:r>
      <w:r w:rsidR="007E2BE9">
        <w:t>onder de Hoofdovereenkomst</w:t>
      </w:r>
      <w:r w:rsidR="009A06AD">
        <w:t>, waaronder begrepen deelopleveringen,</w:t>
      </w:r>
      <w:r w:rsidR="007E2BE9">
        <w:t xml:space="preserve"> </w:t>
      </w:r>
      <w:r w:rsidR="00BC5AB3" w:rsidRPr="00BC5AB3">
        <w:t xml:space="preserve">voldoen aan </w:t>
      </w:r>
      <w:r w:rsidR="009C263C">
        <w:t xml:space="preserve">de </w:t>
      </w:r>
      <w:r w:rsidR="009C263C" w:rsidRPr="00BC5AB3">
        <w:t xml:space="preserve">gestelde eisen </w:t>
      </w:r>
      <w:r w:rsidR="00BC5AB3" w:rsidRPr="00BC5AB3">
        <w:t xml:space="preserve">in de Bijlagen: </w:t>
      </w:r>
    </w:p>
    <w:p w14:paraId="58A0B0A2" w14:textId="77777777" w:rsidR="00F53D64" w:rsidRPr="00BC5AB3" w:rsidRDefault="00F53D64" w:rsidP="00F53D64">
      <w:pPr>
        <w:pStyle w:val="Lijstalinea"/>
        <w:ind w:left="360"/>
        <w:jc w:val="both"/>
      </w:pPr>
    </w:p>
    <w:p w14:paraId="4B0A33C3" w14:textId="31EDD5D4" w:rsidR="00E03BF6" w:rsidRDefault="00E03BF6" w:rsidP="00E03BF6">
      <w:pPr>
        <w:pStyle w:val="Lijstalinea"/>
        <w:ind w:left="360"/>
      </w:pPr>
      <w:r w:rsidRPr="00B038ED">
        <w:rPr>
          <w:b/>
          <w:bCs/>
        </w:rPr>
        <w:t>Bijlage 4</w:t>
      </w:r>
      <w:r w:rsidR="00CD2447">
        <w:rPr>
          <w:b/>
          <w:bCs/>
        </w:rPr>
        <w:t xml:space="preserve"> -</w:t>
      </w:r>
      <w:r>
        <w:t xml:space="preserve"> Toegangsbeveiliging</w:t>
      </w:r>
    </w:p>
    <w:p w14:paraId="6170A25E" w14:textId="3AE272A2" w:rsidR="00E03BF6" w:rsidRDefault="00E03BF6" w:rsidP="00E03BF6">
      <w:pPr>
        <w:pStyle w:val="Lijstalinea"/>
        <w:ind w:left="360"/>
      </w:pPr>
      <w:r w:rsidRPr="00B038ED">
        <w:rPr>
          <w:b/>
          <w:bCs/>
        </w:rPr>
        <w:t>Bijlage 5</w:t>
      </w:r>
      <w:r w:rsidR="00CD2447">
        <w:rPr>
          <w:b/>
          <w:bCs/>
        </w:rPr>
        <w:t xml:space="preserve"> -</w:t>
      </w:r>
      <w:r>
        <w:t xml:space="preserve"> Encryptie &amp; back-ups</w:t>
      </w:r>
    </w:p>
    <w:p w14:paraId="3911EAE2" w14:textId="19536CDC" w:rsidR="00E03BF6" w:rsidRDefault="00E03BF6" w:rsidP="00E03BF6">
      <w:pPr>
        <w:pStyle w:val="Lijstalinea"/>
        <w:ind w:left="360"/>
      </w:pPr>
      <w:r w:rsidRPr="00B038ED">
        <w:rPr>
          <w:b/>
          <w:bCs/>
        </w:rPr>
        <w:t>Bijlage 6</w:t>
      </w:r>
      <w:r w:rsidR="00CD2447">
        <w:t xml:space="preserve"> -</w:t>
      </w:r>
      <w:r>
        <w:t xml:space="preserve"> Personele en fysieke beveiliging</w:t>
      </w:r>
    </w:p>
    <w:p w14:paraId="7F6CA7CE" w14:textId="7E3B56C4" w:rsidR="00E03BF6" w:rsidRDefault="00E03BF6" w:rsidP="00E03BF6">
      <w:pPr>
        <w:pStyle w:val="Lijstalinea"/>
        <w:ind w:left="360"/>
      </w:pPr>
      <w:r w:rsidRPr="00B038ED">
        <w:rPr>
          <w:b/>
          <w:bCs/>
        </w:rPr>
        <w:t>Bijlage 7</w:t>
      </w:r>
      <w:r w:rsidR="00CD2447">
        <w:rPr>
          <w:b/>
          <w:bCs/>
        </w:rPr>
        <w:t xml:space="preserve"> -</w:t>
      </w:r>
      <w:r>
        <w:t xml:space="preserve"> Training en bewustzijn</w:t>
      </w:r>
    </w:p>
    <w:p w14:paraId="066E8386" w14:textId="6128968D" w:rsidR="00E03BF6" w:rsidRDefault="00E03BF6" w:rsidP="00E03BF6">
      <w:pPr>
        <w:pStyle w:val="Lijstalinea"/>
        <w:ind w:left="360"/>
      </w:pPr>
      <w:r w:rsidRPr="00B038ED">
        <w:rPr>
          <w:b/>
          <w:bCs/>
        </w:rPr>
        <w:t>Bijlage 8</w:t>
      </w:r>
      <w:r w:rsidR="00CD2447">
        <w:t xml:space="preserve"> -</w:t>
      </w:r>
      <w:r>
        <w:t xml:space="preserve"> Patchmanagement</w:t>
      </w:r>
    </w:p>
    <w:p w14:paraId="58B85E8E" w14:textId="58BBDC78" w:rsidR="00E03BF6" w:rsidRDefault="00E03BF6" w:rsidP="00E03BF6">
      <w:pPr>
        <w:pStyle w:val="Lijstalinea"/>
        <w:ind w:left="360"/>
      </w:pPr>
      <w:r w:rsidRPr="00B038ED">
        <w:rPr>
          <w:b/>
          <w:bCs/>
        </w:rPr>
        <w:t>Bijlage 9</w:t>
      </w:r>
      <w:r w:rsidR="00CD2447">
        <w:t xml:space="preserve"> -</w:t>
      </w:r>
      <w:r>
        <w:t xml:space="preserve"> Vulnerability management </w:t>
      </w:r>
    </w:p>
    <w:p w14:paraId="3410543D" w14:textId="21187D23" w:rsidR="00E03BF6" w:rsidRDefault="00E03BF6" w:rsidP="00E03BF6">
      <w:pPr>
        <w:pStyle w:val="Lijstalinea"/>
        <w:ind w:left="360"/>
      </w:pPr>
      <w:r w:rsidRPr="00B038ED">
        <w:rPr>
          <w:b/>
          <w:bCs/>
        </w:rPr>
        <w:t>Bijlage 10</w:t>
      </w:r>
      <w:r w:rsidR="00CD2447">
        <w:t xml:space="preserve"> -</w:t>
      </w:r>
      <w:r>
        <w:t xml:space="preserve"> Continuïteitsbeheer</w:t>
      </w:r>
    </w:p>
    <w:p w14:paraId="7AB58C6A" w14:textId="15388FDA" w:rsidR="00F53D64" w:rsidRDefault="00E03BF6" w:rsidP="00F53D64">
      <w:pPr>
        <w:pStyle w:val="Lijstalinea"/>
        <w:ind w:left="360"/>
      </w:pPr>
      <w:r w:rsidRPr="00B038ED">
        <w:rPr>
          <w:b/>
          <w:bCs/>
        </w:rPr>
        <w:t>Bijlage 11</w:t>
      </w:r>
      <w:r w:rsidR="00CD2447">
        <w:rPr>
          <w:b/>
          <w:bCs/>
        </w:rPr>
        <w:t xml:space="preserve"> -</w:t>
      </w:r>
      <w:r>
        <w:t xml:space="preserve"> Softwareontwikkeling</w:t>
      </w:r>
    </w:p>
    <w:p w14:paraId="16571A96" w14:textId="6F6AE454" w:rsidR="00F53D64" w:rsidRDefault="00E03BF6" w:rsidP="00F53D64">
      <w:pPr>
        <w:pStyle w:val="Lijstalinea"/>
        <w:ind w:left="360"/>
      </w:pPr>
      <w:r w:rsidRPr="00F53D64">
        <w:rPr>
          <w:b/>
          <w:bCs/>
        </w:rPr>
        <w:t>Bijlage 12</w:t>
      </w:r>
      <w:r w:rsidR="00CD2447">
        <w:rPr>
          <w:b/>
          <w:bCs/>
        </w:rPr>
        <w:t xml:space="preserve"> -</w:t>
      </w:r>
      <w:r>
        <w:t xml:space="preserve"> Logging &amp; </w:t>
      </w:r>
      <w:r w:rsidR="006C3DC9">
        <w:t>B</w:t>
      </w:r>
      <w:r>
        <w:t>eveiligingscontroles</w:t>
      </w:r>
      <w:bookmarkStart w:id="3" w:name="_Hlk193374405"/>
    </w:p>
    <w:p w14:paraId="5F26FF3E" w14:textId="77777777" w:rsidR="00F53D64" w:rsidRDefault="00F53D64" w:rsidP="00F53D64">
      <w:pPr>
        <w:pStyle w:val="Lijstalinea"/>
        <w:ind w:left="360"/>
      </w:pPr>
    </w:p>
    <w:bookmarkEnd w:id="3"/>
    <w:p w14:paraId="0C22AC0C" w14:textId="1904E086" w:rsidR="00F53D64" w:rsidRDefault="0055311D" w:rsidP="00133C63">
      <w:pPr>
        <w:pStyle w:val="Lijstalinea"/>
        <w:numPr>
          <w:ilvl w:val="1"/>
          <w:numId w:val="3"/>
        </w:numPr>
        <w:jc w:val="both"/>
      </w:pPr>
      <w:r>
        <w:t>Wederpartij</w:t>
      </w:r>
      <w:r w:rsidR="00F53D64" w:rsidRPr="00F53D64">
        <w:t xml:space="preserve"> beschikt over een onafhankelijk gecertificeerd kwaliteitssysteem voor beveiliging </w:t>
      </w:r>
      <w:r w:rsidR="00BA736A" w:rsidRPr="00F53D64">
        <w:t xml:space="preserve">(ISO 27001, </w:t>
      </w:r>
      <w:r w:rsidR="008116B2">
        <w:t xml:space="preserve">ISO </w:t>
      </w:r>
      <w:r w:rsidR="00BA736A" w:rsidRPr="00F53D64">
        <w:t xml:space="preserve">9001 of gelijkwaardig) </w:t>
      </w:r>
      <w:r w:rsidR="00F53D64" w:rsidRPr="00F53D64">
        <w:t xml:space="preserve">dat voldoet aan de eisen van de Plan-Do-Check-Act cyclus. Dit </w:t>
      </w:r>
      <w:r w:rsidR="00F53D64" w:rsidRPr="00F53D64">
        <w:lastRenderedPageBreak/>
        <w:t xml:space="preserve">kwaliteitssysteem moet gericht zijn op de bescherming van alle Werkzaamheden, goederen en/of diensten die </w:t>
      </w:r>
      <w:r>
        <w:t>Wederpartij</w:t>
      </w:r>
      <w:r w:rsidR="00F53D64" w:rsidRPr="00F53D64">
        <w:t xml:space="preserve"> levert aan dan wel inzet ten behoeve van Enexis.</w:t>
      </w:r>
    </w:p>
    <w:p w14:paraId="628142A2" w14:textId="3662E437" w:rsidR="00133C63" w:rsidRPr="00133C63" w:rsidRDefault="0055311D" w:rsidP="00133C63">
      <w:pPr>
        <w:pStyle w:val="Lijstalinea"/>
        <w:numPr>
          <w:ilvl w:val="1"/>
          <w:numId w:val="3"/>
        </w:numPr>
        <w:jc w:val="both"/>
      </w:pPr>
      <w:r>
        <w:t>Wederpartij</w:t>
      </w:r>
      <w:r w:rsidR="00133C63" w:rsidRPr="00133C63">
        <w:t xml:space="preserve"> implementeert tijdig maatregelen </w:t>
      </w:r>
      <w:r w:rsidR="00200451">
        <w:t xml:space="preserve">conform </w:t>
      </w:r>
      <w:r w:rsidR="00200451" w:rsidRPr="00200451">
        <w:t xml:space="preserve">ISO 27001 </w:t>
      </w:r>
      <w:r w:rsidR="00200451">
        <w:t xml:space="preserve">of gelijkwaardig </w:t>
      </w:r>
      <w:r w:rsidR="00133C63" w:rsidRPr="00133C63">
        <w:t xml:space="preserve">om de beveiliging te waarborgen. Deze Beveiligingsmaatregelen omvatten technische, fysieke en organisatorische maatregelen waarbij minimaal </w:t>
      </w:r>
      <w:r w:rsidR="00957949">
        <w:t>is</w:t>
      </w:r>
      <w:r w:rsidR="00133C63" w:rsidRPr="00133C63">
        <w:t xml:space="preserve"> geïmplementeerd: </w:t>
      </w:r>
    </w:p>
    <w:p w14:paraId="13E6396A" w14:textId="77777777" w:rsidR="00133C63" w:rsidRPr="00133C63" w:rsidRDefault="00133C63" w:rsidP="00E73F44">
      <w:pPr>
        <w:pStyle w:val="Lijstalinea"/>
        <w:numPr>
          <w:ilvl w:val="0"/>
          <w:numId w:val="9"/>
        </w:numPr>
        <w:jc w:val="both"/>
      </w:pPr>
      <w:r w:rsidRPr="00133C63">
        <w:t xml:space="preserve">(security) risico management, waaronder beleid en procedures voor het beoordelen van de effectiviteit van maatregelen; </w:t>
      </w:r>
    </w:p>
    <w:p w14:paraId="023554F4" w14:textId="77777777" w:rsidR="00133C63" w:rsidRPr="00133C63" w:rsidRDefault="00133C63" w:rsidP="00E73F44">
      <w:pPr>
        <w:pStyle w:val="Lijstalinea"/>
        <w:numPr>
          <w:ilvl w:val="0"/>
          <w:numId w:val="9"/>
        </w:numPr>
        <w:jc w:val="both"/>
      </w:pPr>
      <w:r w:rsidRPr="00133C63">
        <w:t>adequate fysieke bescherming van relevante gebouwen en infrastructuur;</w:t>
      </w:r>
    </w:p>
    <w:p w14:paraId="5308C604" w14:textId="44430BA4" w:rsidR="00133C63" w:rsidRPr="00133C63" w:rsidRDefault="00B02540" w:rsidP="00E73F44">
      <w:pPr>
        <w:pStyle w:val="Lijstalinea"/>
        <w:numPr>
          <w:ilvl w:val="0"/>
          <w:numId w:val="9"/>
        </w:numPr>
        <w:jc w:val="both"/>
      </w:pPr>
      <w:r>
        <w:t>i</w:t>
      </w:r>
      <w:r w:rsidR="00133C63" w:rsidRPr="00133C63">
        <w:t xml:space="preserve">ncidentvoorkoming en -afhandeling en het herstel daarvan; </w:t>
      </w:r>
    </w:p>
    <w:p w14:paraId="12A17C32" w14:textId="77777777" w:rsidR="00133C63" w:rsidRPr="007A2C7D" w:rsidRDefault="00133C63" w:rsidP="00E73F44">
      <w:pPr>
        <w:pStyle w:val="Lijstalinea"/>
        <w:numPr>
          <w:ilvl w:val="0"/>
          <w:numId w:val="9"/>
        </w:numPr>
        <w:jc w:val="both"/>
        <w:rPr>
          <w:lang w:val="en-GB"/>
        </w:rPr>
      </w:pPr>
      <w:r w:rsidRPr="007A2C7D">
        <w:rPr>
          <w:lang w:val="en-GB"/>
        </w:rPr>
        <w:t xml:space="preserve">business continuity maatregelen, waaronder business continuity management, back-up management, disaster recovery en crisis management; </w:t>
      </w:r>
    </w:p>
    <w:p w14:paraId="5826547E" w14:textId="641935E4" w:rsidR="00133C63" w:rsidRPr="00133C63" w:rsidRDefault="00133C63" w:rsidP="00E73F44">
      <w:pPr>
        <w:pStyle w:val="Lijstalinea"/>
        <w:numPr>
          <w:ilvl w:val="0"/>
          <w:numId w:val="9"/>
        </w:numPr>
        <w:jc w:val="both"/>
      </w:pPr>
      <w:r w:rsidRPr="00133C63">
        <w:t xml:space="preserve">beveiliging van de keten van </w:t>
      </w:r>
      <w:r w:rsidR="0055311D">
        <w:t>Wederpartij</w:t>
      </w:r>
      <w:r w:rsidR="00E76C7D">
        <w:t xml:space="preserve"> (lees: in relatie tot Derden); </w:t>
      </w:r>
    </w:p>
    <w:p w14:paraId="518446CE" w14:textId="77777777" w:rsidR="00133C63" w:rsidRPr="00133C63" w:rsidRDefault="00133C63" w:rsidP="00E73F44">
      <w:pPr>
        <w:pStyle w:val="Lijstalinea"/>
        <w:numPr>
          <w:ilvl w:val="0"/>
          <w:numId w:val="9"/>
        </w:numPr>
        <w:jc w:val="both"/>
      </w:pPr>
      <w:r w:rsidRPr="00133C63">
        <w:t xml:space="preserve">beveiliging bij de aanschaf, ontwikkeling en onderhoud van netwerk- en informatiesystemen; </w:t>
      </w:r>
    </w:p>
    <w:p w14:paraId="5A9D2F4A" w14:textId="52CB74DC" w:rsidR="00133C63" w:rsidRPr="00133C63" w:rsidRDefault="00133C63" w:rsidP="00E73F44">
      <w:pPr>
        <w:pStyle w:val="Lijstalinea"/>
        <w:numPr>
          <w:ilvl w:val="0"/>
          <w:numId w:val="9"/>
        </w:numPr>
        <w:jc w:val="both"/>
      </w:pPr>
      <w:r w:rsidRPr="00133C63">
        <w:t xml:space="preserve">bewustwording en training van medewerkers op het gebied van </w:t>
      </w:r>
      <w:r w:rsidR="00B02540">
        <w:t>b</w:t>
      </w:r>
      <w:r w:rsidRPr="00133C63">
        <w:t xml:space="preserve">eveiliging; </w:t>
      </w:r>
    </w:p>
    <w:p w14:paraId="5B2C1DA5" w14:textId="4958BE4B" w:rsidR="00133C63" w:rsidRPr="00133C63" w:rsidRDefault="00133C63" w:rsidP="00E73F44">
      <w:pPr>
        <w:pStyle w:val="Lijstalinea"/>
        <w:numPr>
          <w:ilvl w:val="0"/>
          <w:numId w:val="9"/>
        </w:numPr>
        <w:jc w:val="both"/>
      </w:pPr>
      <w:r w:rsidRPr="00133C63">
        <w:t>logische Toegangsbeveiliging, waaronder de toepassing van multi-factor authenticatie en logging;</w:t>
      </w:r>
      <w:r w:rsidR="00866616">
        <w:t xml:space="preserve"> </w:t>
      </w:r>
      <w:r w:rsidRPr="00133C63">
        <w:t xml:space="preserve"> </w:t>
      </w:r>
    </w:p>
    <w:p w14:paraId="467A3522" w14:textId="77777777" w:rsidR="00133C63" w:rsidRPr="00133C63" w:rsidRDefault="00133C63" w:rsidP="00E73F44">
      <w:pPr>
        <w:pStyle w:val="Lijstalinea"/>
        <w:numPr>
          <w:ilvl w:val="0"/>
          <w:numId w:val="9"/>
        </w:numPr>
        <w:jc w:val="both"/>
      </w:pPr>
      <w:r w:rsidRPr="00133C63">
        <w:t xml:space="preserve">personele bescherming, waaronder fysieke toegang en bescherming van bedrijfsmiddelen. </w:t>
      </w:r>
    </w:p>
    <w:p w14:paraId="594E9149" w14:textId="38F1926D" w:rsidR="003E54CD" w:rsidRDefault="0055311D" w:rsidP="00C7788F">
      <w:pPr>
        <w:pStyle w:val="Lijstalinea"/>
        <w:numPr>
          <w:ilvl w:val="1"/>
          <w:numId w:val="3"/>
        </w:numPr>
        <w:jc w:val="both"/>
      </w:pPr>
      <w:r>
        <w:t>Wederpartij</w:t>
      </w:r>
      <w:r w:rsidR="003E54CD" w:rsidRPr="003E54CD">
        <w:t xml:space="preserve"> </w:t>
      </w:r>
      <w:r w:rsidR="003E54CD">
        <w:t>houdt</w:t>
      </w:r>
      <w:r w:rsidR="003E54CD" w:rsidRPr="003E54CD">
        <w:t xml:space="preserve"> adequate documentatie</w:t>
      </w:r>
      <w:r w:rsidR="00F20841">
        <w:t xml:space="preserve"> en </w:t>
      </w:r>
      <w:r w:rsidR="009032F5">
        <w:t xml:space="preserve">een </w:t>
      </w:r>
      <w:r w:rsidR="00F20841">
        <w:t>overzicht</w:t>
      </w:r>
      <w:r w:rsidR="003E54CD" w:rsidRPr="003E54CD">
        <w:t xml:space="preserve"> bij van alle </w:t>
      </w:r>
      <w:r w:rsidR="003E54CD">
        <w:t xml:space="preserve">getroffen </w:t>
      </w:r>
      <w:r w:rsidR="003E54CD" w:rsidRPr="003E54CD">
        <w:t xml:space="preserve">Beveiligingsmaatregelen zoals bedoeld in dit DV&amp;P Addendum en verstrekt op verzoek een kopie daarvan aan Enexis.  </w:t>
      </w:r>
    </w:p>
    <w:p w14:paraId="26D708CD" w14:textId="77777777" w:rsidR="0099224B" w:rsidRPr="003E54CD" w:rsidRDefault="0099224B" w:rsidP="0099224B">
      <w:pPr>
        <w:pStyle w:val="Lijstalinea"/>
        <w:ind w:left="360"/>
      </w:pPr>
    </w:p>
    <w:p w14:paraId="37FBD061" w14:textId="0731DB58" w:rsidR="004017A4" w:rsidRDefault="004B0A98" w:rsidP="00A60F35">
      <w:pPr>
        <w:pStyle w:val="Kop1"/>
      </w:pPr>
      <w:bookmarkStart w:id="4" w:name="_Toc199338643"/>
      <w:r>
        <w:t>GEHEIMHOUDING EN VERWERKING VAN GEGEVENS</w:t>
      </w:r>
      <w:bookmarkEnd w:id="4"/>
      <w:r>
        <w:t xml:space="preserve"> </w:t>
      </w:r>
      <w:r w:rsidR="00A60F35">
        <w:t xml:space="preserve"> </w:t>
      </w:r>
    </w:p>
    <w:p w14:paraId="0C6A44B6" w14:textId="7CFC78CF" w:rsidR="00C7788F" w:rsidRPr="00C7788F" w:rsidRDefault="008869A0" w:rsidP="008869A0">
      <w:pPr>
        <w:pStyle w:val="Lijstalinea"/>
        <w:numPr>
          <w:ilvl w:val="1"/>
          <w:numId w:val="3"/>
        </w:numPr>
      </w:pPr>
      <w:r w:rsidRPr="008869A0">
        <w:t>In aanvulling op artikel 12.1 AV</w:t>
      </w:r>
      <w:r>
        <w:t>,</w:t>
      </w:r>
      <w:r w:rsidRPr="008869A0">
        <w:t xml:space="preserve"> geldt met betrekking tot Vertrouwelijke Informatie en Persoonsgegevens dat Wederpartij Informatie uitsluitend voor de uitvoering van de Hoofdovereenkomst mag gebruiken en deze niet bekend</w:t>
      </w:r>
      <w:r>
        <w:t xml:space="preserve"> maakt, kopieert, reproduceert of voor eigen doeleinden gebruikt zonder </w:t>
      </w:r>
      <w:r w:rsidRPr="008869A0">
        <w:t>voorafgaande toestemming van Enexis.</w:t>
      </w:r>
    </w:p>
    <w:p w14:paraId="488F129B" w14:textId="399F71CA" w:rsidR="00E55CBE" w:rsidRPr="00E55CBE" w:rsidRDefault="00E55CBE" w:rsidP="00412D5E">
      <w:pPr>
        <w:pStyle w:val="Lijstalinea"/>
        <w:numPr>
          <w:ilvl w:val="1"/>
          <w:numId w:val="3"/>
        </w:numPr>
        <w:jc w:val="both"/>
      </w:pPr>
      <w:r>
        <w:t>I</w:t>
      </w:r>
      <w:r w:rsidRPr="00E55CBE">
        <w:t xml:space="preserve">ndien Enexis aan </w:t>
      </w:r>
      <w:r w:rsidR="0055311D">
        <w:t>Wederpartij</w:t>
      </w:r>
      <w:r w:rsidRPr="00E55CBE">
        <w:t xml:space="preserve"> toestemming verstrekt, mag de</w:t>
      </w:r>
      <w:r w:rsidR="002456B5">
        <w:t>ze</w:t>
      </w:r>
      <w:r w:rsidRPr="00E55CBE">
        <w:t xml:space="preserve"> Informatie slechts aan die personen voor wie toestemming verkregen is openbaar worden gemaakt met inachtneming van de </w:t>
      </w:r>
      <w:r w:rsidR="002456B5">
        <w:t xml:space="preserve">overige </w:t>
      </w:r>
      <w:r w:rsidRPr="00E55CBE">
        <w:t xml:space="preserve">voorwaarden zoals gesteld in dit DV&amp;P Addendum en met dien verstande dat </w:t>
      </w:r>
      <w:r w:rsidR="000138B0">
        <w:t>h</w:t>
      </w:r>
      <w:r w:rsidRPr="00E55CBE">
        <w:t xml:space="preserve">ij de verkregen Informatie op geen enkele wijze aan derden openbaar maken, kopiëren, reproduceren </w:t>
      </w:r>
      <w:r w:rsidR="002456B5">
        <w:t>en/</w:t>
      </w:r>
      <w:r w:rsidRPr="00E55CBE">
        <w:t>of verspreiden.</w:t>
      </w:r>
    </w:p>
    <w:p w14:paraId="45EAEE3F" w14:textId="44CD10FF" w:rsidR="006D3326" w:rsidRPr="006D3326" w:rsidRDefault="00EF003D" w:rsidP="00412D5E">
      <w:pPr>
        <w:pStyle w:val="Lijstalinea"/>
        <w:numPr>
          <w:ilvl w:val="1"/>
          <w:numId w:val="3"/>
        </w:numPr>
        <w:jc w:val="both"/>
      </w:pPr>
      <w:r>
        <w:t>De verplichtingen uit artikel 3.1 en artikel 3.2 van dit DV&amp;P Addendum zijn niet van toepassing op Informatie die</w:t>
      </w:r>
      <w:r w:rsidR="00F32644">
        <w:t xml:space="preserve"> op het moment van verstrekken door Enexis openbaar is en/of die </w:t>
      </w:r>
      <w:r w:rsidR="001D7DB9">
        <w:t>op grond van</w:t>
      </w:r>
      <w:r w:rsidR="00F32644">
        <w:t xml:space="preserve"> een wettelijke bepaling of voorschrift </w:t>
      </w:r>
      <w:r w:rsidR="002F36D6">
        <w:t xml:space="preserve">openbaar gemaakt moet worden, mits </w:t>
      </w:r>
      <w:r w:rsidR="00D50D30">
        <w:t xml:space="preserve">Partijen voorafgaand </w:t>
      </w:r>
      <w:r w:rsidR="006D3326" w:rsidRPr="006D3326">
        <w:t>de voorgestelde vorm, het tijdspad, de aard en het doel van de bekendmaking</w:t>
      </w:r>
      <w:r w:rsidR="00D50D30">
        <w:t xml:space="preserve"> hebben afgestemd.</w:t>
      </w:r>
    </w:p>
    <w:p w14:paraId="2D71A0EC" w14:textId="303BBDE6" w:rsidR="00072399" w:rsidRPr="00072399" w:rsidRDefault="005B341C" w:rsidP="00412D5E">
      <w:pPr>
        <w:pStyle w:val="Lijstalinea"/>
        <w:numPr>
          <w:ilvl w:val="1"/>
          <w:numId w:val="3"/>
        </w:numPr>
        <w:jc w:val="both"/>
      </w:pPr>
      <w:r>
        <w:t xml:space="preserve">Op </w:t>
      </w:r>
      <w:r w:rsidR="004E5631">
        <w:t xml:space="preserve">schriftelijk verzoek van Enexis en/of </w:t>
      </w:r>
      <w:r w:rsidR="007F0F48">
        <w:t>na afloop van de Hoofdovereenkomst</w:t>
      </w:r>
      <w:r>
        <w:t>,</w:t>
      </w:r>
      <w:r w:rsidR="002D7E6C">
        <w:t xml:space="preserve"> geeft </w:t>
      </w:r>
      <w:r w:rsidR="0055311D">
        <w:t>Wederpartij</w:t>
      </w:r>
      <w:r w:rsidR="007F0F48">
        <w:t xml:space="preserve"> alle door Enexis verstrekte goederen </w:t>
      </w:r>
      <w:r w:rsidR="0052147F">
        <w:t xml:space="preserve">die Informatie bevatten terug. </w:t>
      </w:r>
      <w:r w:rsidR="0055311D">
        <w:t>Wederpartij</w:t>
      </w:r>
      <w:r w:rsidR="00AB45D2">
        <w:t xml:space="preserve"> retourneert</w:t>
      </w:r>
      <w:r w:rsidR="0052147F">
        <w:t xml:space="preserve"> </w:t>
      </w:r>
      <w:r w:rsidR="004E5631">
        <w:t xml:space="preserve">zo spoedig mogelijk, en zonder het houden van kopieën, alle </w:t>
      </w:r>
      <w:r w:rsidR="002E3B55">
        <w:t>Informatie</w:t>
      </w:r>
      <w:r w:rsidR="00DE6565">
        <w:t xml:space="preserve"> en verwijdert deze vervolgens onherstelbaar</w:t>
      </w:r>
      <w:r w:rsidR="004E5631">
        <w:t xml:space="preserve">, </w:t>
      </w:r>
      <w:r w:rsidR="00072399" w:rsidRPr="00072399">
        <w:t xml:space="preserve">tenzij </w:t>
      </w:r>
      <w:r w:rsidR="00BC7076">
        <w:t>h</w:t>
      </w:r>
      <w:r w:rsidR="00DE6565">
        <w:t xml:space="preserve">ij </w:t>
      </w:r>
      <w:r w:rsidR="00072399" w:rsidRPr="00072399">
        <w:t xml:space="preserve">op grond van </w:t>
      </w:r>
      <w:r w:rsidR="00412D5E">
        <w:t xml:space="preserve">een wettelijk voorschrift </w:t>
      </w:r>
      <w:r w:rsidR="00072399" w:rsidRPr="00072399">
        <w:t>gehouden is</w:t>
      </w:r>
      <w:r w:rsidR="00DE6565">
        <w:t xml:space="preserve"> bepaalde</w:t>
      </w:r>
      <w:r w:rsidR="00072399" w:rsidRPr="00072399">
        <w:t xml:space="preserve"> Informatie te bewaren. Op verzoek van Enexis </w:t>
      </w:r>
      <w:r w:rsidR="00D2131E">
        <w:t>geeft</w:t>
      </w:r>
      <w:r w:rsidR="00072399" w:rsidRPr="00072399">
        <w:t xml:space="preserve"> </w:t>
      </w:r>
      <w:r w:rsidR="0055311D">
        <w:t>Wederpartij</w:t>
      </w:r>
      <w:r w:rsidR="00072399" w:rsidRPr="00072399">
        <w:t xml:space="preserve"> een schriftelijke verklaring a</w:t>
      </w:r>
      <w:r w:rsidR="004E5631">
        <w:t xml:space="preserve">f </w:t>
      </w:r>
      <w:r w:rsidR="00072399" w:rsidRPr="00072399">
        <w:t xml:space="preserve">waarin </w:t>
      </w:r>
      <w:r w:rsidR="00BC7076">
        <w:t>h</w:t>
      </w:r>
      <w:r w:rsidR="004E5631">
        <w:t>ij</w:t>
      </w:r>
      <w:r w:rsidR="00072399" w:rsidRPr="00072399">
        <w:t xml:space="preserve"> bevestigt deze verwijdering te hebben uitgevoerd, en welke </w:t>
      </w:r>
      <w:r w:rsidR="00412D5E">
        <w:t>I</w:t>
      </w:r>
      <w:r w:rsidR="00072399" w:rsidRPr="00072399">
        <w:t xml:space="preserve">nformatie </w:t>
      </w:r>
      <w:r w:rsidR="00BC7076">
        <w:t>h</w:t>
      </w:r>
      <w:r w:rsidR="00072399" w:rsidRPr="00072399">
        <w:t xml:space="preserve">ij </w:t>
      </w:r>
      <w:r w:rsidR="00412D5E">
        <w:t xml:space="preserve">eventueel </w:t>
      </w:r>
      <w:r w:rsidR="00072399" w:rsidRPr="00072399">
        <w:t xml:space="preserve">nog </w:t>
      </w:r>
      <w:r w:rsidR="00D2131E">
        <w:t xml:space="preserve">bewaart </w:t>
      </w:r>
      <w:r w:rsidR="00412D5E">
        <w:t>op grond van een wettelijk voorschrift</w:t>
      </w:r>
      <w:r w:rsidR="00072399" w:rsidRPr="00072399">
        <w:t xml:space="preserve">. </w:t>
      </w:r>
      <w:r w:rsidR="0055311D">
        <w:t>Wederpartij</w:t>
      </w:r>
      <w:r w:rsidR="00072399" w:rsidRPr="00072399">
        <w:t xml:space="preserve"> </w:t>
      </w:r>
      <w:r w:rsidR="00D176C9">
        <w:t>retourneert</w:t>
      </w:r>
      <w:r w:rsidR="00072399" w:rsidRPr="00072399">
        <w:t xml:space="preserve"> </w:t>
      </w:r>
      <w:r w:rsidR="00412D5E">
        <w:t xml:space="preserve">de Informatie aan Enexis </w:t>
      </w:r>
      <w:r w:rsidR="00072399" w:rsidRPr="00072399">
        <w:t>in een bestandsformaat dat door Enexis kan worden ingelezen</w:t>
      </w:r>
      <w:r w:rsidR="00412D5E">
        <w:t xml:space="preserve"> en zorgt hierbij </w:t>
      </w:r>
      <w:r w:rsidR="00072399" w:rsidRPr="00072399">
        <w:t xml:space="preserve">dat de integriteit en bruikbaarheid van de Informatie gewaarborgd blijft. </w:t>
      </w:r>
    </w:p>
    <w:p w14:paraId="13B89BCF" w14:textId="1AB3BFB9" w:rsidR="00CF1DDC" w:rsidRPr="00CF1DDC" w:rsidRDefault="00CF1DDC" w:rsidP="00310630">
      <w:pPr>
        <w:pStyle w:val="Lijstalinea"/>
        <w:numPr>
          <w:ilvl w:val="1"/>
          <w:numId w:val="3"/>
        </w:numPr>
        <w:jc w:val="both"/>
      </w:pPr>
      <w:r w:rsidRPr="00CF1DDC">
        <w:t xml:space="preserve">Deze verplichting tot geheimhouding geldt vanaf het moment van ondertekening van de Hoofdovereenkomst en </w:t>
      </w:r>
      <w:r w:rsidR="00D2131E">
        <w:t>is</w:t>
      </w:r>
      <w:r w:rsidRPr="00CF1DDC">
        <w:t xml:space="preserve"> van toepassing tot </w:t>
      </w:r>
      <w:r w:rsidRPr="00F53D64">
        <w:t>tien (10) jaar</w:t>
      </w:r>
      <w:r w:rsidRPr="00CF1DDC">
        <w:t xml:space="preserve"> na het eindigen </w:t>
      </w:r>
      <w:r w:rsidR="00DE6565">
        <w:t xml:space="preserve">daarvan. </w:t>
      </w:r>
    </w:p>
    <w:p w14:paraId="45128FF9" w14:textId="7DEA581D" w:rsidR="00892D61" w:rsidRPr="00892D61" w:rsidRDefault="00647770" w:rsidP="005026A9">
      <w:pPr>
        <w:pStyle w:val="Lijstalinea"/>
        <w:numPr>
          <w:ilvl w:val="1"/>
          <w:numId w:val="3"/>
        </w:numPr>
      </w:pPr>
      <w:r>
        <w:t xml:space="preserve">Als </w:t>
      </w:r>
      <w:r w:rsidR="005E0D36" w:rsidRPr="005E0D36">
        <w:t>Partijen bij de uitvoering van de Hoofdovereenkomst overeenkomstig artikel 22.2 AV een Verwerkersovereenkomst</w:t>
      </w:r>
      <w:r w:rsidR="0075183C">
        <w:t xml:space="preserve"> hebben gesloten</w:t>
      </w:r>
      <w:r w:rsidR="005E0D36" w:rsidRPr="005E0D36">
        <w:t xml:space="preserve">, zal in het geval van tegenstrijdigheden tussen dit DV&amp;P Addendum en die Verwerkersovereenkomst, hetgeen </w:t>
      </w:r>
      <w:r w:rsidR="0075183C">
        <w:t xml:space="preserve">is </w:t>
      </w:r>
      <w:r w:rsidR="005E0D36" w:rsidRPr="005E0D36">
        <w:t xml:space="preserve">opgenomen in de Verwerkersovereenkomst prevaleren. </w:t>
      </w:r>
    </w:p>
    <w:p w14:paraId="13ECDA03" w14:textId="3F9E994C" w:rsidR="00AE686E" w:rsidRPr="00AE686E" w:rsidRDefault="00AE686E" w:rsidP="00E34FF0">
      <w:pPr>
        <w:pStyle w:val="Lijstalinea"/>
        <w:numPr>
          <w:ilvl w:val="1"/>
          <w:numId w:val="3"/>
        </w:numPr>
        <w:jc w:val="both"/>
      </w:pPr>
      <w:r w:rsidRPr="00AE686E">
        <w:t xml:space="preserve">Tenzij Enexis hiervoor </w:t>
      </w:r>
      <w:r w:rsidR="00DA1E2C">
        <w:t xml:space="preserve">specifieke </w:t>
      </w:r>
      <w:r w:rsidRPr="00AE686E">
        <w:t xml:space="preserve">toestemming heeft verleend, zal </w:t>
      </w:r>
      <w:r w:rsidR="0055311D">
        <w:t>Wederpartij</w:t>
      </w:r>
      <w:r w:rsidRPr="00AE686E">
        <w:t xml:space="preserve"> in de uitvoering van de Hoofdovereenkomst geen Informatie verwerken in c.q. verstrekken aan landen buiten de Europese Economische Ruimte. </w:t>
      </w:r>
      <w:r w:rsidR="0055311D">
        <w:t>Wederpartij</w:t>
      </w:r>
      <w:r w:rsidRPr="00AE686E">
        <w:t xml:space="preserve"> </w:t>
      </w:r>
      <w:r w:rsidR="00D2131E">
        <w:t>houdt</w:t>
      </w:r>
      <w:r w:rsidRPr="00AE686E">
        <w:t xml:space="preserve"> in</w:t>
      </w:r>
      <w:r w:rsidR="005D1CA1">
        <w:t xml:space="preserve"> </w:t>
      </w:r>
      <w:r w:rsidRPr="000061D1">
        <w:rPr>
          <w:b/>
          <w:bCs/>
        </w:rPr>
        <w:t>Bijlage 3</w:t>
      </w:r>
      <w:r w:rsidR="000061D1" w:rsidRPr="000061D1">
        <w:rPr>
          <w:b/>
          <w:bCs/>
        </w:rPr>
        <w:t xml:space="preserve"> -</w:t>
      </w:r>
      <w:r w:rsidR="00E55A48" w:rsidRPr="000061D1">
        <w:rPr>
          <w:b/>
          <w:bCs/>
        </w:rPr>
        <w:t xml:space="preserve"> Locaties Informatie</w:t>
      </w:r>
      <w:r w:rsidRPr="00AE686E">
        <w:t xml:space="preserve"> een centraal </w:t>
      </w:r>
      <w:r w:rsidRPr="00AE686E">
        <w:lastRenderedPageBreak/>
        <w:t>overzicht bij van alle verwerkingslocaties</w:t>
      </w:r>
      <w:r w:rsidR="0083563A">
        <w:t>. Dit</w:t>
      </w:r>
      <w:r w:rsidRPr="00AE686E">
        <w:t xml:space="preserve"> overzicht bevat de naam, het adres en het land van de verwerkingslocatie</w:t>
      </w:r>
      <w:r w:rsidR="00732DC7">
        <w:t xml:space="preserve">, </w:t>
      </w:r>
      <w:r w:rsidRPr="00AE686E">
        <w:t xml:space="preserve">ook voor zover sprake is van </w:t>
      </w:r>
      <w:r w:rsidR="00A91A19">
        <w:t xml:space="preserve">de </w:t>
      </w:r>
      <w:r w:rsidRPr="00AE686E">
        <w:t xml:space="preserve">inschakeling van </w:t>
      </w:r>
      <w:r w:rsidR="00A91A19">
        <w:t xml:space="preserve">een </w:t>
      </w:r>
      <w:r w:rsidRPr="00AE686E">
        <w:t xml:space="preserve">Derde. </w:t>
      </w:r>
      <w:r w:rsidR="00D2131E">
        <w:t>I</w:t>
      </w:r>
      <w:r w:rsidRPr="00AE686E">
        <w:t>n het geval van wijzigingen</w:t>
      </w:r>
      <w:r w:rsidR="00D2131E">
        <w:t xml:space="preserve"> voorziet </w:t>
      </w:r>
      <w:r w:rsidR="0055311D">
        <w:t>Wederpartij</w:t>
      </w:r>
      <w:r w:rsidRPr="00AE686E">
        <w:t xml:space="preserve"> Enexis zo spoedig mogelijk</w:t>
      </w:r>
      <w:r w:rsidR="007D3B39">
        <w:t>,</w:t>
      </w:r>
      <w:r w:rsidRPr="00AE686E">
        <w:t xml:space="preserve"> maar uiterlijk binnen één (1) maand na wijziging</w:t>
      </w:r>
      <w:r w:rsidR="007E259E">
        <w:t>,</w:t>
      </w:r>
      <w:r w:rsidRPr="00AE686E">
        <w:t xml:space="preserve"> </w:t>
      </w:r>
      <w:r w:rsidR="00D2131E">
        <w:t xml:space="preserve">met een nieuwe versie. </w:t>
      </w:r>
    </w:p>
    <w:p w14:paraId="31F10056" w14:textId="5437B38E" w:rsidR="00C7516C" w:rsidRPr="00C7516C" w:rsidRDefault="0055311D" w:rsidP="00E34FF0">
      <w:pPr>
        <w:pStyle w:val="Lijstalinea"/>
        <w:numPr>
          <w:ilvl w:val="1"/>
          <w:numId w:val="3"/>
        </w:numPr>
        <w:jc w:val="both"/>
      </w:pPr>
      <w:r>
        <w:t>Wederpartij</w:t>
      </w:r>
      <w:r w:rsidR="00C7516C" w:rsidRPr="00C7516C">
        <w:t xml:space="preserve"> </w:t>
      </w:r>
      <w:r w:rsidR="00D2131E">
        <w:t>treft</w:t>
      </w:r>
      <w:r w:rsidR="00C7516C" w:rsidRPr="00C7516C">
        <w:t xml:space="preserve"> </w:t>
      </w:r>
      <w:r w:rsidR="007E259E" w:rsidRPr="00C7516C">
        <w:t>in overeenstemming met</w:t>
      </w:r>
      <w:r w:rsidR="00C7516C" w:rsidRPr="00C7516C">
        <w:t xml:space="preserve"> instructies van Enexis passende en erkende maatregelen om verouderde Informatie automatisch te verwijderen dan wel te anonimiseren. Daar waar Informatie nog niet wordt verwijderd </w:t>
      </w:r>
      <w:r w:rsidR="007E259E">
        <w:t xml:space="preserve">of </w:t>
      </w:r>
      <w:r w:rsidR="00C7516C" w:rsidRPr="00C7516C">
        <w:t xml:space="preserve">geanonimiseerd, </w:t>
      </w:r>
      <w:r w:rsidR="00D2131E">
        <w:t xml:space="preserve">wordt deze </w:t>
      </w:r>
      <w:r w:rsidR="00C7516C" w:rsidRPr="00C7516C">
        <w:t xml:space="preserve">waar nodig </w:t>
      </w:r>
      <w:r w:rsidR="00D2131E">
        <w:t xml:space="preserve">door </w:t>
      </w:r>
      <w:r>
        <w:t>Wederpartij</w:t>
      </w:r>
      <w:r w:rsidR="00C7516C" w:rsidRPr="00C7516C">
        <w:t xml:space="preserve"> gemaskeerd </w:t>
      </w:r>
      <w:r w:rsidR="00C7516C">
        <w:t>of</w:t>
      </w:r>
      <w:r w:rsidR="00C7516C" w:rsidRPr="00C7516C">
        <w:t xml:space="preserve"> gepseudonimiseerd</w:t>
      </w:r>
      <w:r w:rsidR="002458FA">
        <w:t xml:space="preserve"> in overeenstemming met</w:t>
      </w:r>
      <w:r w:rsidR="00C7516C" w:rsidRPr="00C7516C">
        <w:t xml:space="preserve"> de Guidelines 01/2025 van de European Data Protection Board.</w:t>
      </w:r>
    </w:p>
    <w:p w14:paraId="71CB1369" w14:textId="39C711A4" w:rsidR="00FB2B7A" w:rsidRPr="00655D88" w:rsidRDefault="008D13B0" w:rsidP="00E34FF0">
      <w:pPr>
        <w:jc w:val="both"/>
      </w:pPr>
      <w:r>
        <w:t xml:space="preserve"> </w:t>
      </w:r>
    </w:p>
    <w:p w14:paraId="26AEDF5D" w14:textId="2B8264F3" w:rsidR="00FB2B7A" w:rsidRDefault="00FB2B7A" w:rsidP="00E34FF0">
      <w:pPr>
        <w:pStyle w:val="Kop1"/>
        <w:jc w:val="both"/>
      </w:pPr>
      <w:bookmarkStart w:id="5" w:name="_Toc199338644"/>
      <w:r>
        <w:t>A</w:t>
      </w:r>
      <w:r w:rsidR="00FC07D4">
        <w:t>UDIT</w:t>
      </w:r>
      <w:bookmarkEnd w:id="5"/>
      <w:r w:rsidR="00FC07D4">
        <w:t xml:space="preserve"> </w:t>
      </w:r>
    </w:p>
    <w:p w14:paraId="6A0C5B6B" w14:textId="045E63C6" w:rsidR="005D380F" w:rsidRPr="00E868FF" w:rsidRDefault="00E94EE3" w:rsidP="00E34FF0">
      <w:pPr>
        <w:pStyle w:val="Lijstalinea"/>
        <w:numPr>
          <w:ilvl w:val="1"/>
          <w:numId w:val="3"/>
        </w:numPr>
        <w:jc w:val="both"/>
        <w:rPr>
          <w:lang w:eastAsia="nl-NL" w:bidi="en-US"/>
        </w:rPr>
      </w:pPr>
      <w:r w:rsidRPr="00E94EE3">
        <w:rPr>
          <w:lang w:eastAsia="nl-NL" w:bidi="en-US"/>
        </w:rPr>
        <w:t xml:space="preserve">In aanvulling op artikel 11.2 en 11.3 AV, geldt tussen Partijen dat </w:t>
      </w:r>
      <w:r w:rsidR="005D380F" w:rsidRPr="00E868FF">
        <w:rPr>
          <w:lang w:eastAsia="nl-NL" w:bidi="en-US"/>
        </w:rPr>
        <w:t xml:space="preserve">Enexis het recht </w:t>
      </w:r>
      <w:r>
        <w:rPr>
          <w:lang w:eastAsia="nl-NL" w:bidi="en-US"/>
        </w:rPr>
        <w:t xml:space="preserve">heeft </w:t>
      </w:r>
      <w:r w:rsidR="005D380F" w:rsidRPr="00E868FF">
        <w:rPr>
          <w:lang w:eastAsia="nl-NL" w:bidi="en-US"/>
        </w:rPr>
        <w:t xml:space="preserve">periodiek toe te (laten) zien op de naleving van dit DV&amp;P Addendum door </w:t>
      </w:r>
      <w:r w:rsidR="0055311D">
        <w:rPr>
          <w:lang w:eastAsia="nl-NL" w:bidi="en-US"/>
        </w:rPr>
        <w:t>Wederpartij</w:t>
      </w:r>
      <w:r w:rsidR="005D380F" w:rsidRPr="00E868FF">
        <w:rPr>
          <w:lang w:eastAsia="nl-NL" w:bidi="en-US"/>
        </w:rPr>
        <w:t xml:space="preserve"> middels een</w:t>
      </w:r>
      <w:r w:rsidR="00FF3D2B">
        <w:rPr>
          <w:lang w:eastAsia="nl-NL" w:bidi="en-US"/>
        </w:rPr>
        <w:t xml:space="preserve"> </w:t>
      </w:r>
      <w:r w:rsidR="00FF3D2B" w:rsidRPr="00FF3D2B">
        <w:rPr>
          <w:lang w:eastAsia="nl-NL" w:bidi="en-US"/>
        </w:rPr>
        <w:t>audit door een onafhankelijke derde partij waarbij de opdracht wordt uitgevoerd door een EDP</w:t>
      </w:r>
      <w:r w:rsidR="006C3DC9">
        <w:rPr>
          <w:lang w:eastAsia="nl-NL" w:bidi="en-US"/>
        </w:rPr>
        <w:t xml:space="preserve"> </w:t>
      </w:r>
      <w:r w:rsidR="00FF3D2B" w:rsidRPr="00FF3D2B">
        <w:rPr>
          <w:lang w:eastAsia="nl-NL" w:bidi="en-US"/>
        </w:rPr>
        <w:t>auditor welke geaccrediteerd is door NOREA of gelijkwaardig</w:t>
      </w:r>
      <w:r w:rsidR="00054A2F">
        <w:rPr>
          <w:lang w:eastAsia="nl-NL" w:bidi="en-US"/>
        </w:rPr>
        <w:t>.</w:t>
      </w:r>
      <w:r w:rsidR="005D380F" w:rsidRPr="00E868FF">
        <w:rPr>
          <w:lang w:eastAsia="nl-NL" w:bidi="en-US"/>
        </w:rPr>
        <w:t xml:space="preserve"> </w:t>
      </w:r>
      <w:r w:rsidR="0055311D">
        <w:rPr>
          <w:lang w:eastAsia="nl-NL" w:bidi="en-US"/>
        </w:rPr>
        <w:t>Wederpartij</w:t>
      </w:r>
      <w:r w:rsidR="005D380F" w:rsidRPr="00E868FF">
        <w:rPr>
          <w:lang w:eastAsia="nl-NL" w:bidi="en-US"/>
        </w:rPr>
        <w:t xml:space="preserve"> </w:t>
      </w:r>
      <w:r w:rsidR="00D2131E">
        <w:rPr>
          <w:lang w:eastAsia="nl-NL" w:bidi="en-US"/>
        </w:rPr>
        <w:t>treft</w:t>
      </w:r>
      <w:r w:rsidR="00214217">
        <w:rPr>
          <w:lang w:eastAsia="nl-NL" w:bidi="en-US"/>
        </w:rPr>
        <w:t xml:space="preserve"> verder</w:t>
      </w:r>
      <w:r w:rsidR="005D380F" w:rsidRPr="00E868FF">
        <w:rPr>
          <w:lang w:eastAsia="nl-NL" w:bidi="en-US"/>
        </w:rPr>
        <w:t xml:space="preserve"> contractuele regelingen met</w:t>
      </w:r>
      <w:r w:rsidR="00E56B9D">
        <w:rPr>
          <w:lang w:eastAsia="nl-NL" w:bidi="en-US"/>
        </w:rPr>
        <w:t xml:space="preserve"> zijn toeleveranciers doe</w:t>
      </w:r>
      <w:r w:rsidR="005D380F" w:rsidRPr="00E868FF">
        <w:rPr>
          <w:lang w:eastAsia="nl-NL" w:bidi="en-US"/>
        </w:rPr>
        <w:t xml:space="preserve"> door Enexis </w:t>
      </w:r>
      <w:r w:rsidR="00E44FE8">
        <w:rPr>
          <w:lang w:eastAsia="nl-NL" w:bidi="en-US"/>
        </w:rPr>
        <w:t xml:space="preserve">zijn </w:t>
      </w:r>
      <w:r w:rsidR="005D380F" w:rsidRPr="00E868FF">
        <w:rPr>
          <w:lang w:eastAsia="nl-NL" w:bidi="en-US"/>
        </w:rPr>
        <w:t xml:space="preserve">aangewezen </w:t>
      </w:r>
      <w:r w:rsidR="00E44FE8">
        <w:rPr>
          <w:lang w:eastAsia="nl-NL" w:bidi="en-US"/>
        </w:rPr>
        <w:t xml:space="preserve">als </w:t>
      </w:r>
      <w:r w:rsidR="00214217">
        <w:rPr>
          <w:lang w:eastAsia="nl-NL" w:bidi="en-US"/>
        </w:rPr>
        <w:t xml:space="preserve">Kritische </w:t>
      </w:r>
      <w:r w:rsidR="005D380F" w:rsidRPr="00E868FF">
        <w:rPr>
          <w:lang w:eastAsia="nl-NL" w:bidi="en-US"/>
        </w:rPr>
        <w:t xml:space="preserve">Derde(n) die voorzien in een dergelijk auditrecht voor Enexis en die doorwerken in de hele toeleveringsketen. </w:t>
      </w:r>
    </w:p>
    <w:p w14:paraId="70E09AB2" w14:textId="3F127D2D" w:rsidR="00F9329E" w:rsidRDefault="0055311D" w:rsidP="00E34FF0">
      <w:pPr>
        <w:pStyle w:val="Lijstalinea"/>
        <w:numPr>
          <w:ilvl w:val="1"/>
          <w:numId w:val="3"/>
        </w:numPr>
        <w:jc w:val="both"/>
        <w:rPr>
          <w:lang w:eastAsia="nl-NL" w:bidi="en-US"/>
        </w:rPr>
      </w:pPr>
      <w:r>
        <w:rPr>
          <w:lang w:eastAsia="nl-NL" w:bidi="en-US"/>
        </w:rPr>
        <w:t>Wederpartij</w:t>
      </w:r>
      <w:r w:rsidR="00083FA0" w:rsidRPr="00083FA0">
        <w:rPr>
          <w:lang w:eastAsia="nl-NL" w:bidi="en-US"/>
        </w:rPr>
        <w:t xml:space="preserve"> </w:t>
      </w:r>
      <w:r w:rsidR="00D2131E">
        <w:rPr>
          <w:lang w:eastAsia="nl-NL" w:bidi="en-US"/>
        </w:rPr>
        <w:t>verleent</w:t>
      </w:r>
      <w:r w:rsidR="00083FA0" w:rsidRPr="00083FA0">
        <w:rPr>
          <w:lang w:eastAsia="nl-NL" w:bidi="en-US"/>
        </w:rPr>
        <w:t xml:space="preserve"> de </w:t>
      </w:r>
      <w:r w:rsidR="002212E6">
        <w:rPr>
          <w:lang w:eastAsia="nl-NL" w:bidi="en-US"/>
        </w:rPr>
        <w:t xml:space="preserve">auditor </w:t>
      </w:r>
      <w:r w:rsidR="00083FA0" w:rsidRPr="00083FA0">
        <w:rPr>
          <w:lang w:eastAsia="nl-NL" w:bidi="en-US"/>
        </w:rPr>
        <w:t>onbelemmerde toegang tot de relevante systemen, documenten en locaties die nodig zijn voor een volledige en effectieve audit. D</w:t>
      </w:r>
      <w:r w:rsidR="00750406">
        <w:rPr>
          <w:lang w:eastAsia="nl-NL" w:bidi="en-US"/>
        </w:rPr>
        <w:t xml:space="preserve">aarnaast verstrekt </w:t>
      </w:r>
      <w:r w:rsidR="00B10A5E">
        <w:rPr>
          <w:lang w:eastAsia="nl-NL" w:bidi="en-US"/>
        </w:rPr>
        <w:t>hij</w:t>
      </w:r>
      <w:r w:rsidR="00750406">
        <w:rPr>
          <w:lang w:eastAsia="nl-NL" w:bidi="en-US"/>
        </w:rPr>
        <w:t xml:space="preserve"> </w:t>
      </w:r>
      <w:r w:rsidR="00083FA0" w:rsidRPr="00083FA0">
        <w:rPr>
          <w:lang w:eastAsia="nl-NL" w:bidi="en-US"/>
        </w:rPr>
        <w:t xml:space="preserve">binnen een redelijke termijn alle relevante informatie, documentatie en rapportages. Indien verbeterpunten en/of tekortkomingen worden geïdentificeerd, </w:t>
      </w:r>
      <w:r w:rsidR="00317250">
        <w:rPr>
          <w:lang w:eastAsia="nl-NL" w:bidi="en-US"/>
        </w:rPr>
        <w:t>documenteert</w:t>
      </w:r>
      <w:r w:rsidR="00083FA0" w:rsidRPr="00083FA0">
        <w:rPr>
          <w:lang w:eastAsia="nl-NL" w:bidi="en-US"/>
        </w:rPr>
        <w:t xml:space="preserve"> </w:t>
      </w:r>
      <w:r>
        <w:rPr>
          <w:lang w:eastAsia="nl-NL" w:bidi="en-US"/>
        </w:rPr>
        <w:t>Wederpartij</w:t>
      </w:r>
      <w:r w:rsidR="00083FA0" w:rsidRPr="00083FA0">
        <w:rPr>
          <w:lang w:eastAsia="nl-NL" w:bidi="en-US"/>
        </w:rPr>
        <w:t xml:space="preserve"> deze en </w:t>
      </w:r>
      <w:r w:rsidR="00317250">
        <w:rPr>
          <w:lang w:eastAsia="nl-NL" w:bidi="en-US"/>
        </w:rPr>
        <w:t xml:space="preserve">treft </w:t>
      </w:r>
      <w:r w:rsidR="004657EE">
        <w:rPr>
          <w:lang w:eastAsia="nl-NL" w:bidi="en-US"/>
        </w:rPr>
        <w:t>h</w:t>
      </w:r>
      <w:r w:rsidR="00317250">
        <w:rPr>
          <w:lang w:eastAsia="nl-NL" w:bidi="en-US"/>
        </w:rPr>
        <w:t xml:space="preserve">ij </w:t>
      </w:r>
      <w:r w:rsidR="00083FA0" w:rsidRPr="00083FA0">
        <w:rPr>
          <w:lang w:eastAsia="nl-NL" w:bidi="en-US"/>
        </w:rPr>
        <w:t>de noodzakelijke correctieve- en preventieve maatregelen. Indien verbeterpunten en/of tekortkoming</w:t>
      </w:r>
      <w:r w:rsidR="00B10A5E">
        <w:rPr>
          <w:lang w:eastAsia="nl-NL" w:bidi="en-US"/>
        </w:rPr>
        <w:t>en</w:t>
      </w:r>
      <w:r w:rsidR="00083FA0" w:rsidRPr="00083FA0">
        <w:rPr>
          <w:lang w:eastAsia="nl-NL" w:bidi="en-US"/>
        </w:rPr>
        <w:t xml:space="preserve"> een (in)direct risico voor Enexis introduceren, </w:t>
      </w:r>
      <w:r w:rsidR="00317250">
        <w:rPr>
          <w:lang w:eastAsia="nl-NL" w:bidi="en-US"/>
        </w:rPr>
        <w:t>treft</w:t>
      </w:r>
      <w:r w:rsidR="00083FA0" w:rsidRPr="00083FA0">
        <w:rPr>
          <w:lang w:eastAsia="nl-NL" w:bidi="en-US"/>
        </w:rPr>
        <w:t xml:space="preserve"> </w:t>
      </w:r>
      <w:r>
        <w:rPr>
          <w:lang w:eastAsia="nl-NL" w:bidi="en-US"/>
        </w:rPr>
        <w:t>Wederpartij</w:t>
      </w:r>
      <w:r w:rsidR="00083FA0" w:rsidRPr="00083FA0">
        <w:rPr>
          <w:lang w:eastAsia="nl-NL" w:bidi="en-US"/>
        </w:rPr>
        <w:t xml:space="preserve"> uiterlijk binnen één (1) maand de noodzakelijke correctieve- en preventieve maatregelen</w:t>
      </w:r>
      <w:r w:rsidR="00F9329E">
        <w:rPr>
          <w:lang w:eastAsia="nl-NL" w:bidi="en-US"/>
        </w:rPr>
        <w:t>.</w:t>
      </w:r>
    </w:p>
    <w:p w14:paraId="51DD3EF5" w14:textId="3269E090" w:rsidR="00745692" w:rsidRDefault="00F9329E" w:rsidP="00E34FF0">
      <w:pPr>
        <w:pStyle w:val="Lijstalinea"/>
        <w:numPr>
          <w:ilvl w:val="1"/>
          <w:numId w:val="3"/>
        </w:numPr>
        <w:jc w:val="both"/>
        <w:rPr>
          <w:lang w:eastAsia="nl-NL" w:bidi="en-US"/>
        </w:rPr>
      </w:pPr>
      <w:r w:rsidRPr="00F9329E">
        <w:rPr>
          <w:lang w:eastAsia="nl-NL" w:bidi="en-US"/>
        </w:rPr>
        <w:t xml:space="preserve">Partijen </w:t>
      </w:r>
      <w:r w:rsidR="00862522">
        <w:rPr>
          <w:lang w:eastAsia="nl-NL" w:bidi="en-US"/>
        </w:rPr>
        <w:t xml:space="preserve">gaan </w:t>
      </w:r>
      <w:r w:rsidRPr="00F9329E">
        <w:rPr>
          <w:lang w:eastAsia="nl-NL" w:bidi="en-US"/>
        </w:rPr>
        <w:t xml:space="preserve">vertrouwelijk om met auditbevindingen en informatie tijdens </w:t>
      </w:r>
      <w:r w:rsidR="00770841">
        <w:rPr>
          <w:lang w:eastAsia="nl-NL" w:bidi="en-US"/>
        </w:rPr>
        <w:t xml:space="preserve">de audit </w:t>
      </w:r>
      <w:r w:rsidRPr="00F9329E">
        <w:rPr>
          <w:lang w:eastAsia="nl-NL" w:bidi="en-US"/>
        </w:rPr>
        <w:t xml:space="preserve">verkregen, tenzij </w:t>
      </w:r>
      <w:r w:rsidR="001F57AC">
        <w:rPr>
          <w:lang w:eastAsia="nl-NL" w:bidi="en-US"/>
        </w:rPr>
        <w:t xml:space="preserve">een </w:t>
      </w:r>
      <w:r w:rsidR="0092724F">
        <w:rPr>
          <w:lang w:eastAsia="nl-NL" w:bidi="en-US"/>
        </w:rPr>
        <w:t xml:space="preserve">toezichthoudende instantie openbaarmaking vereist. </w:t>
      </w:r>
    </w:p>
    <w:p w14:paraId="35C46A5E" w14:textId="18141166" w:rsidR="00F9329E" w:rsidRPr="00F9329E" w:rsidRDefault="00F9329E" w:rsidP="00E34FF0">
      <w:pPr>
        <w:pStyle w:val="Lijstalinea"/>
        <w:numPr>
          <w:ilvl w:val="1"/>
          <w:numId w:val="3"/>
        </w:numPr>
        <w:jc w:val="both"/>
        <w:rPr>
          <w:lang w:eastAsia="nl-NL" w:bidi="en-US"/>
        </w:rPr>
      </w:pPr>
      <w:r w:rsidRPr="00F9329E">
        <w:rPr>
          <w:lang w:eastAsia="nl-NL" w:bidi="en-US"/>
        </w:rPr>
        <w:t>De kosten van</w:t>
      </w:r>
      <w:r w:rsidR="00745692">
        <w:rPr>
          <w:lang w:eastAsia="nl-NL" w:bidi="en-US"/>
        </w:rPr>
        <w:t xml:space="preserve"> een</w:t>
      </w:r>
      <w:r w:rsidRPr="00F9329E">
        <w:rPr>
          <w:lang w:eastAsia="nl-NL" w:bidi="en-US"/>
        </w:rPr>
        <w:t xml:space="preserve"> audit worden gedragen door Enexis, tenzij uit de audit blijkt dat </w:t>
      </w:r>
      <w:r w:rsidR="0055311D">
        <w:rPr>
          <w:lang w:eastAsia="nl-NL" w:bidi="en-US"/>
        </w:rPr>
        <w:t>Wederpartij</w:t>
      </w:r>
      <w:r w:rsidRPr="00F9329E">
        <w:rPr>
          <w:lang w:eastAsia="nl-NL" w:bidi="en-US"/>
        </w:rPr>
        <w:t xml:space="preserve"> ernstig tekort geschoten is </w:t>
      </w:r>
      <w:r w:rsidR="00745692">
        <w:rPr>
          <w:lang w:eastAsia="nl-NL" w:bidi="en-US"/>
        </w:rPr>
        <w:t>in</w:t>
      </w:r>
      <w:r w:rsidRPr="00F9329E">
        <w:rPr>
          <w:lang w:eastAsia="nl-NL" w:bidi="en-US"/>
        </w:rPr>
        <w:t xml:space="preserve"> de nakoming van dit DV&amp;P Addendum, in welk geval </w:t>
      </w:r>
      <w:r w:rsidR="0055311D">
        <w:rPr>
          <w:lang w:eastAsia="nl-NL" w:bidi="en-US"/>
        </w:rPr>
        <w:t>Wederpartij</w:t>
      </w:r>
      <w:r w:rsidRPr="00F9329E">
        <w:rPr>
          <w:lang w:eastAsia="nl-NL" w:bidi="en-US"/>
        </w:rPr>
        <w:t xml:space="preserve"> verplicht is de kosten geheel of gedeeltelijk te vergoeden. </w:t>
      </w:r>
    </w:p>
    <w:p w14:paraId="33DB5206" w14:textId="23B9C06D" w:rsidR="00C90C7A" w:rsidRPr="00C90C7A" w:rsidRDefault="00C90C7A" w:rsidP="00E34FF0">
      <w:pPr>
        <w:pStyle w:val="Lijstalinea"/>
        <w:numPr>
          <w:ilvl w:val="1"/>
          <w:numId w:val="3"/>
        </w:numPr>
        <w:jc w:val="both"/>
        <w:rPr>
          <w:lang w:eastAsia="nl-NL" w:bidi="en-US"/>
        </w:rPr>
      </w:pPr>
      <w:r w:rsidRPr="00C90C7A">
        <w:rPr>
          <w:lang w:eastAsia="nl-NL" w:bidi="en-US"/>
        </w:rPr>
        <w:t xml:space="preserve">Enexis heeft het recht om periodiek algemeen aanvaarde en gangbare geautomatiseerde controles, bijvoorbeeld door middel van third party risk management software, uit te voeren op </w:t>
      </w:r>
      <w:r w:rsidR="0055311D">
        <w:rPr>
          <w:lang w:eastAsia="nl-NL" w:bidi="en-US"/>
        </w:rPr>
        <w:t>Wederpartij</w:t>
      </w:r>
      <w:r w:rsidRPr="00C90C7A">
        <w:rPr>
          <w:lang w:eastAsia="nl-NL" w:bidi="en-US"/>
        </w:rPr>
        <w:t xml:space="preserve"> op basis van openbare bronnen. Deze controles </w:t>
      </w:r>
      <w:r w:rsidR="00922661">
        <w:rPr>
          <w:lang w:eastAsia="nl-NL" w:bidi="en-US"/>
        </w:rPr>
        <w:t>worden</w:t>
      </w:r>
      <w:r w:rsidRPr="00C90C7A">
        <w:rPr>
          <w:lang w:eastAsia="nl-NL" w:bidi="en-US"/>
        </w:rPr>
        <w:t xml:space="preserve"> zodanig uitgevoerd dat zij geen verstoring van de bedrijfsactiviteiten van </w:t>
      </w:r>
      <w:r w:rsidR="0055311D">
        <w:rPr>
          <w:lang w:eastAsia="nl-NL" w:bidi="en-US"/>
        </w:rPr>
        <w:t>Wederpartij</w:t>
      </w:r>
      <w:r w:rsidRPr="00C90C7A">
        <w:rPr>
          <w:lang w:eastAsia="nl-NL" w:bidi="en-US"/>
        </w:rPr>
        <w:t xml:space="preserve"> veroorzaken. Enexis </w:t>
      </w:r>
      <w:r w:rsidR="00317250">
        <w:rPr>
          <w:lang w:eastAsia="nl-NL" w:bidi="en-US"/>
        </w:rPr>
        <w:t>meldt</w:t>
      </w:r>
      <w:r>
        <w:rPr>
          <w:lang w:eastAsia="nl-NL" w:bidi="en-US"/>
        </w:rPr>
        <w:t xml:space="preserve"> </w:t>
      </w:r>
      <w:r w:rsidRPr="00C90C7A">
        <w:rPr>
          <w:lang w:eastAsia="nl-NL" w:bidi="en-US"/>
        </w:rPr>
        <w:t>eventuele geconstateerde afwijkingen die een impact hebben op de uitvoering van de Hoofdovereenkomst</w:t>
      </w:r>
      <w:r>
        <w:rPr>
          <w:lang w:eastAsia="nl-NL" w:bidi="en-US"/>
        </w:rPr>
        <w:t xml:space="preserve"> aan Wederpartij</w:t>
      </w:r>
      <w:r w:rsidR="00CB6534">
        <w:rPr>
          <w:lang w:eastAsia="nl-NL" w:bidi="en-US"/>
        </w:rPr>
        <w:t xml:space="preserve">, voorzien van </w:t>
      </w:r>
      <w:r w:rsidRPr="00C90C7A">
        <w:rPr>
          <w:lang w:eastAsia="nl-NL" w:bidi="en-US"/>
        </w:rPr>
        <w:t>gedetailleerde informatie over de aard van de afwijking, de mogelijke risico's en aanbevelingen voor corrigerende maatregelen.</w:t>
      </w:r>
      <w:r w:rsidR="0060421E">
        <w:rPr>
          <w:lang w:eastAsia="nl-NL" w:bidi="en-US"/>
        </w:rPr>
        <w:t xml:space="preserve"> </w:t>
      </w:r>
      <w:r w:rsidR="0055311D">
        <w:rPr>
          <w:lang w:eastAsia="nl-NL" w:bidi="en-US"/>
        </w:rPr>
        <w:t>Wederpartij</w:t>
      </w:r>
      <w:r w:rsidR="001D2940">
        <w:rPr>
          <w:lang w:eastAsia="nl-NL" w:bidi="en-US"/>
        </w:rPr>
        <w:t xml:space="preserve"> </w:t>
      </w:r>
      <w:r w:rsidR="009E1E9C">
        <w:rPr>
          <w:lang w:eastAsia="nl-NL" w:bidi="en-US"/>
        </w:rPr>
        <w:t>geeft</w:t>
      </w:r>
      <w:r w:rsidR="00A12213">
        <w:rPr>
          <w:lang w:eastAsia="nl-NL" w:bidi="en-US"/>
        </w:rPr>
        <w:t xml:space="preserve"> binnen </w:t>
      </w:r>
      <w:r w:rsidR="0087080F">
        <w:rPr>
          <w:lang w:eastAsia="nl-NL" w:bidi="en-US"/>
        </w:rPr>
        <w:t>30</w:t>
      </w:r>
      <w:r w:rsidR="00A12213">
        <w:rPr>
          <w:lang w:eastAsia="nl-NL" w:bidi="en-US"/>
        </w:rPr>
        <w:t xml:space="preserve"> </w:t>
      </w:r>
      <w:r w:rsidR="00F84E3F">
        <w:rPr>
          <w:lang w:eastAsia="nl-NL" w:bidi="en-US"/>
        </w:rPr>
        <w:t>d</w:t>
      </w:r>
      <w:r w:rsidR="00A12213">
        <w:rPr>
          <w:lang w:eastAsia="nl-NL" w:bidi="en-US"/>
        </w:rPr>
        <w:t xml:space="preserve">agen </w:t>
      </w:r>
      <w:r w:rsidR="0089257B">
        <w:rPr>
          <w:lang w:eastAsia="nl-NL" w:bidi="en-US"/>
        </w:rPr>
        <w:t xml:space="preserve">na schriftelijke melding door Enexis bij </w:t>
      </w:r>
      <w:r w:rsidR="00A12213">
        <w:rPr>
          <w:lang w:eastAsia="nl-NL" w:bidi="en-US"/>
        </w:rPr>
        <w:t xml:space="preserve">Enexis </w:t>
      </w:r>
      <w:r w:rsidR="0089257B">
        <w:rPr>
          <w:lang w:eastAsia="nl-NL" w:bidi="en-US"/>
        </w:rPr>
        <w:t xml:space="preserve">aan </w:t>
      </w:r>
      <w:r w:rsidR="00A12213">
        <w:rPr>
          <w:lang w:eastAsia="nl-NL" w:bidi="en-US"/>
        </w:rPr>
        <w:t xml:space="preserve">hoe </w:t>
      </w:r>
      <w:r w:rsidR="0088614D">
        <w:rPr>
          <w:lang w:eastAsia="nl-NL" w:bidi="en-US"/>
        </w:rPr>
        <w:t>h</w:t>
      </w:r>
      <w:r w:rsidR="00A12213">
        <w:rPr>
          <w:lang w:eastAsia="nl-NL" w:bidi="en-US"/>
        </w:rPr>
        <w:t xml:space="preserve">ij </w:t>
      </w:r>
      <w:r w:rsidR="00E93C45">
        <w:rPr>
          <w:lang w:eastAsia="nl-NL" w:bidi="en-US"/>
        </w:rPr>
        <w:t>geconstateerde risico’s zal mitigeren en</w:t>
      </w:r>
      <w:r w:rsidR="00523A18">
        <w:rPr>
          <w:lang w:eastAsia="nl-NL" w:bidi="en-US"/>
        </w:rPr>
        <w:t xml:space="preserve"> </w:t>
      </w:r>
      <w:r w:rsidR="0087080F">
        <w:rPr>
          <w:lang w:eastAsia="nl-NL" w:bidi="en-US"/>
        </w:rPr>
        <w:t xml:space="preserve">welke </w:t>
      </w:r>
      <w:r w:rsidR="00523A18">
        <w:rPr>
          <w:lang w:eastAsia="nl-NL" w:bidi="en-US"/>
        </w:rPr>
        <w:t>corrigerende maatregelen</w:t>
      </w:r>
      <w:r w:rsidR="0087080F">
        <w:rPr>
          <w:lang w:eastAsia="nl-NL" w:bidi="en-US"/>
        </w:rPr>
        <w:t xml:space="preserve"> </w:t>
      </w:r>
      <w:r w:rsidR="0088614D">
        <w:rPr>
          <w:lang w:eastAsia="nl-NL" w:bidi="en-US"/>
        </w:rPr>
        <w:t>h</w:t>
      </w:r>
      <w:r w:rsidR="0087080F">
        <w:rPr>
          <w:lang w:eastAsia="nl-NL" w:bidi="en-US"/>
        </w:rPr>
        <w:t>ij</w:t>
      </w:r>
      <w:r w:rsidR="00523A18">
        <w:rPr>
          <w:lang w:eastAsia="nl-NL" w:bidi="en-US"/>
        </w:rPr>
        <w:t xml:space="preserve"> </w:t>
      </w:r>
      <w:r w:rsidR="0088614D">
        <w:rPr>
          <w:lang w:eastAsia="nl-NL" w:bidi="en-US"/>
        </w:rPr>
        <w:t>doorvoert.</w:t>
      </w:r>
    </w:p>
    <w:p w14:paraId="3B2FB553" w14:textId="63AB304C" w:rsidR="008E1DA0" w:rsidRPr="008E1DA0" w:rsidRDefault="0055311D" w:rsidP="00E34FF0">
      <w:pPr>
        <w:pStyle w:val="Lijstalinea"/>
        <w:numPr>
          <w:ilvl w:val="1"/>
          <w:numId w:val="3"/>
        </w:numPr>
        <w:jc w:val="both"/>
        <w:rPr>
          <w:lang w:eastAsia="nl-NL" w:bidi="en-US"/>
        </w:rPr>
      </w:pPr>
      <w:r>
        <w:rPr>
          <w:lang w:eastAsia="nl-NL" w:bidi="en-US"/>
        </w:rPr>
        <w:t>Wederpartij</w:t>
      </w:r>
      <w:r w:rsidR="008E1DA0" w:rsidRPr="008E1DA0">
        <w:rPr>
          <w:lang w:eastAsia="nl-NL" w:bidi="en-US"/>
        </w:rPr>
        <w:t xml:space="preserve"> </w:t>
      </w:r>
      <w:r w:rsidR="00803C3D">
        <w:rPr>
          <w:lang w:eastAsia="nl-NL" w:bidi="en-US"/>
        </w:rPr>
        <w:t>beschikt</w:t>
      </w:r>
      <w:r w:rsidR="008E1DA0" w:rsidRPr="008E1DA0">
        <w:rPr>
          <w:lang w:eastAsia="nl-NL" w:bidi="en-US"/>
        </w:rPr>
        <w:t xml:space="preserve"> gedurende de gehele looptijd van de Hoofdovereenkomst over een geldige ISAE 3000- of SOC2 type 2 derdenverklaring (Third Party Mededeling) of ISO 27001 (of daaraan gelijkwaardig) certificaat, </w:t>
      </w:r>
      <w:r w:rsidR="00372D39">
        <w:rPr>
          <w:lang w:eastAsia="nl-NL" w:bidi="en-US"/>
        </w:rPr>
        <w:t>dat</w:t>
      </w:r>
      <w:r w:rsidR="008E1DA0" w:rsidRPr="008E1DA0">
        <w:rPr>
          <w:lang w:eastAsia="nl-NL" w:bidi="en-US"/>
        </w:rPr>
        <w:t xml:space="preserve"> specifiek ziet op de </w:t>
      </w:r>
      <w:r w:rsidR="00FC7EDB">
        <w:rPr>
          <w:lang w:eastAsia="nl-NL" w:bidi="en-US"/>
        </w:rPr>
        <w:t xml:space="preserve">goederen, diensten en/of </w:t>
      </w:r>
      <w:r w:rsidR="008E1DA0" w:rsidRPr="008E1DA0">
        <w:rPr>
          <w:lang w:eastAsia="nl-NL" w:bidi="en-US"/>
        </w:rPr>
        <w:t xml:space="preserve">Werkzaamheden </w:t>
      </w:r>
      <w:r w:rsidR="00A05C5B">
        <w:rPr>
          <w:lang w:eastAsia="nl-NL" w:bidi="en-US"/>
        </w:rPr>
        <w:t xml:space="preserve">onder </w:t>
      </w:r>
      <w:r w:rsidR="008E1DA0" w:rsidRPr="008E1DA0">
        <w:rPr>
          <w:lang w:eastAsia="nl-NL" w:bidi="en-US"/>
        </w:rPr>
        <w:t xml:space="preserve">de Hoofdovereenkomst en verstrekt hiervan </w:t>
      </w:r>
      <w:r w:rsidR="00402C58">
        <w:rPr>
          <w:lang w:eastAsia="nl-NL" w:bidi="en-US"/>
        </w:rPr>
        <w:t>binnen één</w:t>
      </w:r>
      <w:r w:rsidR="009B2C3F">
        <w:rPr>
          <w:lang w:eastAsia="nl-NL" w:bidi="en-US"/>
        </w:rPr>
        <w:t xml:space="preserve"> </w:t>
      </w:r>
      <w:r w:rsidR="00402C58">
        <w:rPr>
          <w:lang w:eastAsia="nl-NL" w:bidi="en-US"/>
        </w:rPr>
        <w:t>(1) maand</w:t>
      </w:r>
      <w:r w:rsidR="009637C4">
        <w:rPr>
          <w:lang w:eastAsia="nl-NL" w:bidi="en-US"/>
        </w:rPr>
        <w:t xml:space="preserve"> na verzoek </w:t>
      </w:r>
      <w:r w:rsidR="008E1DA0" w:rsidRPr="008E1DA0">
        <w:rPr>
          <w:lang w:eastAsia="nl-NL" w:bidi="en-US"/>
        </w:rPr>
        <w:t>een afschrift</w:t>
      </w:r>
      <w:r w:rsidR="009637C4">
        <w:rPr>
          <w:lang w:eastAsia="nl-NL" w:bidi="en-US"/>
        </w:rPr>
        <w:t xml:space="preserve"> aan Enexis</w:t>
      </w:r>
      <w:r w:rsidR="009B2C3F">
        <w:rPr>
          <w:lang w:eastAsia="nl-NL" w:bidi="en-US"/>
        </w:rPr>
        <w:t xml:space="preserve">. </w:t>
      </w:r>
      <w:r w:rsidR="008E1DA0" w:rsidRPr="008E1DA0">
        <w:rPr>
          <w:lang w:eastAsia="nl-NL" w:bidi="en-US"/>
        </w:rPr>
        <w:t xml:space="preserve"> </w:t>
      </w:r>
    </w:p>
    <w:p w14:paraId="6CA1531A" w14:textId="77777777" w:rsidR="00C744DF" w:rsidRDefault="00C744DF" w:rsidP="00E34FF0">
      <w:pPr>
        <w:jc w:val="both"/>
      </w:pPr>
    </w:p>
    <w:p w14:paraId="019B4F36" w14:textId="48777074" w:rsidR="00D5776D" w:rsidRDefault="005A30B6" w:rsidP="00E34FF0">
      <w:pPr>
        <w:pStyle w:val="Kop1"/>
        <w:jc w:val="both"/>
        <w:rPr>
          <w:lang w:eastAsia="nl-NL" w:bidi="en-US"/>
        </w:rPr>
      </w:pPr>
      <w:bookmarkStart w:id="6" w:name="_Toc199338645"/>
      <w:r>
        <w:rPr>
          <w:lang w:eastAsia="nl-NL" w:bidi="en-US"/>
        </w:rPr>
        <w:t>COMMUNICATIE EN RAPPORTAGE</w:t>
      </w:r>
      <w:bookmarkEnd w:id="6"/>
      <w:r>
        <w:rPr>
          <w:lang w:eastAsia="nl-NL" w:bidi="en-US"/>
        </w:rPr>
        <w:t xml:space="preserve"> </w:t>
      </w:r>
    </w:p>
    <w:p w14:paraId="341F0231" w14:textId="2B7A134D" w:rsidR="00A16D17" w:rsidRDefault="00A16D17" w:rsidP="00310630">
      <w:pPr>
        <w:pStyle w:val="Lijstalinea"/>
        <w:numPr>
          <w:ilvl w:val="1"/>
          <w:numId w:val="3"/>
        </w:numPr>
        <w:jc w:val="both"/>
        <w:rPr>
          <w:lang w:eastAsia="nl-NL" w:bidi="en-US"/>
        </w:rPr>
      </w:pPr>
      <w:r w:rsidRPr="007C3676">
        <w:rPr>
          <w:b/>
          <w:bCs/>
          <w:lang w:eastAsia="nl-NL" w:bidi="en-US"/>
        </w:rPr>
        <w:t>Bijlage 2</w:t>
      </w:r>
      <w:r w:rsidR="007C3676" w:rsidRPr="007C3676">
        <w:rPr>
          <w:b/>
          <w:bCs/>
          <w:lang w:eastAsia="nl-NL" w:bidi="en-US"/>
        </w:rPr>
        <w:t xml:space="preserve"> -</w:t>
      </w:r>
      <w:r w:rsidRPr="007C3676">
        <w:rPr>
          <w:b/>
          <w:bCs/>
          <w:lang w:eastAsia="nl-NL" w:bidi="en-US"/>
        </w:rPr>
        <w:t xml:space="preserve"> Contactpersonen</w:t>
      </w:r>
      <w:r w:rsidR="009637C4">
        <w:rPr>
          <w:lang w:eastAsia="nl-NL" w:bidi="en-US"/>
        </w:rPr>
        <w:t xml:space="preserve"> bevat</w:t>
      </w:r>
      <w:r w:rsidR="004C51FF" w:rsidRPr="004C51FF">
        <w:rPr>
          <w:lang w:eastAsia="nl-NL" w:bidi="en-US"/>
        </w:rPr>
        <w:t xml:space="preserve"> een lijst van contactpersonen</w:t>
      </w:r>
      <w:r w:rsidR="009637C4">
        <w:rPr>
          <w:lang w:eastAsia="nl-NL" w:bidi="en-US"/>
        </w:rPr>
        <w:t xml:space="preserve"> </w:t>
      </w:r>
      <w:r w:rsidR="004C51FF" w:rsidRPr="004C51FF">
        <w:rPr>
          <w:lang w:eastAsia="nl-NL" w:bidi="en-US"/>
        </w:rPr>
        <w:t xml:space="preserve">die in specifieke situaties verplicht benaderd moeten worden door de andere Partij. Bijvoorbeeld in het geval van een Incident zoals bedoeld in artikel </w:t>
      </w:r>
      <w:r w:rsidR="004C51FF">
        <w:rPr>
          <w:lang w:eastAsia="nl-NL" w:bidi="en-US"/>
        </w:rPr>
        <w:t xml:space="preserve">6 van </w:t>
      </w:r>
      <w:r w:rsidR="003842F5">
        <w:rPr>
          <w:lang w:eastAsia="nl-NL" w:bidi="en-US"/>
        </w:rPr>
        <w:t>di</w:t>
      </w:r>
      <w:r w:rsidR="004C51FF">
        <w:rPr>
          <w:lang w:eastAsia="nl-NL" w:bidi="en-US"/>
        </w:rPr>
        <w:t>t</w:t>
      </w:r>
      <w:r w:rsidR="004C51FF" w:rsidRPr="004C51FF">
        <w:rPr>
          <w:lang w:eastAsia="nl-NL" w:bidi="en-US"/>
        </w:rPr>
        <w:t xml:space="preserve"> DV&amp;P Addendu</w:t>
      </w:r>
      <w:r w:rsidR="004C51FF">
        <w:rPr>
          <w:lang w:eastAsia="nl-NL" w:bidi="en-US"/>
        </w:rPr>
        <w:t xml:space="preserve">m. </w:t>
      </w:r>
    </w:p>
    <w:p w14:paraId="09B1D94A" w14:textId="1DB496EC" w:rsidR="007A2C7D" w:rsidRPr="007A2C7D" w:rsidRDefault="00F11A55" w:rsidP="00F11A55">
      <w:pPr>
        <w:pStyle w:val="Lijstalinea"/>
        <w:numPr>
          <w:ilvl w:val="1"/>
          <w:numId w:val="3"/>
        </w:numPr>
        <w:rPr>
          <w:lang w:eastAsia="nl-NL" w:bidi="en-US"/>
        </w:rPr>
      </w:pPr>
      <w:r w:rsidRPr="00F11A55">
        <w:rPr>
          <w:lang w:eastAsia="nl-NL" w:bidi="en-US"/>
        </w:rPr>
        <w:t xml:space="preserve">In aanvulling op artikel 44.1 AV geldt dat Wederpartij een proactieve houding aanneemt op het gebied van beveiliging. Wederpartij communiceert open en proactief en minimaal vier (4) keer per jaar over ontwikkelingen en bedreigingen op het gebied van beveiliging die mogelijk invloed hebben op Enexis. </w:t>
      </w:r>
    </w:p>
    <w:p w14:paraId="0612F00B" w14:textId="3407B5B3" w:rsidR="00C76F59" w:rsidRDefault="0076417F" w:rsidP="00310630">
      <w:pPr>
        <w:pStyle w:val="Lijstalinea"/>
        <w:numPr>
          <w:ilvl w:val="1"/>
          <w:numId w:val="3"/>
        </w:numPr>
        <w:jc w:val="both"/>
        <w:rPr>
          <w:lang w:eastAsia="nl-NL" w:bidi="en-US"/>
        </w:rPr>
      </w:pPr>
      <w:r>
        <w:rPr>
          <w:lang w:eastAsia="nl-NL" w:bidi="en-US"/>
        </w:rPr>
        <w:lastRenderedPageBreak/>
        <w:t xml:space="preserve">In aanvulling op artikel 43 AV </w:t>
      </w:r>
      <w:r w:rsidR="00F96318">
        <w:rPr>
          <w:lang w:eastAsia="nl-NL" w:bidi="en-US"/>
        </w:rPr>
        <w:t>rapporteert</w:t>
      </w:r>
      <w:r>
        <w:rPr>
          <w:lang w:eastAsia="nl-NL" w:bidi="en-US"/>
        </w:rPr>
        <w:t xml:space="preserve"> Wederpartij h</w:t>
      </w:r>
      <w:r w:rsidRPr="00C76F59">
        <w:rPr>
          <w:lang w:eastAsia="nl-NL" w:bidi="en-US"/>
        </w:rPr>
        <w:t xml:space="preserve">alfjaarlijks </w:t>
      </w:r>
      <w:r>
        <w:rPr>
          <w:lang w:eastAsia="nl-NL" w:bidi="en-US"/>
        </w:rPr>
        <w:t xml:space="preserve">aan </w:t>
      </w:r>
      <w:r w:rsidRPr="00C76F59">
        <w:rPr>
          <w:lang w:eastAsia="nl-NL" w:bidi="en-US"/>
        </w:rPr>
        <w:t>Enexis</w:t>
      </w:r>
      <w:r>
        <w:rPr>
          <w:lang w:eastAsia="nl-NL" w:bidi="en-US"/>
        </w:rPr>
        <w:t xml:space="preserve"> </w:t>
      </w:r>
      <w:r w:rsidRPr="00C76F59">
        <w:rPr>
          <w:lang w:eastAsia="nl-NL" w:bidi="en-US"/>
        </w:rPr>
        <w:t>over de gemaakte afspraken in dit DV&amp;P Addendum.</w:t>
      </w:r>
      <w:r>
        <w:rPr>
          <w:lang w:eastAsia="nl-NL" w:bidi="en-US"/>
        </w:rPr>
        <w:t xml:space="preserve"> </w:t>
      </w:r>
      <w:r w:rsidR="00C76F59" w:rsidRPr="00C76F59">
        <w:rPr>
          <w:lang w:eastAsia="nl-NL" w:bidi="en-US"/>
        </w:rPr>
        <w:t>Deze rapportage bevat minimaal:</w:t>
      </w:r>
    </w:p>
    <w:p w14:paraId="1C0FCCAF" w14:textId="1F97765F" w:rsidR="00E130DF" w:rsidRPr="00E130DF" w:rsidRDefault="00A76652" w:rsidP="00310630">
      <w:pPr>
        <w:pStyle w:val="Lijstalinea"/>
        <w:numPr>
          <w:ilvl w:val="0"/>
          <w:numId w:val="11"/>
        </w:numPr>
        <w:jc w:val="both"/>
        <w:rPr>
          <w:lang w:eastAsia="nl-NL" w:bidi="en-US"/>
        </w:rPr>
      </w:pPr>
      <w:r>
        <w:rPr>
          <w:lang w:eastAsia="nl-NL" w:bidi="en-US"/>
        </w:rPr>
        <w:t xml:space="preserve">een </w:t>
      </w:r>
      <w:r w:rsidR="00F00952">
        <w:rPr>
          <w:lang w:eastAsia="nl-NL" w:bidi="en-US"/>
        </w:rPr>
        <w:t>r</w:t>
      </w:r>
      <w:r w:rsidR="00E130DF" w:rsidRPr="00E130DF">
        <w:rPr>
          <w:lang w:eastAsia="nl-NL" w:bidi="en-US"/>
        </w:rPr>
        <w:t>eview van de algemene conclusies en kritieke bevindingen van beveiligingscontroles</w:t>
      </w:r>
      <w:r w:rsidR="00F108B9">
        <w:rPr>
          <w:lang w:eastAsia="nl-NL" w:bidi="en-US"/>
        </w:rPr>
        <w:t>,</w:t>
      </w:r>
      <w:r w:rsidR="00E130DF" w:rsidRPr="00E130DF">
        <w:rPr>
          <w:lang w:eastAsia="nl-NL" w:bidi="en-US"/>
        </w:rPr>
        <w:t xml:space="preserve"> waaronder </w:t>
      </w:r>
      <w:r w:rsidR="002008D3">
        <w:rPr>
          <w:lang w:eastAsia="nl-NL" w:bidi="en-US"/>
        </w:rPr>
        <w:t xml:space="preserve">van </w:t>
      </w:r>
      <w:r w:rsidR="00E130DF" w:rsidRPr="00E130DF">
        <w:rPr>
          <w:lang w:eastAsia="nl-NL" w:bidi="en-US"/>
        </w:rPr>
        <w:t>penetratietesten</w:t>
      </w:r>
      <w:r w:rsidR="00A46B7F">
        <w:rPr>
          <w:lang w:eastAsia="nl-NL" w:bidi="en-US"/>
        </w:rPr>
        <w:t xml:space="preserve">, </w:t>
      </w:r>
      <w:r w:rsidR="00E130DF" w:rsidRPr="00E130DF">
        <w:rPr>
          <w:lang w:eastAsia="nl-NL" w:bidi="en-US"/>
        </w:rPr>
        <w:t xml:space="preserve">interne en externe audits </w:t>
      </w:r>
      <w:r w:rsidR="002008D3">
        <w:rPr>
          <w:lang w:eastAsia="nl-NL" w:bidi="en-US"/>
        </w:rPr>
        <w:t>en security logs</w:t>
      </w:r>
      <w:r w:rsidR="00165A9A">
        <w:rPr>
          <w:lang w:eastAsia="nl-NL" w:bidi="en-US"/>
        </w:rPr>
        <w:t>;</w:t>
      </w:r>
    </w:p>
    <w:p w14:paraId="24F59768" w14:textId="76CFF740" w:rsidR="00D144D9" w:rsidRDefault="00165A9A" w:rsidP="00310630">
      <w:pPr>
        <w:pStyle w:val="Lijstalinea"/>
        <w:numPr>
          <w:ilvl w:val="0"/>
          <w:numId w:val="11"/>
        </w:numPr>
        <w:spacing w:line="276" w:lineRule="auto"/>
        <w:jc w:val="both"/>
        <w:rPr>
          <w:rFonts w:cstheme="minorBidi"/>
          <w:color w:val="auto"/>
          <w:szCs w:val="22"/>
        </w:rPr>
      </w:pPr>
      <w:r>
        <w:rPr>
          <w:szCs w:val="22"/>
        </w:rPr>
        <w:t xml:space="preserve">een </w:t>
      </w:r>
      <w:r w:rsidR="00F00952">
        <w:rPr>
          <w:szCs w:val="22"/>
        </w:rPr>
        <w:t>r</w:t>
      </w:r>
      <w:r w:rsidR="00D144D9">
        <w:rPr>
          <w:szCs w:val="22"/>
        </w:rPr>
        <w:t xml:space="preserve">eview van </w:t>
      </w:r>
      <w:r>
        <w:rPr>
          <w:szCs w:val="22"/>
        </w:rPr>
        <w:t>Incidenten</w:t>
      </w:r>
      <w:r w:rsidR="00D144D9">
        <w:rPr>
          <w:szCs w:val="22"/>
        </w:rPr>
        <w:t xml:space="preserve"> die hebben plaatsgevonden</w:t>
      </w:r>
      <w:r>
        <w:rPr>
          <w:szCs w:val="22"/>
        </w:rPr>
        <w:t xml:space="preserve">; </w:t>
      </w:r>
      <w:r w:rsidR="00D144D9">
        <w:rPr>
          <w:szCs w:val="22"/>
        </w:rPr>
        <w:t xml:space="preserve"> </w:t>
      </w:r>
    </w:p>
    <w:p w14:paraId="1FCB12E6" w14:textId="159C0DDE" w:rsidR="00E53D17" w:rsidRDefault="00E53D17" w:rsidP="00310630">
      <w:pPr>
        <w:pStyle w:val="Lijstalinea"/>
        <w:numPr>
          <w:ilvl w:val="0"/>
          <w:numId w:val="11"/>
        </w:numPr>
        <w:jc w:val="both"/>
        <w:rPr>
          <w:lang w:eastAsia="nl-NL" w:bidi="en-US"/>
        </w:rPr>
      </w:pPr>
      <w:r>
        <w:rPr>
          <w:lang w:eastAsia="nl-NL" w:bidi="en-US"/>
        </w:rPr>
        <w:t xml:space="preserve">lopende </w:t>
      </w:r>
      <w:r w:rsidR="006B325E" w:rsidRPr="006B325E">
        <w:rPr>
          <w:lang w:eastAsia="nl-NL" w:bidi="en-US"/>
        </w:rPr>
        <w:t xml:space="preserve">en verwachte ontwikkelingen inzake de Werkzaamheden, goederen en/of diensten onder de Hoofdovereenkomst met een impact op </w:t>
      </w:r>
      <w:r w:rsidR="002229E8">
        <w:rPr>
          <w:lang w:eastAsia="nl-NL" w:bidi="en-US"/>
        </w:rPr>
        <w:t>de B</w:t>
      </w:r>
      <w:r w:rsidR="006B325E" w:rsidRPr="006B325E">
        <w:rPr>
          <w:lang w:eastAsia="nl-NL" w:bidi="en-US"/>
        </w:rPr>
        <w:t>eveiliging</w:t>
      </w:r>
      <w:r w:rsidR="00257ED7">
        <w:rPr>
          <w:lang w:eastAsia="nl-NL" w:bidi="en-US"/>
        </w:rPr>
        <w:t xml:space="preserve"> en/of de certificering </w:t>
      </w:r>
      <w:r w:rsidR="002B0D01">
        <w:rPr>
          <w:lang w:eastAsia="nl-NL" w:bidi="en-US"/>
        </w:rPr>
        <w:t>van Wederpartij</w:t>
      </w:r>
      <w:r w:rsidR="006B325E" w:rsidRPr="006B325E">
        <w:rPr>
          <w:lang w:eastAsia="nl-NL" w:bidi="en-US"/>
        </w:rPr>
        <w:t>;</w:t>
      </w:r>
    </w:p>
    <w:p w14:paraId="7E2A5C63" w14:textId="4798F731" w:rsidR="006B325E" w:rsidRDefault="00F00952" w:rsidP="00310630">
      <w:pPr>
        <w:pStyle w:val="Lijstalinea"/>
        <w:numPr>
          <w:ilvl w:val="0"/>
          <w:numId w:val="11"/>
        </w:numPr>
        <w:jc w:val="both"/>
        <w:rPr>
          <w:lang w:eastAsia="nl-NL" w:bidi="en-US"/>
        </w:rPr>
      </w:pPr>
      <w:r>
        <w:rPr>
          <w:lang w:eastAsia="nl-NL" w:bidi="en-US"/>
        </w:rPr>
        <w:t>e</w:t>
      </w:r>
      <w:r w:rsidR="006B325E">
        <w:rPr>
          <w:lang w:eastAsia="nl-NL" w:bidi="en-US"/>
        </w:rPr>
        <w:t xml:space="preserve">en </w:t>
      </w:r>
      <w:r w:rsidR="00F26FB5" w:rsidRPr="00F26FB5">
        <w:rPr>
          <w:lang w:eastAsia="nl-NL" w:bidi="en-US"/>
        </w:rPr>
        <w:t xml:space="preserve">evaluatie van de </w:t>
      </w:r>
      <w:r w:rsidR="00826D71">
        <w:rPr>
          <w:lang w:eastAsia="nl-NL" w:bidi="en-US"/>
        </w:rPr>
        <w:t>effectiviteit</w:t>
      </w:r>
      <w:r w:rsidR="00F26FB5" w:rsidRPr="00F26FB5">
        <w:rPr>
          <w:lang w:eastAsia="nl-NL" w:bidi="en-US"/>
        </w:rPr>
        <w:t xml:space="preserve"> van Beveiliging</w:t>
      </w:r>
      <w:r w:rsidR="00F26FB5">
        <w:rPr>
          <w:lang w:eastAsia="nl-NL" w:bidi="en-US"/>
        </w:rPr>
        <w:t>smaatregelen</w:t>
      </w:r>
      <w:r w:rsidR="00257ED7">
        <w:rPr>
          <w:lang w:eastAsia="nl-NL" w:bidi="en-US"/>
        </w:rPr>
        <w:t xml:space="preserve"> die zijn beschreven in </w:t>
      </w:r>
      <w:r w:rsidR="00770847">
        <w:rPr>
          <w:lang w:eastAsia="nl-NL" w:bidi="en-US"/>
        </w:rPr>
        <w:t>B</w:t>
      </w:r>
      <w:r w:rsidR="00257ED7">
        <w:rPr>
          <w:lang w:eastAsia="nl-NL" w:bidi="en-US"/>
        </w:rPr>
        <w:t>ijlage</w:t>
      </w:r>
      <w:r w:rsidR="00826D71">
        <w:rPr>
          <w:lang w:eastAsia="nl-NL" w:bidi="en-US"/>
        </w:rPr>
        <w:t xml:space="preserve"> 4 tot en met 12</w:t>
      </w:r>
      <w:r w:rsidR="00F26FB5">
        <w:rPr>
          <w:lang w:eastAsia="nl-NL" w:bidi="en-US"/>
        </w:rPr>
        <w:t xml:space="preserve">; </w:t>
      </w:r>
    </w:p>
    <w:p w14:paraId="49FC062D" w14:textId="2EFA9C1B" w:rsidR="00997FF2" w:rsidRDefault="00331BBD" w:rsidP="00310630">
      <w:pPr>
        <w:pStyle w:val="Lijstalinea"/>
        <w:numPr>
          <w:ilvl w:val="0"/>
          <w:numId w:val="11"/>
        </w:numPr>
        <w:jc w:val="both"/>
        <w:rPr>
          <w:lang w:eastAsia="nl-NL" w:bidi="en-US"/>
        </w:rPr>
      </w:pPr>
      <w:r>
        <w:rPr>
          <w:lang w:eastAsia="nl-NL" w:bidi="en-US"/>
        </w:rPr>
        <w:t xml:space="preserve">relevante </w:t>
      </w:r>
      <w:r w:rsidR="00997FF2" w:rsidRPr="00997FF2">
        <w:rPr>
          <w:lang w:eastAsia="nl-NL" w:bidi="en-US"/>
        </w:rPr>
        <w:t xml:space="preserve">dreigingen en risico’s op het gebied van </w:t>
      </w:r>
      <w:r w:rsidR="00E34FF0">
        <w:rPr>
          <w:lang w:eastAsia="nl-NL" w:bidi="en-US"/>
        </w:rPr>
        <w:t>b</w:t>
      </w:r>
      <w:r w:rsidR="00E34FF0" w:rsidRPr="00997FF2">
        <w:rPr>
          <w:lang w:eastAsia="nl-NL" w:bidi="en-US"/>
        </w:rPr>
        <w:t>eveiliging</w:t>
      </w:r>
      <w:r w:rsidR="00997FF2">
        <w:rPr>
          <w:lang w:eastAsia="nl-NL" w:bidi="en-US"/>
        </w:rPr>
        <w:t xml:space="preserve">; </w:t>
      </w:r>
      <w:r w:rsidR="00E34FF0">
        <w:rPr>
          <w:lang w:eastAsia="nl-NL" w:bidi="en-US"/>
        </w:rPr>
        <w:t xml:space="preserve">en </w:t>
      </w:r>
    </w:p>
    <w:p w14:paraId="2CFF469A" w14:textId="4BB304EC" w:rsidR="00FB2B7A" w:rsidRDefault="00997FF2" w:rsidP="00310630">
      <w:pPr>
        <w:pStyle w:val="Lijstalinea"/>
        <w:numPr>
          <w:ilvl w:val="0"/>
          <w:numId w:val="11"/>
        </w:numPr>
        <w:jc w:val="both"/>
        <w:rPr>
          <w:lang w:eastAsia="nl-NL" w:bidi="en-US"/>
        </w:rPr>
      </w:pPr>
      <w:r>
        <w:rPr>
          <w:lang w:eastAsia="nl-NL" w:bidi="en-US"/>
        </w:rPr>
        <w:t xml:space="preserve">updates </w:t>
      </w:r>
      <w:r w:rsidR="00E34FF0" w:rsidRPr="00E34FF0">
        <w:rPr>
          <w:lang w:eastAsia="nl-NL" w:bidi="en-US"/>
        </w:rPr>
        <w:t>met betrekking tot naleving van wet- en regelgeving.</w:t>
      </w:r>
      <w:r w:rsidR="00E34FF0">
        <w:rPr>
          <w:lang w:eastAsia="nl-NL" w:bidi="en-US"/>
        </w:rPr>
        <w:t xml:space="preserve"> </w:t>
      </w:r>
    </w:p>
    <w:p w14:paraId="32345BDB" w14:textId="77777777" w:rsidR="00C744DF" w:rsidRDefault="00C744DF" w:rsidP="002F10D2">
      <w:pPr>
        <w:jc w:val="both"/>
      </w:pPr>
    </w:p>
    <w:p w14:paraId="64BC513F" w14:textId="7F5FECBD" w:rsidR="00233F9A" w:rsidRDefault="007D1131" w:rsidP="002F10D2">
      <w:pPr>
        <w:pStyle w:val="Kop1"/>
        <w:jc w:val="both"/>
      </w:pPr>
      <w:bookmarkStart w:id="7" w:name="_Toc199338646"/>
      <w:r>
        <w:t>INCIDENTRESPONSE EN MELDINGSPLICHT</w:t>
      </w:r>
      <w:bookmarkEnd w:id="7"/>
      <w:r>
        <w:t xml:space="preserve"> </w:t>
      </w:r>
    </w:p>
    <w:p w14:paraId="03139066" w14:textId="309859C3" w:rsidR="006D60F3" w:rsidRPr="006D60F3" w:rsidRDefault="00055DDE" w:rsidP="002F10D2">
      <w:pPr>
        <w:pStyle w:val="Lijstalinea"/>
        <w:numPr>
          <w:ilvl w:val="1"/>
          <w:numId w:val="3"/>
        </w:numPr>
        <w:jc w:val="both"/>
      </w:pPr>
      <w:r>
        <w:t xml:space="preserve">In aanvulling op artikel 38 AV geldt dat </w:t>
      </w:r>
      <w:r w:rsidR="0055311D">
        <w:t>Wederpartij</w:t>
      </w:r>
      <w:r w:rsidR="006D60F3" w:rsidRPr="006D60F3">
        <w:t xml:space="preserve"> </w:t>
      </w:r>
      <w:r w:rsidR="00694F84">
        <w:t>actief</w:t>
      </w:r>
      <w:r>
        <w:t xml:space="preserve"> monitort </w:t>
      </w:r>
      <w:r w:rsidR="006D60F3" w:rsidRPr="006D60F3">
        <w:t xml:space="preserve">op Incidenten en eventuele inbreuken op de getroffen Beveiligingsmaatregelen en over de resultaten daarvan aan Enexis </w:t>
      </w:r>
      <w:r w:rsidR="0052111B">
        <w:t xml:space="preserve">rapporteert </w:t>
      </w:r>
      <w:r w:rsidR="006D60F3" w:rsidRPr="006D60F3">
        <w:t xml:space="preserve">in overeenstemming met dit artikel. </w:t>
      </w:r>
    </w:p>
    <w:p w14:paraId="50D58FAA" w14:textId="6CCBBB98" w:rsidR="00F10C85" w:rsidRPr="00F10C85" w:rsidRDefault="0055311D" w:rsidP="002F10D2">
      <w:pPr>
        <w:pStyle w:val="Lijstalinea"/>
        <w:numPr>
          <w:ilvl w:val="1"/>
          <w:numId w:val="3"/>
        </w:numPr>
        <w:jc w:val="both"/>
      </w:pPr>
      <w:r>
        <w:t>Wederpartij</w:t>
      </w:r>
      <w:r w:rsidR="00F10C85" w:rsidRPr="00F10C85">
        <w:t xml:space="preserve"> </w:t>
      </w:r>
      <w:r w:rsidR="00694F84">
        <w:t xml:space="preserve">verleent </w:t>
      </w:r>
      <w:r w:rsidR="00F10C85" w:rsidRPr="00F10C85">
        <w:t>op verzoek van Enexis alle noodzakelijke bijstand bij de nakoming van toepasselijke wet- en regelgeving op het gebied van Beveiliging, waaronder begrepen ondersteuning bij activiteiten en informatieverzoeken van de toezichthouder(s), bevoegde autoriteit(en) en betrokkene(n).</w:t>
      </w:r>
    </w:p>
    <w:p w14:paraId="5A4B347E" w14:textId="5FB84D14" w:rsidR="00E2151B" w:rsidRDefault="00E2151B" w:rsidP="002F10D2">
      <w:pPr>
        <w:pStyle w:val="Lijstalinea"/>
        <w:numPr>
          <w:ilvl w:val="1"/>
          <w:numId w:val="3"/>
        </w:numPr>
        <w:jc w:val="both"/>
      </w:pPr>
      <w:r w:rsidRPr="00E2151B">
        <w:t xml:space="preserve">Wanneer zich </w:t>
      </w:r>
      <w:r>
        <w:t xml:space="preserve">(vermoedelijk) </w:t>
      </w:r>
      <w:r w:rsidRPr="00E2151B">
        <w:t xml:space="preserve">een Incident voordoet of heeft voorgedaan, is </w:t>
      </w:r>
      <w:r w:rsidR="0055311D">
        <w:t>Wederpartij</w:t>
      </w:r>
      <w:r w:rsidR="00FB06CD">
        <w:t xml:space="preserve"> aanvullend op artikel 38.1 AV</w:t>
      </w:r>
      <w:r w:rsidRPr="00E2151B">
        <w:t xml:space="preserve"> verplicht de contactperson</w:t>
      </w:r>
      <w:r w:rsidR="00694F84">
        <w:t>en</w:t>
      </w:r>
      <w:r w:rsidRPr="00E2151B">
        <w:t xml:space="preserve"> van Enexis genoemd in </w:t>
      </w:r>
      <w:r w:rsidRPr="007E3A52">
        <w:rPr>
          <w:b/>
          <w:bCs/>
        </w:rPr>
        <w:t>Bijlage 2</w:t>
      </w:r>
      <w:r w:rsidR="00800B4E">
        <w:rPr>
          <w:b/>
          <w:bCs/>
        </w:rPr>
        <w:t xml:space="preserve"> </w:t>
      </w:r>
      <w:r w:rsidR="00243DD1">
        <w:t xml:space="preserve">via </w:t>
      </w:r>
      <w:r w:rsidR="00004B7A">
        <w:t>de</w:t>
      </w:r>
      <w:r w:rsidR="00243DD1">
        <w:t xml:space="preserve"> benoemde communicatiemiddelen </w:t>
      </w:r>
      <w:r w:rsidRPr="00E2151B">
        <w:t xml:space="preserve">onmiddellijk, doch uiterlijk binnen 12 uur, in kennis te stellen en daarbij alle relevante informatie te verstrekken over:  </w:t>
      </w:r>
    </w:p>
    <w:p w14:paraId="0574AC67" w14:textId="52FDD10C" w:rsidR="00C51B0D" w:rsidRPr="00C51B0D" w:rsidRDefault="00C51B0D" w:rsidP="00E73F44">
      <w:pPr>
        <w:pStyle w:val="Lijstalinea"/>
        <w:numPr>
          <w:ilvl w:val="0"/>
          <w:numId w:val="12"/>
        </w:numPr>
        <w:jc w:val="both"/>
      </w:pPr>
      <w:r>
        <w:t>h</w:t>
      </w:r>
      <w:r w:rsidR="00E2151B">
        <w:t xml:space="preserve">et </w:t>
      </w:r>
      <w:r w:rsidRPr="00C51B0D">
        <w:t xml:space="preserve">vermoedelijke tijdstip van de aanvang van het Incident; </w:t>
      </w:r>
    </w:p>
    <w:p w14:paraId="7ABC12C4" w14:textId="77777777" w:rsidR="007E3A52" w:rsidRPr="007E3A52" w:rsidRDefault="007E3A52" w:rsidP="00E73F44">
      <w:pPr>
        <w:pStyle w:val="Lijstalinea"/>
        <w:numPr>
          <w:ilvl w:val="0"/>
          <w:numId w:val="12"/>
        </w:numPr>
        <w:jc w:val="both"/>
      </w:pPr>
      <w:r w:rsidRPr="007E3A52">
        <w:t xml:space="preserve">zo mogelijk, een prognose van de hersteltijd; </w:t>
      </w:r>
    </w:p>
    <w:p w14:paraId="042A4B81" w14:textId="15F84A8A" w:rsidR="00E2151B" w:rsidRDefault="007E3A52" w:rsidP="00E73F44">
      <w:pPr>
        <w:pStyle w:val="Lijstalinea"/>
        <w:numPr>
          <w:ilvl w:val="0"/>
          <w:numId w:val="12"/>
        </w:numPr>
        <w:jc w:val="both"/>
      </w:pPr>
      <w:r>
        <w:t xml:space="preserve">de aard van het </w:t>
      </w:r>
      <w:r w:rsidR="00E55A48">
        <w:t>Incident</w:t>
      </w:r>
      <w:r w:rsidR="009E7BBF">
        <w:t>;</w:t>
      </w:r>
    </w:p>
    <w:p w14:paraId="2F3E8958" w14:textId="1F4FDAF5" w:rsidR="009E7BBF" w:rsidRDefault="009E7BBF" w:rsidP="00E73F44">
      <w:pPr>
        <w:pStyle w:val="Lijstalinea"/>
        <w:numPr>
          <w:ilvl w:val="0"/>
          <w:numId w:val="12"/>
        </w:numPr>
        <w:jc w:val="both"/>
      </w:pPr>
      <w:r>
        <w:t xml:space="preserve">de geconstateerde en vermoedelijke gevolgen van het Incident; en </w:t>
      </w:r>
    </w:p>
    <w:p w14:paraId="0116F07F" w14:textId="47D498D5" w:rsidR="009E7BBF" w:rsidRPr="00E2151B" w:rsidRDefault="00CB5D5F" w:rsidP="00E73F44">
      <w:pPr>
        <w:pStyle w:val="Lijstalinea"/>
        <w:numPr>
          <w:ilvl w:val="0"/>
          <w:numId w:val="12"/>
        </w:numPr>
        <w:jc w:val="both"/>
      </w:pPr>
      <w:r w:rsidRPr="00CB5D5F">
        <w:t>de maatregelen die zijn getroffen of</w:t>
      </w:r>
      <w:r>
        <w:t xml:space="preserve"> </w:t>
      </w:r>
      <w:r w:rsidRPr="00CB5D5F">
        <w:t xml:space="preserve">worden getroffen om het Incident op te lossen dan wel de gevolgen c.q. schade zoveel mogelijk te beperken en herhaling te voorkomen. </w:t>
      </w:r>
    </w:p>
    <w:p w14:paraId="32874637" w14:textId="3175F130" w:rsidR="00183320" w:rsidRDefault="0055311D" w:rsidP="002F10D2">
      <w:pPr>
        <w:pStyle w:val="Lijstalinea"/>
        <w:numPr>
          <w:ilvl w:val="1"/>
          <w:numId w:val="3"/>
        </w:numPr>
        <w:jc w:val="both"/>
      </w:pPr>
      <w:r>
        <w:t>Wederpartij</w:t>
      </w:r>
      <w:r w:rsidR="00183320">
        <w:t xml:space="preserve"> is</w:t>
      </w:r>
      <w:r w:rsidR="00EA27FB">
        <w:t xml:space="preserve"> in aanvulling op artikel 38.2 AV</w:t>
      </w:r>
      <w:r w:rsidR="001707D8">
        <w:t xml:space="preserve"> </w:t>
      </w:r>
      <w:r w:rsidR="00183320">
        <w:t>verplicht om maatregelen te treffen die redelijkerwijs van h</w:t>
      </w:r>
      <w:r w:rsidR="00D35005">
        <w:t>em</w:t>
      </w:r>
      <w:r w:rsidR="00183320">
        <w:t xml:space="preserve"> verwacht</w:t>
      </w:r>
      <w:r w:rsidR="004B229B">
        <w:t xml:space="preserve"> kunnen worden</w:t>
      </w:r>
      <w:r w:rsidR="00183320">
        <w:t xml:space="preserve"> om het Incident zo snel mogelijk te herstellen, de verdere gevolgen zoveel mogelijk te beperken en herhaling te voorkomen. </w:t>
      </w:r>
      <w:r>
        <w:t>Wederpartij</w:t>
      </w:r>
      <w:r w:rsidR="00183320">
        <w:t xml:space="preserve"> treedt zonder uitstel in overleg met Enexis teneinde hierover nadere afspraken te maken.</w:t>
      </w:r>
    </w:p>
    <w:p w14:paraId="0A9D7EC8" w14:textId="089A09CB" w:rsidR="00183320" w:rsidRDefault="0055311D" w:rsidP="002F10D2">
      <w:pPr>
        <w:pStyle w:val="Lijstalinea"/>
        <w:numPr>
          <w:ilvl w:val="1"/>
          <w:numId w:val="3"/>
        </w:numPr>
        <w:jc w:val="both"/>
      </w:pPr>
      <w:r>
        <w:t>Wederpartij</w:t>
      </w:r>
      <w:r w:rsidR="00800B4E">
        <w:t xml:space="preserve"> verleent</w:t>
      </w:r>
      <w:r w:rsidR="00183320">
        <w:t xml:space="preserve"> Enexis te allen tijde medewerking</w:t>
      </w:r>
      <w:r w:rsidR="0011661D">
        <w:t>,</w:t>
      </w:r>
      <w:r w:rsidR="00800B4E">
        <w:t xml:space="preserve"> volgt</w:t>
      </w:r>
      <w:r w:rsidR="0011661D">
        <w:t xml:space="preserve"> </w:t>
      </w:r>
      <w:r w:rsidR="00183320">
        <w:t xml:space="preserve">de instructies van Enexis op en </w:t>
      </w:r>
      <w:r w:rsidR="00800B4E">
        <w:t xml:space="preserve">verricht </w:t>
      </w:r>
      <w:r w:rsidR="00183320">
        <w:t xml:space="preserve">deugdelijk onderzoek naar het Incident. </w:t>
      </w:r>
      <w:r>
        <w:t>Wederpartij</w:t>
      </w:r>
      <w:r w:rsidR="00183320">
        <w:t xml:space="preserve"> stelt</w:t>
      </w:r>
      <w:r w:rsidR="00B607C4">
        <w:t xml:space="preserve"> </w:t>
      </w:r>
      <w:r w:rsidR="00183320">
        <w:t>een rapportage op</w:t>
      </w:r>
      <w:r w:rsidR="009E48FA">
        <w:t xml:space="preserve"> over het Incident</w:t>
      </w:r>
      <w:r w:rsidR="00183320">
        <w:t xml:space="preserve">, inclusief een correcte respons en passende vervolgstappen. Deze rapportage deelt </w:t>
      </w:r>
      <w:r>
        <w:t>Wederpartij</w:t>
      </w:r>
      <w:r w:rsidR="00183320">
        <w:t xml:space="preserve"> zo spoedig mogelijk met Enexis.</w:t>
      </w:r>
    </w:p>
    <w:p w14:paraId="5715671E" w14:textId="14B28BFE" w:rsidR="00183320" w:rsidRDefault="00D438FA" w:rsidP="002F10D2">
      <w:pPr>
        <w:pStyle w:val="Lijstalinea"/>
        <w:numPr>
          <w:ilvl w:val="1"/>
          <w:numId w:val="3"/>
        </w:numPr>
        <w:jc w:val="both"/>
      </w:pPr>
      <w:r>
        <w:t xml:space="preserve">In aanvulling </w:t>
      </w:r>
      <w:r w:rsidR="00DC6824">
        <w:t xml:space="preserve">op artikel 38.3 AV is het </w:t>
      </w:r>
      <w:r w:rsidR="0055311D">
        <w:t>Wederpartij</w:t>
      </w:r>
      <w:r w:rsidR="00183320">
        <w:t xml:space="preserve"> niet toegestaan informatie te verstrekken </w:t>
      </w:r>
      <w:r w:rsidR="007C6AD4">
        <w:t xml:space="preserve">aan derde partijen </w:t>
      </w:r>
      <w:r w:rsidR="00183320">
        <w:t xml:space="preserve">over Incidenten, </w:t>
      </w:r>
      <w:r w:rsidR="002C431C">
        <w:t xml:space="preserve">tenzij </w:t>
      </w:r>
      <w:r w:rsidR="0055311D">
        <w:t>Wederpartij</w:t>
      </w:r>
      <w:r w:rsidR="00183320">
        <w:t xml:space="preserve"> daartoe wettelijk verplicht is. </w:t>
      </w:r>
    </w:p>
    <w:p w14:paraId="52ACFBC1" w14:textId="3FFE1336" w:rsidR="00824353" w:rsidRDefault="0055311D" w:rsidP="007B6B56">
      <w:pPr>
        <w:pStyle w:val="Lijstalinea"/>
        <w:numPr>
          <w:ilvl w:val="1"/>
          <w:numId w:val="3"/>
        </w:numPr>
        <w:jc w:val="both"/>
      </w:pPr>
      <w:r>
        <w:t>Wederpartij</w:t>
      </w:r>
      <w:r w:rsidR="00183320">
        <w:t xml:space="preserve"> houdt een register bij van plaatsgevonden Incidenten en inbreuken op de getroffen Beveiligingsmaatregelen. </w:t>
      </w:r>
    </w:p>
    <w:p w14:paraId="51D456D0" w14:textId="77777777" w:rsidR="007B6B56" w:rsidRDefault="007B6B56" w:rsidP="007B6B56">
      <w:pPr>
        <w:pStyle w:val="Lijstalinea"/>
        <w:ind w:left="360"/>
        <w:jc w:val="both"/>
      </w:pPr>
    </w:p>
    <w:p w14:paraId="214B2F64" w14:textId="10DB9342" w:rsidR="00C744DF" w:rsidRDefault="00E0051A" w:rsidP="002F10D2">
      <w:pPr>
        <w:pStyle w:val="Kop1"/>
        <w:jc w:val="both"/>
      </w:pPr>
      <w:bookmarkStart w:id="8" w:name="_Toc199338647"/>
      <w:r>
        <w:t>RELATIES MET DERDEN</w:t>
      </w:r>
      <w:bookmarkEnd w:id="8"/>
      <w:r>
        <w:t xml:space="preserve"> </w:t>
      </w:r>
    </w:p>
    <w:p w14:paraId="47CEE411" w14:textId="20B142AD" w:rsidR="00A57016" w:rsidRDefault="00D94CE0" w:rsidP="002F10D2">
      <w:pPr>
        <w:pStyle w:val="Lijstalinea"/>
        <w:numPr>
          <w:ilvl w:val="1"/>
          <w:numId w:val="3"/>
        </w:numPr>
        <w:jc w:val="both"/>
      </w:pPr>
      <w:r>
        <w:t xml:space="preserve">In aanvulling op artikel 20 AV geldt dat </w:t>
      </w:r>
      <w:r w:rsidR="0055311D">
        <w:t>Wederpartij</w:t>
      </w:r>
      <w:r w:rsidR="00051361" w:rsidRPr="00051361">
        <w:t xml:space="preserve"> bij de selectie van </w:t>
      </w:r>
      <w:r w:rsidR="0023638B">
        <w:t xml:space="preserve">een </w:t>
      </w:r>
      <w:r w:rsidR="00051361" w:rsidRPr="00051361">
        <w:t xml:space="preserve">Derde een due diligence proces </w:t>
      </w:r>
      <w:r w:rsidR="007D6808">
        <w:t xml:space="preserve">volgt </w:t>
      </w:r>
      <w:r w:rsidR="00051361" w:rsidRPr="00051361">
        <w:t xml:space="preserve">om </w:t>
      </w:r>
      <w:r w:rsidR="0023638B">
        <w:t>zijn</w:t>
      </w:r>
      <w:r w:rsidR="00051361" w:rsidRPr="00051361">
        <w:t xml:space="preserve"> geschiktheid te valideren op basis </w:t>
      </w:r>
      <w:r w:rsidR="00C8090D">
        <w:t xml:space="preserve">van de mate </w:t>
      </w:r>
      <w:r w:rsidR="00362584" w:rsidRPr="00051361">
        <w:t>waar</w:t>
      </w:r>
      <w:r w:rsidR="00362584">
        <w:t>in</w:t>
      </w:r>
      <w:r w:rsidR="00362584" w:rsidRPr="00051361">
        <w:t xml:space="preserve"> </w:t>
      </w:r>
      <w:r w:rsidR="00051361" w:rsidRPr="00051361">
        <w:t>die Derde k</w:t>
      </w:r>
      <w:r w:rsidR="0023638B">
        <w:t>an</w:t>
      </w:r>
      <w:r w:rsidR="00051361" w:rsidRPr="00051361">
        <w:t xml:space="preserve"> voldoen aan de Beveiligingsmaatregelen in dit DV&amp;P Addendum. Wanneer </w:t>
      </w:r>
      <w:r w:rsidR="0023638B">
        <w:t xml:space="preserve">blijkt </w:t>
      </w:r>
      <w:r w:rsidR="00051361" w:rsidRPr="00051361">
        <w:t>dat een Derde (op delen) niet kan voldoen aan de overeengekomen Beveiligings</w:t>
      </w:r>
      <w:r w:rsidR="0023638B">
        <w:t>maatregelen</w:t>
      </w:r>
      <w:r w:rsidR="00051361" w:rsidRPr="00051361">
        <w:t xml:space="preserve"> en/of hoge risico’s introduceert op het gebied van </w:t>
      </w:r>
      <w:r w:rsidR="00B67224">
        <w:t>b</w:t>
      </w:r>
      <w:r w:rsidR="00051361" w:rsidRPr="00051361">
        <w:t xml:space="preserve">eveiliging, continuïteit en/of privacy, kan de betreffende Derde alleen met voorafgaande toestemming van Enexis worden ingezet. </w:t>
      </w:r>
      <w:r w:rsidR="0055311D">
        <w:t>Wederpartij</w:t>
      </w:r>
      <w:r w:rsidR="00051361" w:rsidRPr="00051361">
        <w:t xml:space="preserve"> </w:t>
      </w:r>
      <w:r w:rsidR="009974E2">
        <w:t xml:space="preserve">stelt </w:t>
      </w:r>
      <w:r w:rsidR="00051361" w:rsidRPr="00051361">
        <w:t xml:space="preserve">in dit due diligence proces </w:t>
      </w:r>
      <w:r w:rsidR="00162071">
        <w:lastRenderedPageBreak/>
        <w:t>door middel van</w:t>
      </w:r>
      <w:r w:rsidR="00051361" w:rsidRPr="00051361">
        <w:t xml:space="preserve"> een risicobeoordeling zoals bedoeld in ISO 27005 dan wel ISO 31000 vast of sprake is van een </w:t>
      </w:r>
      <w:r w:rsidR="00DD67A8">
        <w:t>K</w:t>
      </w:r>
      <w:r w:rsidR="00DD67A8" w:rsidRPr="00051361">
        <w:t xml:space="preserve">ritische </w:t>
      </w:r>
      <w:r w:rsidR="00051361" w:rsidRPr="00051361">
        <w:t xml:space="preserve">Derde. </w:t>
      </w:r>
    </w:p>
    <w:p w14:paraId="3983DAE5" w14:textId="2BBBBAAE" w:rsidR="00D1691D" w:rsidRPr="00D1691D" w:rsidRDefault="00D1691D" w:rsidP="002F10D2">
      <w:pPr>
        <w:pStyle w:val="Lijstalinea"/>
        <w:numPr>
          <w:ilvl w:val="1"/>
          <w:numId w:val="3"/>
        </w:numPr>
        <w:jc w:val="both"/>
      </w:pPr>
      <w:r w:rsidRPr="00D1691D">
        <w:t xml:space="preserve">Indien </w:t>
      </w:r>
      <w:r w:rsidR="0055311D">
        <w:t>Wederpartij</w:t>
      </w:r>
      <w:r w:rsidRPr="00D1691D">
        <w:t xml:space="preserve"> </w:t>
      </w:r>
      <w:r>
        <w:t xml:space="preserve">een </w:t>
      </w:r>
      <w:r w:rsidRPr="00D1691D">
        <w:t>Derde inschakelt voor de uitvoering van (een onderdeel van) de Hoofdovereenkomst,</w:t>
      </w:r>
      <w:r w:rsidR="00F2424F">
        <w:t xml:space="preserve"> </w:t>
      </w:r>
      <w:r w:rsidR="00323DAE">
        <w:t>legt</w:t>
      </w:r>
      <w:r w:rsidR="00F2424F">
        <w:t xml:space="preserve"> </w:t>
      </w:r>
      <w:r w:rsidR="0055311D">
        <w:t>Wederpartij</w:t>
      </w:r>
      <w:r w:rsidR="00F2424F">
        <w:t xml:space="preserve"> </w:t>
      </w:r>
      <w:r w:rsidR="00323DAE">
        <w:t>door middel van</w:t>
      </w:r>
      <w:r w:rsidR="00F2424F">
        <w:t xml:space="preserve"> een schriftelijke overeenkomst</w:t>
      </w:r>
      <w:r w:rsidR="0075081B">
        <w:t xml:space="preserve"> zoals bedoeld in artikel 20.2 AV</w:t>
      </w:r>
      <w:r w:rsidR="00F2424F">
        <w:t xml:space="preserve"> aan deze Derde minimaal dezelfde verplichtingen op als die op grond van dit DV&amp;P Addendum voor </w:t>
      </w:r>
      <w:r w:rsidR="0055311D">
        <w:t>Wederpartij</w:t>
      </w:r>
      <w:r w:rsidR="00F2424F">
        <w:t xml:space="preserve"> gelden. </w:t>
      </w:r>
      <w:r w:rsidR="0055311D">
        <w:t>Wederpartij</w:t>
      </w:r>
      <w:r w:rsidRPr="00D1691D">
        <w:t xml:space="preserve"> blijft jegens Enexis volledig verantwoordelijk voor de wijze waarop deze Derde hieraan uitvoering ge</w:t>
      </w:r>
      <w:r w:rsidR="00151473">
        <w:t xml:space="preserve">eft. </w:t>
      </w:r>
    </w:p>
    <w:p w14:paraId="4D6A183D" w14:textId="4B57B18D" w:rsidR="008D422C" w:rsidRDefault="0055311D" w:rsidP="002F10D2">
      <w:pPr>
        <w:pStyle w:val="Lijstalinea"/>
        <w:numPr>
          <w:ilvl w:val="1"/>
          <w:numId w:val="3"/>
        </w:numPr>
        <w:jc w:val="both"/>
      </w:pPr>
      <w:r>
        <w:t>Wederpartij</w:t>
      </w:r>
      <w:r w:rsidR="008D422C">
        <w:t xml:space="preserve"> </w:t>
      </w:r>
      <w:r w:rsidR="009974E2">
        <w:t>voert</w:t>
      </w:r>
      <w:r w:rsidR="008D422C">
        <w:t xml:space="preserve"> </w:t>
      </w:r>
      <w:r w:rsidR="0075081B">
        <w:t xml:space="preserve">in aanvulling op artikel 11 AV </w:t>
      </w:r>
      <w:r w:rsidR="008D422C">
        <w:t>periodiek, minimaal één (1) keer per jaar, audits en beoordelingen uit bij Derde(n)</w:t>
      </w:r>
      <w:r w:rsidR="008A14CB">
        <w:t xml:space="preserve"> </w:t>
      </w:r>
      <w:r w:rsidR="008D422C">
        <w:t xml:space="preserve">om te verzekeren dat zij voldoen aan overeengekomen Beveiligingsmaatregelen, waaronder begrepen een controle op het incident respons proces. De resultaten van deze audits en beoordelingen worden gedocumenteerd en </w:t>
      </w:r>
      <w:r>
        <w:t>Wederpartij</w:t>
      </w:r>
      <w:r w:rsidR="008D422C">
        <w:t xml:space="preserve"> z</w:t>
      </w:r>
      <w:r w:rsidR="008A14CB">
        <w:t>iet</w:t>
      </w:r>
      <w:r w:rsidR="008D422C">
        <w:t xml:space="preserve"> erop toe dat eventuele tekortkomingen worden aangepakt met corrigerende maatregelen.</w:t>
      </w:r>
    </w:p>
    <w:p w14:paraId="7A30A7FC" w14:textId="550097A3" w:rsidR="008D422C" w:rsidRDefault="0055311D" w:rsidP="002F10D2">
      <w:pPr>
        <w:pStyle w:val="Lijstalinea"/>
        <w:numPr>
          <w:ilvl w:val="1"/>
          <w:numId w:val="3"/>
        </w:numPr>
        <w:jc w:val="both"/>
      </w:pPr>
      <w:r>
        <w:t>Wederpartij</w:t>
      </w:r>
      <w:r w:rsidR="008A14CB">
        <w:t xml:space="preserve"> verplicht </w:t>
      </w:r>
      <w:r w:rsidR="008D422C">
        <w:t xml:space="preserve">Kritische Derde(n) om continuïteitsplannen en </w:t>
      </w:r>
      <w:r w:rsidR="008A14CB">
        <w:t>-</w:t>
      </w:r>
      <w:r w:rsidR="008D422C">
        <w:t xml:space="preserve">procedures te ontwikkelen en te onderhouden om de continuïteit en </w:t>
      </w:r>
      <w:r w:rsidR="00C60A0F">
        <w:t xml:space="preserve">het </w:t>
      </w:r>
      <w:r w:rsidR="008D422C">
        <w:t xml:space="preserve">herstel van levering van </w:t>
      </w:r>
      <w:r w:rsidR="00C60A0F">
        <w:t xml:space="preserve">producten en </w:t>
      </w:r>
      <w:r w:rsidR="008D422C">
        <w:t>diensten te waarborgen in geval van incidenten of verstoringen. Een dergelijk continuïteitsplan</w:t>
      </w:r>
      <w:r w:rsidR="00C60A0F">
        <w:t xml:space="preserve"> voldoet</w:t>
      </w:r>
      <w:r w:rsidR="008D422C">
        <w:t xml:space="preserve"> minimaal aan de eisen uit </w:t>
      </w:r>
      <w:r w:rsidR="008D422C" w:rsidRPr="00C70FE5">
        <w:rPr>
          <w:b/>
          <w:bCs/>
        </w:rPr>
        <w:t>Bijlage 10</w:t>
      </w:r>
      <w:r w:rsidR="00574A10">
        <w:t>.</w:t>
      </w:r>
    </w:p>
    <w:p w14:paraId="22727865" w14:textId="74C7959B" w:rsidR="00E847A5" w:rsidRDefault="002855F2" w:rsidP="00E847A5">
      <w:pPr>
        <w:pStyle w:val="Lijstalinea"/>
        <w:numPr>
          <w:ilvl w:val="1"/>
          <w:numId w:val="3"/>
        </w:numPr>
      </w:pPr>
      <w:r>
        <w:t>Wede</w:t>
      </w:r>
      <w:r w:rsidR="00E847A5" w:rsidRPr="00E847A5">
        <w:t xml:space="preserve">rpartij houdt een up-to-date overzicht bij van de Derde(n) die zij inzet voor de uitvoering van de Hoofdovereenkomst, waaronder inbegrepen een demarcatie van zijn Werkzaamheden ten opzichte die van andere relevante systemen en applicaties. </w:t>
      </w:r>
    </w:p>
    <w:p w14:paraId="4378367A" w14:textId="77777777" w:rsidR="00E847A5" w:rsidRPr="00E847A5" w:rsidRDefault="00E847A5" w:rsidP="00E847A5">
      <w:pPr>
        <w:pStyle w:val="Lijstalinea"/>
        <w:ind w:left="360"/>
      </w:pPr>
    </w:p>
    <w:p w14:paraId="7A689786" w14:textId="27E6469C" w:rsidR="00A57016" w:rsidRDefault="00F31048" w:rsidP="002F10D2">
      <w:pPr>
        <w:pStyle w:val="Kop1"/>
        <w:jc w:val="both"/>
      </w:pPr>
      <w:bookmarkStart w:id="9" w:name="_Toc199338648"/>
      <w:r>
        <w:t>DUUR EN BEEINDIGING</w:t>
      </w:r>
      <w:bookmarkEnd w:id="9"/>
      <w:r>
        <w:t xml:space="preserve"> </w:t>
      </w:r>
    </w:p>
    <w:p w14:paraId="6721D9AC" w14:textId="688730CE" w:rsidR="00B879A8" w:rsidRDefault="00B879A8" w:rsidP="002F10D2">
      <w:pPr>
        <w:pStyle w:val="Lijstalinea"/>
        <w:numPr>
          <w:ilvl w:val="1"/>
          <w:numId w:val="3"/>
        </w:numPr>
        <w:jc w:val="both"/>
      </w:pPr>
      <w:r>
        <w:t>He</w:t>
      </w:r>
      <w:r w:rsidR="007F7620" w:rsidRPr="007F7620">
        <w:t>t DV&amp;P Addendum treedt</w:t>
      </w:r>
      <w:r w:rsidR="00772C0B">
        <w:t>, voor zover nodig met terugwerkende kracht,</w:t>
      </w:r>
      <w:r w:rsidR="007F7620" w:rsidRPr="007F7620">
        <w:t xml:space="preserve"> in werking </w:t>
      </w:r>
      <w:r w:rsidR="00391D78">
        <w:t>op het moment van</w:t>
      </w:r>
      <w:r w:rsidR="00391D78" w:rsidRPr="007F7620">
        <w:t xml:space="preserve"> </w:t>
      </w:r>
      <w:r w:rsidR="007F7620" w:rsidRPr="007F7620">
        <w:t xml:space="preserve">rechtsgeldige ondertekening door Partijen </w:t>
      </w:r>
      <w:r w:rsidR="00391D78">
        <w:t>van de Hoofdovereenkomst</w:t>
      </w:r>
      <w:r w:rsidR="007B592D">
        <w:t xml:space="preserve">. </w:t>
      </w:r>
      <w:r>
        <w:t>Het</w:t>
      </w:r>
      <w:r w:rsidRPr="00B879A8">
        <w:t xml:space="preserve"> DV&amp;P Addendum </w:t>
      </w:r>
      <w:r>
        <w:t xml:space="preserve">eindigt </w:t>
      </w:r>
      <w:r w:rsidRPr="00B879A8">
        <w:t xml:space="preserve">van rechtswege op het moment van </w:t>
      </w:r>
      <w:r w:rsidR="00B02330">
        <w:t>eindigen van de Hoofdovereenkomst</w:t>
      </w:r>
      <w:r w:rsidR="006863E8">
        <w:t xml:space="preserve">, </w:t>
      </w:r>
      <w:r w:rsidR="006863E8" w:rsidRPr="006863E8">
        <w:t>met dien verstande dat altijd voldaan zal moeten worden aan het bepaalde in artikel 48 AV.</w:t>
      </w:r>
    </w:p>
    <w:p w14:paraId="34CC6556" w14:textId="0AAC482D" w:rsidR="00A57016" w:rsidRDefault="00C744DF" w:rsidP="002F10D2">
      <w:pPr>
        <w:pStyle w:val="Lijstalinea"/>
        <w:numPr>
          <w:ilvl w:val="1"/>
          <w:numId w:val="3"/>
        </w:numPr>
        <w:jc w:val="both"/>
      </w:pPr>
      <w:r>
        <w:t xml:space="preserve">De bepalingen uit </w:t>
      </w:r>
      <w:r w:rsidR="00B879A8">
        <w:t xml:space="preserve">DV&amp;P Addendum </w:t>
      </w:r>
      <w:r>
        <w:t xml:space="preserve">die de strekking hebben om na beëindiging van </w:t>
      </w:r>
      <w:r w:rsidR="00B879A8">
        <w:t xml:space="preserve">het DV&amp;P Addendum </w:t>
      </w:r>
      <w:r>
        <w:t xml:space="preserve">te blijven gelden, blijven na het eindigen </w:t>
      </w:r>
      <w:r w:rsidR="00B879A8">
        <w:t xml:space="preserve">daarvan </w:t>
      </w:r>
      <w:r w:rsidR="002A22A4">
        <w:t xml:space="preserve">voor de aanvullende duur van tien (10) jaar </w:t>
      </w:r>
      <w:r>
        <w:t>van kracht. Dit betreft in ieder geval de artikelen Geheimhouding</w:t>
      </w:r>
      <w:r w:rsidR="00B879A8">
        <w:t xml:space="preserve"> en verwerking gegevens</w:t>
      </w:r>
      <w:r>
        <w:t xml:space="preserve"> (artikel </w:t>
      </w:r>
      <w:r w:rsidR="00B879A8">
        <w:t>3)</w:t>
      </w:r>
      <w:r w:rsidR="00EA4447" w:rsidRPr="001F5FC8">
        <w:t xml:space="preserve"> </w:t>
      </w:r>
      <w:r w:rsidRPr="001F5FC8">
        <w:t>en dit artikel</w:t>
      </w:r>
      <w:r>
        <w:t>.</w:t>
      </w:r>
    </w:p>
    <w:p w14:paraId="4E841760" w14:textId="1F28B6DE" w:rsidR="00B67F54" w:rsidRDefault="008001FB" w:rsidP="00230879">
      <w:pPr>
        <w:jc w:val="both"/>
      </w:pPr>
      <w:r>
        <w:t xml:space="preserve"> </w:t>
      </w:r>
    </w:p>
    <w:p w14:paraId="0256AED9" w14:textId="77777777" w:rsidR="00E703D2" w:rsidRDefault="00E703D2" w:rsidP="00E703D2">
      <w:pPr>
        <w:pStyle w:val="Lijstalinea"/>
        <w:ind w:left="360"/>
        <w:jc w:val="both"/>
      </w:pPr>
    </w:p>
    <w:p w14:paraId="06CB5099" w14:textId="1A52E263" w:rsidR="00B67F54" w:rsidRDefault="00B67F54" w:rsidP="002F10D2">
      <w:pPr>
        <w:pStyle w:val="Kop1"/>
        <w:jc w:val="both"/>
      </w:pPr>
      <w:bookmarkStart w:id="10" w:name="_Toc199338649"/>
      <w:r>
        <w:t>TUSSENTIJDSE BE</w:t>
      </w:r>
      <w:r w:rsidR="006C21D9">
        <w:t>Ë</w:t>
      </w:r>
      <w:r>
        <w:t>INDIGING</w:t>
      </w:r>
      <w:r w:rsidR="00090676">
        <w:t>, ONTBINDING</w:t>
      </w:r>
      <w:r>
        <w:t xml:space="preserve"> EN OPSCHORTING</w:t>
      </w:r>
      <w:bookmarkEnd w:id="10"/>
      <w:r>
        <w:t xml:space="preserve"> </w:t>
      </w:r>
    </w:p>
    <w:p w14:paraId="3844D097" w14:textId="4ABBED8F" w:rsidR="00BA5020" w:rsidRDefault="005C6A49" w:rsidP="002F10D2">
      <w:pPr>
        <w:pStyle w:val="Lijstalinea"/>
        <w:numPr>
          <w:ilvl w:val="1"/>
          <w:numId w:val="3"/>
        </w:numPr>
        <w:jc w:val="both"/>
      </w:pPr>
      <w:r w:rsidRPr="005C6A49">
        <w:t xml:space="preserve">Enexis heeft </w:t>
      </w:r>
      <w:r w:rsidR="00230879">
        <w:t xml:space="preserve">in aanvulling </w:t>
      </w:r>
      <w:r w:rsidR="002C5C75">
        <w:t xml:space="preserve">op artikel 18.1 en 18.4 AV </w:t>
      </w:r>
      <w:r w:rsidRPr="005C6A49">
        <w:t>het recht om de Hoofdovereenkomst per direct</w:t>
      </w:r>
      <w:r w:rsidR="00C3248A">
        <w:t xml:space="preserve">, </w:t>
      </w:r>
      <w:r w:rsidR="00B55344" w:rsidRPr="005C6A49">
        <w:t>zonder ingebrekestelling</w:t>
      </w:r>
      <w:r w:rsidR="00C3248A">
        <w:t xml:space="preserve"> en zonder rechtelijke tussenkomst</w:t>
      </w:r>
      <w:r w:rsidR="00B55344" w:rsidRPr="005C6A49">
        <w:t xml:space="preserve"> </w:t>
      </w:r>
      <w:r w:rsidRPr="005C6A49">
        <w:t>op te schorten</w:t>
      </w:r>
      <w:r w:rsidR="00C3248A">
        <w:t xml:space="preserve">, </w:t>
      </w:r>
      <w:r w:rsidRPr="005C6A49">
        <w:t>te ontbinden danwel op te zeggen en de door Enexis geleden schade vergoed te krijgen in het geval van:</w:t>
      </w:r>
    </w:p>
    <w:p w14:paraId="5AD8CFFA" w14:textId="3DF7E80B" w:rsidR="00DD2D63" w:rsidRPr="00541047" w:rsidRDefault="00DB7E0F" w:rsidP="00541047">
      <w:pPr>
        <w:pStyle w:val="Lijstalinea"/>
        <w:numPr>
          <w:ilvl w:val="0"/>
          <w:numId w:val="13"/>
        </w:numPr>
        <w:jc w:val="both"/>
      </w:pPr>
      <w:r>
        <w:t>schending</w:t>
      </w:r>
      <w:r w:rsidR="00FB608C" w:rsidRPr="00FB608C">
        <w:t xml:space="preserve"> van artikel </w:t>
      </w:r>
      <w:r w:rsidR="00FB608C">
        <w:t>2</w:t>
      </w:r>
      <w:r w:rsidR="00FB608C" w:rsidRPr="00FB608C">
        <w:t xml:space="preserve">, artikel </w:t>
      </w:r>
      <w:r w:rsidR="00FB608C">
        <w:t>3</w:t>
      </w:r>
      <w:r w:rsidR="00FB608C" w:rsidRPr="00FB608C">
        <w:t xml:space="preserve"> en/of artikel </w:t>
      </w:r>
      <w:r w:rsidR="00FB608C">
        <w:t>6</w:t>
      </w:r>
      <w:r w:rsidR="00FB608C" w:rsidRPr="00FB608C">
        <w:t xml:space="preserve"> van </w:t>
      </w:r>
      <w:r w:rsidR="00BD43E6">
        <w:t>di</w:t>
      </w:r>
      <w:r w:rsidR="00FB608C" w:rsidRPr="00FB608C">
        <w:t xml:space="preserve">t DV&amp;P Addendum door </w:t>
      </w:r>
      <w:r w:rsidR="0055311D">
        <w:t>Wederpartij</w:t>
      </w:r>
      <w:r w:rsidR="00541047">
        <w:t xml:space="preserve">. </w:t>
      </w:r>
    </w:p>
    <w:p w14:paraId="2CF1DE07" w14:textId="24E6F477" w:rsidR="00662B90" w:rsidRDefault="00511D82" w:rsidP="002F10D2">
      <w:pPr>
        <w:pStyle w:val="Lijstalinea"/>
        <w:numPr>
          <w:ilvl w:val="1"/>
          <w:numId w:val="3"/>
        </w:numPr>
        <w:jc w:val="both"/>
      </w:pPr>
      <w:r w:rsidRPr="00511D82">
        <w:t xml:space="preserve">Buiten een vergoeding voor in redelijkheid gemaakte, onvermijdbare kosten voor </w:t>
      </w:r>
      <w:proofErr w:type="gramStart"/>
      <w:r w:rsidRPr="00511D82">
        <w:t>reeds</w:t>
      </w:r>
      <w:proofErr w:type="gramEnd"/>
      <w:r w:rsidRPr="00511D82">
        <w:t xml:space="preserve"> in productie genomen goederen of onderhanden werk, geeft ontbinding of opzegging van de </w:t>
      </w:r>
      <w:r w:rsidR="00D6023C">
        <w:t>Hoofd</w:t>
      </w:r>
      <w:r w:rsidRPr="00511D82">
        <w:t>overeenkomst op basis van dit DV</w:t>
      </w:r>
      <w:r w:rsidR="002F64A7">
        <w:t>&amp;</w:t>
      </w:r>
      <w:r w:rsidRPr="00511D82">
        <w:t>P</w:t>
      </w:r>
      <w:r w:rsidR="002F64A7">
        <w:t xml:space="preserve"> A</w:t>
      </w:r>
      <w:r w:rsidRPr="00511D82">
        <w:t xml:space="preserve">ddendum </w:t>
      </w:r>
      <w:r w:rsidR="0055311D">
        <w:t>Wederpartij</w:t>
      </w:r>
      <w:r w:rsidRPr="00511D82">
        <w:t xml:space="preserve"> geen recht op verdere vergoeding van enigerlei schade.</w:t>
      </w:r>
    </w:p>
    <w:p w14:paraId="7E35B53A" w14:textId="77777777" w:rsidR="004E55F3" w:rsidRDefault="004E55F3" w:rsidP="002F10D2">
      <w:pPr>
        <w:jc w:val="both"/>
      </w:pPr>
    </w:p>
    <w:p w14:paraId="786A87B0" w14:textId="771706A8" w:rsidR="00662B90" w:rsidRDefault="005E3F89" w:rsidP="002F10D2">
      <w:pPr>
        <w:pStyle w:val="Kop1"/>
        <w:jc w:val="both"/>
      </w:pPr>
      <w:bookmarkStart w:id="11" w:name="_Toc199338651"/>
      <w:r>
        <w:t>OVERIG</w:t>
      </w:r>
      <w:bookmarkEnd w:id="11"/>
    </w:p>
    <w:p w14:paraId="6CF2E2F2" w14:textId="2D587549" w:rsidR="005228E8" w:rsidRDefault="005228E8" w:rsidP="00E81684">
      <w:pPr>
        <w:pStyle w:val="Lijstalinea"/>
        <w:numPr>
          <w:ilvl w:val="1"/>
          <w:numId w:val="3"/>
        </w:numPr>
        <w:jc w:val="both"/>
      </w:pPr>
      <w:r w:rsidRPr="005228E8">
        <w:t xml:space="preserve">Enexis is gerechtigd wijzigingen in het DV&amp;P Addendum </w:t>
      </w:r>
      <w:r>
        <w:t xml:space="preserve">door te voeren </w:t>
      </w:r>
      <w:r w:rsidRPr="005228E8">
        <w:t>die wegens gewijzigde inzichten, toepasselijke wet- en regelgeving, gewijzigde omstandigheden en/of risico’s noodzakelijk zijn</w:t>
      </w:r>
      <w:r w:rsidR="000A74CA">
        <w:t>.</w:t>
      </w:r>
    </w:p>
    <w:p w14:paraId="6C954238" w14:textId="77777777" w:rsidR="00946C94" w:rsidRPr="00946C94" w:rsidRDefault="00946C94" w:rsidP="00946C94">
      <w:pPr>
        <w:pStyle w:val="Lijstalinea"/>
        <w:ind w:left="360"/>
        <w:jc w:val="both"/>
        <w:rPr>
          <w:i/>
          <w:iCs/>
          <w:sz w:val="16"/>
          <w:szCs w:val="16"/>
        </w:rPr>
      </w:pPr>
    </w:p>
    <w:p w14:paraId="57480CDC" w14:textId="53B02A47" w:rsidR="00946C94" w:rsidRPr="00946C94" w:rsidRDefault="00946C94" w:rsidP="000C4BBD">
      <w:pPr>
        <w:pStyle w:val="Lijstalinea"/>
        <w:ind w:left="708"/>
        <w:jc w:val="both"/>
        <w:rPr>
          <w:i/>
          <w:iCs/>
          <w:sz w:val="16"/>
          <w:szCs w:val="16"/>
        </w:rPr>
      </w:pPr>
      <w:r w:rsidRPr="00946C94">
        <w:rPr>
          <w:i/>
          <w:iCs/>
          <w:sz w:val="16"/>
          <w:szCs w:val="16"/>
          <w:u w:val="single"/>
        </w:rPr>
        <w:t>Toelichting:</w:t>
      </w:r>
      <w:r w:rsidRPr="00946C94">
        <w:rPr>
          <w:i/>
          <w:iCs/>
          <w:sz w:val="16"/>
          <w:szCs w:val="16"/>
        </w:rPr>
        <w:t xml:space="preserve"> De ontwikkelingen en inzichten op het gebied van Cybersecurity volgen zich in een snel tempo op. Inherent aan deze ontwikkeling is dat de (beveiligings)maatregelen als beschreven in de Bijlagen telkens worden geëvalueerd en doorontwikkeld. Bij Enexis is gebruikelijk dat alvorens wijzigingen in één van deze Bijlagen worden doorgevoerd, dat dit niet wordt doorgevoerd zonder goed overleg met Wederpartij. </w:t>
      </w:r>
    </w:p>
    <w:p w14:paraId="2D0E903C" w14:textId="77777777" w:rsidR="00946C94" w:rsidRDefault="00946C94" w:rsidP="00946C94">
      <w:pPr>
        <w:pStyle w:val="Lijstalinea"/>
        <w:ind w:left="360"/>
        <w:jc w:val="both"/>
      </w:pPr>
    </w:p>
    <w:p w14:paraId="5540540F" w14:textId="1691530E" w:rsidR="00946C94" w:rsidRDefault="00D07997" w:rsidP="00946C94">
      <w:pPr>
        <w:pStyle w:val="Lijstalinea"/>
        <w:numPr>
          <w:ilvl w:val="1"/>
          <w:numId w:val="3"/>
        </w:numPr>
        <w:jc w:val="both"/>
      </w:pPr>
      <w:r w:rsidRPr="00D07997">
        <w:lastRenderedPageBreak/>
        <w:t xml:space="preserve">Wijzigingen door </w:t>
      </w:r>
      <w:r w:rsidR="004155FA">
        <w:t>Enexis in dit DV</w:t>
      </w:r>
      <w:r w:rsidR="000A74CA">
        <w:t>&amp;</w:t>
      </w:r>
      <w:r w:rsidR="004155FA">
        <w:t>P</w:t>
      </w:r>
      <w:r w:rsidR="000A74CA">
        <w:t xml:space="preserve"> A</w:t>
      </w:r>
      <w:r w:rsidR="004155FA">
        <w:t>ddendum</w:t>
      </w:r>
      <w:r w:rsidRPr="00D07997">
        <w:t xml:space="preserve"> geven </w:t>
      </w:r>
      <w:r w:rsidR="0055311D">
        <w:t>Wederpartij</w:t>
      </w:r>
      <w:r w:rsidRPr="00D07997">
        <w:t xml:space="preserve"> aanspraak op bijbetaling, </w:t>
      </w:r>
      <w:r w:rsidR="004155FA">
        <w:t xml:space="preserve">voor zover </w:t>
      </w:r>
      <w:r w:rsidR="00FA1DCE">
        <w:t>h</w:t>
      </w:r>
      <w:r w:rsidR="004155FA">
        <w:t xml:space="preserve">ij </w:t>
      </w:r>
      <w:r w:rsidR="000A74CA">
        <w:t xml:space="preserve">aantoont </w:t>
      </w:r>
      <w:r w:rsidR="004155FA">
        <w:t>dat door die wijziging</w:t>
      </w:r>
      <w:r w:rsidR="000261A6">
        <w:t xml:space="preserve"> aanzienlijk</w:t>
      </w:r>
      <w:r w:rsidR="00872770">
        <w:t xml:space="preserve"> meer wordt gevraagd,</w:t>
      </w:r>
      <w:r w:rsidRPr="00D07997">
        <w:t xml:space="preserve"> dan redelijkerwijs van h</w:t>
      </w:r>
      <w:r w:rsidR="00A519EF">
        <w:t>em</w:t>
      </w:r>
      <w:r w:rsidRPr="00D07997">
        <w:t xml:space="preserve"> kan worden gevergd.</w:t>
      </w:r>
    </w:p>
    <w:p w14:paraId="3210C868" w14:textId="56AFA8C8" w:rsidR="002D4CB4" w:rsidRPr="002D4CB4" w:rsidRDefault="0078028B" w:rsidP="00E81684">
      <w:pPr>
        <w:pStyle w:val="Lijstalinea"/>
        <w:numPr>
          <w:ilvl w:val="1"/>
          <w:numId w:val="3"/>
        </w:numPr>
        <w:jc w:val="both"/>
      </w:pPr>
      <w:r>
        <w:t>Enexis heeft onverkort een recht</w:t>
      </w:r>
      <w:r w:rsidR="003104B2">
        <w:t xml:space="preserve"> </w:t>
      </w:r>
      <w:r w:rsidR="002D4CB4" w:rsidRPr="002D4CB4">
        <w:t xml:space="preserve">tot opschorting zoals bedoeld in artikel 6:52 BW voor zover sprake is van een tekortkoming van </w:t>
      </w:r>
      <w:r w:rsidR="0055311D">
        <w:t>Wederpartij</w:t>
      </w:r>
      <w:r w:rsidR="002D4CB4" w:rsidRPr="002D4CB4">
        <w:t xml:space="preserve"> in de nakoming van zijn verplichtingen in </w:t>
      </w:r>
      <w:r w:rsidR="002D4CB4">
        <w:t>het</w:t>
      </w:r>
      <w:r w:rsidR="002D4CB4" w:rsidRPr="002D4CB4">
        <w:t xml:space="preserve"> DV&amp;P Addendum. </w:t>
      </w:r>
    </w:p>
    <w:p w14:paraId="11743FC0" w14:textId="77777777" w:rsidR="00A04418" w:rsidRDefault="00A04418" w:rsidP="00946C94">
      <w:pPr>
        <w:jc w:val="both"/>
      </w:pPr>
    </w:p>
    <w:p w14:paraId="6613B49A" w14:textId="77777777" w:rsidR="00A04418" w:rsidRDefault="00A04418" w:rsidP="00E81684">
      <w:pPr>
        <w:pStyle w:val="Lijstalinea"/>
        <w:ind w:left="360"/>
        <w:jc w:val="both"/>
      </w:pPr>
    </w:p>
    <w:p w14:paraId="19F84DD6" w14:textId="77777777" w:rsidR="00C744DF" w:rsidRDefault="00C744DF" w:rsidP="00C744DF"/>
    <w:p w14:paraId="061C4F9F" w14:textId="77777777" w:rsidR="009D26D6" w:rsidRPr="009D26D6" w:rsidRDefault="009D26D6" w:rsidP="009D26D6"/>
    <w:p w14:paraId="051A4E60" w14:textId="77777777" w:rsidR="00662B90" w:rsidRPr="00662B90" w:rsidRDefault="00662B90" w:rsidP="00662B90"/>
    <w:p w14:paraId="39D79D96" w14:textId="77777777" w:rsidR="00824974" w:rsidRDefault="00824974" w:rsidP="00C744DF"/>
    <w:p w14:paraId="5DF05ADD" w14:textId="77777777" w:rsidR="003405CD" w:rsidRDefault="003405CD" w:rsidP="00C744DF"/>
    <w:p w14:paraId="2B52560B" w14:textId="77777777" w:rsidR="003405CD" w:rsidRDefault="003405CD" w:rsidP="00C744DF"/>
    <w:p w14:paraId="4150C65F" w14:textId="77777777" w:rsidR="007F4695" w:rsidRDefault="007F4695" w:rsidP="007F4695">
      <w:r>
        <w:t xml:space="preserve">Aldus overeengekomen te </w:t>
      </w:r>
      <w:r w:rsidRPr="00BD4833">
        <w:rPr>
          <w:highlight w:val="yellow"/>
        </w:rPr>
        <w:t>&lt;plaats&gt;</w:t>
      </w:r>
      <w:r>
        <w:t xml:space="preserve"> en </w:t>
      </w:r>
      <w:r w:rsidRPr="008C5154">
        <w:t>ondertekend:</w:t>
      </w:r>
    </w:p>
    <w:p w14:paraId="52D705EC" w14:textId="77777777" w:rsidR="007F4695" w:rsidRDefault="007F4695" w:rsidP="007F4695"/>
    <w:p w14:paraId="1E0B1FA7" w14:textId="77777777" w:rsidR="007F4695" w:rsidRDefault="007F4695" w:rsidP="007F4695"/>
    <w:p w14:paraId="2BCA193E" w14:textId="77777777" w:rsidR="007F4695" w:rsidRDefault="007F4695" w:rsidP="007F4695"/>
    <w:p w14:paraId="0337359F" w14:textId="77777777" w:rsidR="007F4695" w:rsidRPr="00BD4833" w:rsidRDefault="007F4695" w:rsidP="007F4695">
      <w:pPr>
        <w:rPr>
          <w:highlight w:val="yellow"/>
        </w:rPr>
      </w:pPr>
      <w:r w:rsidRPr="00BD4833">
        <w:rPr>
          <w:highlight w:val="yellow"/>
        </w:rPr>
        <w:t>&lt;</w:t>
      </w:r>
      <w:proofErr w:type="gramStart"/>
      <w:r w:rsidRPr="00BD4833">
        <w:rPr>
          <w:highlight w:val="yellow"/>
        </w:rPr>
        <w:t>datum</w:t>
      </w:r>
      <w:proofErr w:type="gramEnd"/>
      <w:r w:rsidRPr="00BD4833">
        <w:rPr>
          <w:highlight w:val="yellow"/>
        </w:rPr>
        <w:t>&gt;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7810BCEC" w14:textId="77777777" w:rsidR="007F4695" w:rsidRPr="00BD4833" w:rsidRDefault="007F4695" w:rsidP="007F4695">
      <w:pPr>
        <w:rPr>
          <w:highlight w:val="yellow"/>
        </w:rPr>
      </w:pPr>
      <w:r w:rsidRPr="00D106EF">
        <w:rPr>
          <w:highlight w:val="yellow"/>
        </w:rPr>
        <w:t>Enexis Personeel B.V</w:t>
      </w:r>
      <w:r>
        <w:rPr>
          <w:highlight w:val="yellow"/>
        </w:rPr>
        <w:t>.</w:t>
      </w:r>
      <w:r w:rsidRPr="00BD4833">
        <w:rPr>
          <w:highlight w:val="yellow"/>
        </w:rPr>
        <w:tab/>
      </w:r>
      <w:r w:rsidRPr="00BD4833">
        <w:rPr>
          <w:highlight w:val="yellow"/>
        </w:rPr>
        <w:tab/>
      </w:r>
      <w:r>
        <w:rPr>
          <w:highlight w:val="yellow"/>
        </w:rPr>
        <w:tab/>
      </w:r>
      <w:r>
        <w:rPr>
          <w:highlight w:val="yellow"/>
        </w:rPr>
        <w:tab/>
      </w:r>
      <w:r>
        <w:rPr>
          <w:highlight w:val="yellow"/>
        </w:rPr>
        <w:tab/>
      </w:r>
      <w:r>
        <w:rPr>
          <w:highlight w:val="yellow"/>
        </w:rPr>
        <w:tab/>
      </w:r>
      <w:r w:rsidRPr="00BD4833">
        <w:rPr>
          <w:highlight w:val="yellow"/>
        </w:rPr>
        <w:t>&lt;</w:t>
      </w:r>
      <w:proofErr w:type="gramStart"/>
      <w:r w:rsidRPr="00BD4833">
        <w:rPr>
          <w:highlight w:val="yellow"/>
        </w:rPr>
        <w:t>naam</w:t>
      </w:r>
      <w:proofErr w:type="gramEnd"/>
      <w:r w:rsidRPr="00BD4833">
        <w:rPr>
          <w:highlight w:val="yellow"/>
        </w:rPr>
        <w:t xml:space="preserve"> Wederpartij&gt;</w:t>
      </w:r>
    </w:p>
    <w:p w14:paraId="352C915D" w14:textId="77777777" w:rsidR="007F4695" w:rsidRPr="00BD4833" w:rsidRDefault="007F4695" w:rsidP="007F4695">
      <w:pPr>
        <w:rPr>
          <w:highlight w:val="yellow"/>
        </w:rPr>
      </w:pPr>
      <w:r w:rsidRPr="00BF1CD5">
        <w:rPr>
          <w:highlight w:val="yellow"/>
        </w:rPr>
        <w:t>Drs. R.B.A. van der Leeuw</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09D16F49" w14:textId="77777777" w:rsidR="007F4695" w:rsidRDefault="007F4695" w:rsidP="007F4695">
      <w:r w:rsidRPr="00F00886">
        <w:rPr>
          <w:highlight w:val="yellow"/>
        </w:rPr>
        <w:t>CEO</w:t>
      </w:r>
      <w:r>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1C510474" w14:textId="77777777" w:rsidR="00C744DF" w:rsidRDefault="00C744DF" w:rsidP="00C744DF"/>
    <w:p w14:paraId="6B24A616" w14:textId="77777777" w:rsidR="00C744DF" w:rsidRDefault="00C744DF" w:rsidP="00C744DF"/>
    <w:p w14:paraId="780492EC" w14:textId="77777777" w:rsidR="00C744DF" w:rsidRDefault="00C744DF" w:rsidP="00C744DF"/>
    <w:p w14:paraId="62856E87" w14:textId="77777777" w:rsidR="00C744DF" w:rsidRDefault="00C744DF" w:rsidP="00C744DF">
      <w:r>
        <w:t xml:space="preserve"> </w:t>
      </w:r>
    </w:p>
    <w:p w14:paraId="17CBD25F" w14:textId="77777777" w:rsidR="00CA7131" w:rsidRDefault="00CA7131">
      <w:pPr>
        <w:spacing w:after="60"/>
        <w:rPr>
          <w:rFonts w:ascii="Trebuchet MS" w:hAnsi="Trebuchet MS"/>
          <w:b/>
          <w:bCs/>
          <w:color w:val="04286C"/>
          <w:sz w:val="28"/>
          <w:szCs w:val="28"/>
        </w:rPr>
      </w:pPr>
      <w:r>
        <w:br w:type="page"/>
      </w:r>
    </w:p>
    <w:p w14:paraId="1527C340" w14:textId="77777777" w:rsidR="00A02AD0" w:rsidRDefault="00A02AD0" w:rsidP="00A02AD0">
      <w:pPr>
        <w:pStyle w:val="Kop1"/>
        <w:numPr>
          <w:ilvl w:val="0"/>
          <w:numId w:val="0"/>
        </w:numPr>
        <w:ind w:left="360" w:hanging="360"/>
      </w:pPr>
      <w:bookmarkStart w:id="12" w:name="_Toc194391371"/>
      <w:bookmarkStart w:id="13" w:name="_Toc199338652"/>
      <w:bookmarkStart w:id="14" w:name="_Hlk196420672"/>
      <w:r>
        <w:lastRenderedPageBreak/>
        <w:t>BIJLAGEN</w:t>
      </w:r>
      <w:bookmarkEnd w:id="12"/>
      <w:bookmarkEnd w:id="13"/>
    </w:p>
    <w:bookmarkEnd w:id="14"/>
    <w:p w14:paraId="317A3116" w14:textId="77777777" w:rsidR="00A02AD0" w:rsidRDefault="00A02AD0" w:rsidP="00A02AD0"/>
    <w:p w14:paraId="37B9F3BB" w14:textId="3228354C" w:rsidR="00A02AD0" w:rsidRDefault="006B16F7" w:rsidP="00E73F44">
      <w:pPr>
        <w:pStyle w:val="Lijstalinea"/>
        <w:numPr>
          <w:ilvl w:val="0"/>
          <w:numId w:val="5"/>
        </w:numPr>
      </w:pPr>
      <w:r>
        <w:t xml:space="preserve">Overeengekomen afwijkingen van DV&amp;P Addendum </w:t>
      </w:r>
    </w:p>
    <w:p w14:paraId="73C8257F" w14:textId="5A2B9CEE" w:rsidR="00A02AD0" w:rsidRDefault="006B16F7" w:rsidP="00E73F44">
      <w:pPr>
        <w:pStyle w:val="Lijstalinea"/>
        <w:numPr>
          <w:ilvl w:val="0"/>
          <w:numId w:val="5"/>
        </w:numPr>
      </w:pPr>
      <w:r>
        <w:t>Contactpersonen</w:t>
      </w:r>
    </w:p>
    <w:p w14:paraId="60536DCC" w14:textId="09FFA285" w:rsidR="00A02AD0" w:rsidRDefault="006B16F7" w:rsidP="00E73F44">
      <w:pPr>
        <w:pStyle w:val="Lijstalinea"/>
        <w:numPr>
          <w:ilvl w:val="0"/>
          <w:numId w:val="5"/>
        </w:numPr>
      </w:pPr>
      <w:r>
        <w:t>Locaties Informatie</w:t>
      </w:r>
    </w:p>
    <w:p w14:paraId="7BA82444" w14:textId="488FC55A" w:rsidR="00A02AD0" w:rsidRDefault="006B16F7" w:rsidP="00E73F44">
      <w:pPr>
        <w:pStyle w:val="Lijstalinea"/>
        <w:numPr>
          <w:ilvl w:val="0"/>
          <w:numId w:val="5"/>
        </w:numPr>
      </w:pPr>
      <w:r>
        <w:t>Toegangsbeveiliging</w:t>
      </w:r>
    </w:p>
    <w:p w14:paraId="77ADBCF6" w14:textId="426D9535" w:rsidR="00A02AD0" w:rsidRDefault="006B16F7" w:rsidP="00E73F44">
      <w:pPr>
        <w:pStyle w:val="Lijstalinea"/>
        <w:numPr>
          <w:ilvl w:val="0"/>
          <w:numId w:val="5"/>
        </w:numPr>
      </w:pPr>
      <w:r>
        <w:t xml:space="preserve">Encryptie en back-ups </w:t>
      </w:r>
    </w:p>
    <w:p w14:paraId="42A0296E" w14:textId="459F5DA6" w:rsidR="006B16F7" w:rsidRDefault="006B16F7" w:rsidP="00E73F44">
      <w:pPr>
        <w:pStyle w:val="Lijstalinea"/>
        <w:numPr>
          <w:ilvl w:val="0"/>
          <w:numId w:val="5"/>
        </w:numPr>
      </w:pPr>
      <w:r>
        <w:t>Personele en fysieke beveiliging</w:t>
      </w:r>
    </w:p>
    <w:p w14:paraId="5F37212D" w14:textId="52ECCF71" w:rsidR="00A02AD0" w:rsidRDefault="006B16F7" w:rsidP="00E73F44">
      <w:pPr>
        <w:pStyle w:val="Lijstalinea"/>
        <w:numPr>
          <w:ilvl w:val="0"/>
          <w:numId w:val="5"/>
        </w:numPr>
      </w:pPr>
      <w:r>
        <w:t>Training en bewustzijn</w:t>
      </w:r>
    </w:p>
    <w:p w14:paraId="4A6FD55A" w14:textId="1A4C2D7A" w:rsidR="00C744DF" w:rsidRDefault="006B16F7" w:rsidP="00E73F44">
      <w:pPr>
        <w:pStyle w:val="Lijstalinea"/>
        <w:numPr>
          <w:ilvl w:val="0"/>
          <w:numId w:val="5"/>
        </w:numPr>
      </w:pPr>
      <w:r>
        <w:t xml:space="preserve">Patchmanagement </w:t>
      </w:r>
    </w:p>
    <w:p w14:paraId="082F1FD3" w14:textId="632A5A83" w:rsidR="006B16F7" w:rsidRDefault="006B16F7" w:rsidP="00E73F44">
      <w:pPr>
        <w:pStyle w:val="Lijstalinea"/>
        <w:numPr>
          <w:ilvl w:val="0"/>
          <w:numId w:val="5"/>
        </w:numPr>
      </w:pPr>
      <w:r>
        <w:t>Vulnerability management</w:t>
      </w:r>
    </w:p>
    <w:p w14:paraId="14596786" w14:textId="154BC2E3" w:rsidR="006B16F7" w:rsidRDefault="006B16F7" w:rsidP="00E73F44">
      <w:pPr>
        <w:pStyle w:val="Lijstalinea"/>
        <w:numPr>
          <w:ilvl w:val="0"/>
          <w:numId w:val="5"/>
        </w:numPr>
      </w:pPr>
      <w:r>
        <w:t xml:space="preserve">Continuïteitsbeheer </w:t>
      </w:r>
    </w:p>
    <w:p w14:paraId="50D78767" w14:textId="11466EBB" w:rsidR="006B16F7" w:rsidRDefault="006B16F7" w:rsidP="00E73F44">
      <w:pPr>
        <w:pStyle w:val="Lijstalinea"/>
        <w:numPr>
          <w:ilvl w:val="0"/>
          <w:numId w:val="5"/>
        </w:numPr>
      </w:pPr>
      <w:r>
        <w:t>Softwareontwikkeling</w:t>
      </w:r>
    </w:p>
    <w:p w14:paraId="28A34101" w14:textId="2BBF8DE0" w:rsidR="006B16F7" w:rsidRDefault="006B16F7" w:rsidP="00E73F44">
      <w:pPr>
        <w:pStyle w:val="Lijstalinea"/>
        <w:numPr>
          <w:ilvl w:val="0"/>
          <w:numId w:val="5"/>
        </w:numPr>
      </w:pPr>
      <w:r>
        <w:t xml:space="preserve">Logging </w:t>
      </w:r>
      <w:r w:rsidR="000C4BBD">
        <w:t>&amp;</w:t>
      </w:r>
      <w:r>
        <w:t xml:space="preserve"> </w:t>
      </w:r>
      <w:r w:rsidR="000C4BBD">
        <w:t>B</w:t>
      </w:r>
      <w:r>
        <w:t>eveiligingscontroles</w:t>
      </w:r>
    </w:p>
    <w:p w14:paraId="3F58B763" w14:textId="77777777" w:rsidR="00C744DF" w:rsidRDefault="00C744DF" w:rsidP="00C744DF"/>
    <w:p w14:paraId="2B084D27" w14:textId="77777777" w:rsidR="006207C4" w:rsidRDefault="006207C4" w:rsidP="00C744DF"/>
    <w:p w14:paraId="3D62A87A" w14:textId="77777777" w:rsidR="002F10D2" w:rsidRDefault="002F10D2" w:rsidP="00C744DF"/>
    <w:p w14:paraId="725FB5EC" w14:textId="77777777" w:rsidR="002F10D2" w:rsidRDefault="002F10D2" w:rsidP="00C744DF"/>
    <w:p w14:paraId="26BBF886" w14:textId="77777777" w:rsidR="002F10D2" w:rsidRDefault="002F10D2" w:rsidP="00C744DF"/>
    <w:p w14:paraId="102498FC" w14:textId="77777777" w:rsidR="002F10D2" w:rsidRDefault="002F10D2" w:rsidP="00C744DF"/>
    <w:p w14:paraId="13AFA2F7" w14:textId="77777777" w:rsidR="002F10D2" w:rsidRDefault="002F10D2" w:rsidP="00C744DF"/>
    <w:p w14:paraId="5D4F7316" w14:textId="77777777" w:rsidR="002F10D2" w:rsidRDefault="002F10D2" w:rsidP="00C744DF"/>
    <w:p w14:paraId="0E0156DB" w14:textId="77777777" w:rsidR="002F10D2" w:rsidRDefault="002F10D2" w:rsidP="00C744DF"/>
    <w:p w14:paraId="62CE9735" w14:textId="77777777" w:rsidR="002F10D2" w:rsidRDefault="002F10D2" w:rsidP="00C744DF"/>
    <w:p w14:paraId="4ADA139B" w14:textId="77777777" w:rsidR="002F10D2" w:rsidRDefault="002F10D2" w:rsidP="00C744DF"/>
    <w:p w14:paraId="4479D192" w14:textId="77777777" w:rsidR="002F10D2" w:rsidRDefault="002F10D2" w:rsidP="00C744DF"/>
    <w:p w14:paraId="41B604C3" w14:textId="77777777" w:rsidR="002F10D2" w:rsidRDefault="002F10D2" w:rsidP="00C744DF"/>
    <w:p w14:paraId="2CEA3388" w14:textId="77777777" w:rsidR="002F10D2" w:rsidRDefault="002F10D2" w:rsidP="00C744DF"/>
    <w:p w14:paraId="1ABC1BDC" w14:textId="77777777" w:rsidR="002F10D2" w:rsidRDefault="002F10D2" w:rsidP="00C744DF"/>
    <w:p w14:paraId="449E6DC3" w14:textId="77777777" w:rsidR="002F10D2" w:rsidRDefault="002F10D2" w:rsidP="00C744DF"/>
    <w:p w14:paraId="6117CDF8" w14:textId="77777777" w:rsidR="002F10D2" w:rsidRDefault="002F10D2" w:rsidP="00C744DF"/>
    <w:p w14:paraId="2BF3162F" w14:textId="77777777" w:rsidR="002F10D2" w:rsidRDefault="002F10D2" w:rsidP="00C744DF"/>
    <w:p w14:paraId="472B4A63" w14:textId="77777777" w:rsidR="002F10D2" w:rsidRDefault="002F10D2" w:rsidP="00C744DF"/>
    <w:p w14:paraId="1EFB44AE" w14:textId="77777777" w:rsidR="002F10D2" w:rsidRDefault="002F10D2" w:rsidP="00C744DF"/>
    <w:p w14:paraId="4C342B8E" w14:textId="77777777" w:rsidR="002F10D2" w:rsidRDefault="002F10D2" w:rsidP="00C744DF"/>
    <w:p w14:paraId="752966C0" w14:textId="77777777" w:rsidR="002F10D2" w:rsidRDefault="002F10D2" w:rsidP="00C744DF"/>
    <w:p w14:paraId="51E1669D" w14:textId="77777777" w:rsidR="002F10D2" w:rsidRDefault="002F10D2" w:rsidP="00C744DF"/>
    <w:p w14:paraId="2C7E9B6F" w14:textId="77777777" w:rsidR="002F10D2" w:rsidRDefault="002F10D2" w:rsidP="00C744DF"/>
    <w:p w14:paraId="5E842468" w14:textId="77777777" w:rsidR="002F10D2" w:rsidRDefault="002F10D2" w:rsidP="00C744DF"/>
    <w:p w14:paraId="50CAF3F4" w14:textId="77777777" w:rsidR="002F10D2" w:rsidRDefault="002F10D2" w:rsidP="00C744DF"/>
    <w:p w14:paraId="65A8152B" w14:textId="77777777" w:rsidR="002F10D2" w:rsidRDefault="002F10D2" w:rsidP="00C744DF"/>
    <w:p w14:paraId="66E960EB" w14:textId="77777777" w:rsidR="002F10D2" w:rsidRDefault="002F10D2" w:rsidP="00C744DF"/>
    <w:p w14:paraId="59DF5740" w14:textId="77777777" w:rsidR="002F10D2" w:rsidRDefault="002F10D2" w:rsidP="00C744DF"/>
    <w:p w14:paraId="24C45252" w14:textId="77777777" w:rsidR="002F10D2" w:rsidRDefault="002F10D2" w:rsidP="00C744DF"/>
    <w:p w14:paraId="28DCA58B" w14:textId="77777777" w:rsidR="002F10D2" w:rsidRDefault="002F10D2" w:rsidP="00C744DF"/>
    <w:p w14:paraId="0BA8BE62" w14:textId="77777777" w:rsidR="002F10D2" w:rsidRDefault="002F10D2" w:rsidP="00C744DF"/>
    <w:p w14:paraId="0488DE25" w14:textId="77777777" w:rsidR="002F10D2" w:rsidRDefault="002F10D2" w:rsidP="00C744DF"/>
    <w:p w14:paraId="64A88E4C" w14:textId="77777777" w:rsidR="002F10D2" w:rsidRDefault="002F10D2" w:rsidP="00C744DF"/>
    <w:p w14:paraId="7B6C034D" w14:textId="77777777" w:rsidR="002F10D2" w:rsidRDefault="002F10D2" w:rsidP="00C744DF"/>
    <w:p w14:paraId="7B7641F8" w14:textId="77777777" w:rsidR="002F10D2" w:rsidRDefault="002F10D2" w:rsidP="00C744DF"/>
    <w:p w14:paraId="2B01C4C1" w14:textId="77777777" w:rsidR="002F10D2" w:rsidRDefault="002F10D2" w:rsidP="00C744DF"/>
    <w:p w14:paraId="79AD5A15" w14:textId="77777777" w:rsidR="002F10D2" w:rsidRDefault="002F10D2" w:rsidP="00C744DF"/>
    <w:p w14:paraId="05C32699" w14:textId="77777777" w:rsidR="002F10D2" w:rsidRDefault="002F10D2" w:rsidP="00C744DF"/>
    <w:p w14:paraId="3A51837A" w14:textId="5261505B" w:rsidR="002F10D2" w:rsidRDefault="002F10D2" w:rsidP="002F10D2">
      <w:pPr>
        <w:pStyle w:val="Kop1"/>
        <w:numPr>
          <w:ilvl w:val="0"/>
          <w:numId w:val="0"/>
        </w:numPr>
        <w:ind w:left="360" w:hanging="360"/>
      </w:pPr>
      <w:bookmarkStart w:id="15" w:name="_Toc197953384"/>
      <w:bookmarkStart w:id="16" w:name="_Toc199338653"/>
      <w:bookmarkStart w:id="17" w:name="_Hlk196420732"/>
      <w:r>
        <w:lastRenderedPageBreak/>
        <w:t>BIJLAGE 1 – OVEREENGEKOMEN AFWIJKINGEN DV&amp;P ADDENDUM</w:t>
      </w:r>
      <w:bookmarkEnd w:id="15"/>
      <w:bookmarkEnd w:id="16"/>
      <w:r>
        <w:t xml:space="preserve"> </w:t>
      </w:r>
    </w:p>
    <w:bookmarkEnd w:id="17"/>
    <w:p w14:paraId="2E224A51" w14:textId="77777777" w:rsidR="00E42C64" w:rsidRPr="0083183B" w:rsidRDefault="00E42C64" w:rsidP="00E42C64">
      <w:pPr>
        <w:spacing w:line="240" w:lineRule="auto"/>
        <w:jc w:val="both"/>
      </w:pPr>
    </w:p>
    <w:p w14:paraId="7489DEF6" w14:textId="03FB4645" w:rsidR="00E42C64" w:rsidRPr="0083183B" w:rsidRDefault="00E42C64" w:rsidP="00E42C64">
      <w:pPr>
        <w:spacing w:line="240" w:lineRule="auto"/>
        <w:jc w:val="both"/>
      </w:pPr>
      <w:r w:rsidRPr="0083183B">
        <w:t xml:space="preserve">Partijen zijn overeengekomen de tekst van het DV&amp;P </w:t>
      </w:r>
      <w:r>
        <w:t>A</w:t>
      </w:r>
      <w:r w:rsidRPr="0083183B">
        <w:t xml:space="preserve">ddendum op de volgende punten te </w:t>
      </w:r>
      <w:r w:rsidR="0087309F">
        <w:t xml:space="preserve">wijzigen: </w:t>
      </w:r>
    </w:p>
    <w:p w14:paraId="683B85E4" w14:textId="77777777" w:rsidR="00E42C64" w:rsidRPr="0083183B" w:rsidRDefault="00E42C64" w:rsidP="00E42C64">
      <w:pPr>
        <w:spacing w:line="240" w:lineRule="auto"/>
        <w:ind w:left="1440"/>
        <w:contextualSpacing/>
        <w:jc w:val="both"/>
      </w:pPr>
    </w:p>
    <w:tbl>
      <w:tblPr>
        <w:tblStyle w:val="Tabelraster"/>
        <w:tblW w:w="10201" w:type="dxa"/>
        <w:tblLook w:val="04A0" w:firstRow="1" w:lastRow="0" w:firstColumn="1" w:lastColumn="0" w:noHBand="0" w:noVBand="1"/>
      </w:tblPr>
      <w:tblGrid>
        <w:gridCol w:w="846"/>
        <w:gridCol w:w="3402"/>
        <w:gridCol w:w="3260"/>
        <w:gridCol w:w="2693"/>
      </w:tblGrid>
      <w:tr w:rsidR="00E42C64" w:rsidRPr="0083183B" w14:paraId="61F6A3E0" w14:textId="77777777" w:rsidTr="00FD1E22">
        <w:tc>
          <w:tcPr>
            <w:tcW w:w="846" w:type="dxa"/>
            <w:shd w:val="clear" w:color="auto" w:fill="F2F2F2" w:themeFill="background1" w:themeFillShade="F2"/>
          </w:tcPr>
          <w:p w14:paraId="4E8C65DA" w14:textId="77777777" w:rsidR="00E42C64" w:rsidRPr="0083183B" w:rsidRDefault="00E42C64" w:rsidP="00FD1E22">
            <w:pPr>
              <w:jc w:val="both"/>
              <w:rPr>
                <w:b/>
                <w:bCs/>
              </w:rPr>
            </w:pPr>
            <w:r w:rsidRPr="0083183B">
              <w:rPr>
                <w:b/>
                <w:bCs/>
              </w:rPr>
              <w:t>Art.</w:t>
            </w:r>
          </w:p>
        </w:tc>
        <w:tc>
          <w:tcPr>
            <w:tcW w:w="3402" w:type="dxa"/>
            <w:shd w:val="clear" w:color="auto" w:fill="F2F2F2" w:themeFill="background1" w:themeFillShade="F2"/>
          </w:tcPr>
          <w:p w14:paraId="7B2C36DB" w14:textId="77777777" w:rsidR="00E42C64" w:rsidRPr="0083183B" w:rsidRDefault="00E42C64" w:rsidP="00FD1E22">
            <w:pPr>
              <w:jc w:val="both"/>
              <w:rPr>
                <w:b/>
                <w:bCs/>
              </w:rPr>
            </w:pPr>
            <w:r w:rsidRPr="0083183B">
              <w:rPr>
                <w:b/>
                <w:bCs/>
              </w:rPr>
              <w:t>Tekst die vervalt</w:t>
            </w:r>
          </w:p>
        </w:tc>
        <w:tc>
          <w:tcPr>
            <w:tcW w:w="3260" w:type="dxa"/>
            <w:shd w:val="clear" w:color="auto" w:fill="F2F2F2" w:themeFill="background1" w:themeFillShade="F2"/>
          </w:tcPr>
          <w:p w14:paraId="6A416784" w14:textId="77777777" w:rsidR="00E42C64" w:rsidRPr="0083183B" w:rsidRDefault="00E42C64" w:rsidP="00FD1E22">
            <w:pPr>
              <w:jc w:val="both"/>
              <w:rPr>
                <w:b/>
                <w:bCs/>
              </w:rPr>
            </w:pPr>
            <w:r w:rsidRPr="0083183B">
              <w:rPr>
                <w:b/>
                <w:bCs/>
              </w:rPr>
              <w:t>Vervangende tekst</w:t>
            </w:r>
          </w:p>
        </w:tc>
        <w:tc>
          <w:tcPr>
            <w:tcW w:w="2693" w:type="dxa"/>
            <w:shd w:val="clear" w:color="auto" w:fill="F2F2F2" w:themeFill="background1" w:themeFillShade="F2"/>
          </w:tcPr>
          <w:p w14:paraId="6A2D2BCF" w14:textId="77777777" w:rsidR="00E42C64" w:rsidRPr="0083183B" w:rsidRDefault="00E42C64" w:rsidP="00FD1E22">
            <w:pPr>
              <w:jc w:val="both"/>
              <w:rPr>
                <w:b/>
                <w:bCs/>
              </w:rPr>
            </w:pPr>
            <w:r w:rsidRPr="0083183B">
              <w:rPr>
                <w:b/>
                <w:bCs/>
              </w:rPr>
              <w:t>Reden</w:t>
            </w:r>
          </w:p>
        </w:tc>
      </w:tr>
      <w:tr w:rsidR="00E42C64" w:rsidRPr="0083183B" w14:paraId="19A6D7E3" w14:textId="77777777" w:rsidTr="00FD1E22">
        <w:tc>
          <w:tcPr>
            <w:tcW w:w="846" w:type="dxa"/>
          </w:tcPr>
          <w:p w14:paraId="4DF9B5FF" w14:textId="07CFC120" w:rsidR="00E42C64" w:rsidRPr="0083183B" w:rsidRDefault="00E42C64" w:rsidP="00FD1E22">
            <w:pPr>
              <w:jc w:val="both"/>
            </w:pPr>
          </w:p>
        </w:tc>
        <w:tc>
          <w:tcPr>
            <w:tcW w:w="3402" w:type="dxa"/>
          </w:tcPr>
          <w:p w14:paraId="7FC7C782" w14:textId="77777777" w:rsidR="00E42C64" w:rsidRPr="0083183B" w:rsidRDefault="00E42C64" w:rsidP="00FD1E22">
            <w:pPr>
              <w:jc w:val="both"/>
            </w:pPr>
          </w:p>
        </w:tc>
        <w:tc>
          <w:tcPr>
            <w:tcW w:w="3260" w:type="dxa"/>
          </w:tcPr>
          <w:p w14:paraId="2E3DB832" w14:textId="77777777" w:rsidR="00E42C64" w:rsidRPr="0083183B" w:rsidRDefault="00E42C64" w:rsidP="00FD1E22">
            <w:pPr>
              <w:jc w:val="both"/>
            </w:pPr>
          </w:p>
        </w:tc>
        <w:tc>
          <w:tcPr>
            <w:tcW w:w="2693" w:type="dxa"/>
          </w:tcPr>
          <w:p w14:paraId="10D01448" w14:textId="77777777" w:rsidR="00E42C64" w:rsidRPr="0083183B" w:rsidRDefault="00E42C64" w:rsidP="00FD1E22">
            <w:pPr>
              <w:jc w:val="both"/>
            </w:pPr>
          </w:p>
        </w:tc>
      </w:tr>
      <w:tr w:rsidR="00E42C64" w:rsidRPr="0083183B" w14:paraId="4FAFCF32" w14:textId="77777777" w:rsidTr="00FD1E22">
        <w:tc>
          <w:tcPr>
            <w:tcW w:w="846" w:type="dxa"/>
          </w:tcPr>
          <w:p w14:paraId="30B4EF1D" w14:textId="77777777" w:rsidR="00E42C64" w:rsidRPr="0083183B" w:rsidRDefault="00E42C64" w:rsidP="00FD1E22">
            <w:pPr>
              <w:jc w:val="both"/>
            </w:pPr>
          </w:p>
        </w:tc>
        <w:tc>
          <w:tcPr>
            <w:tcW w:w="3402" w:type="dxa"/>
          </w:tcPr>
          <w:p w14:paraId="28460899" w14:textId="77777777" w:rsidR="00E42C64" w:rsidRPr="0083183B" w:rsidRDefault="00E42C64" w:rsidP="00FD1E22">
            <w:pPr>
              <w:jc w:val="both"/>
            </w:pPr>
          </w:p>
        </w:tc>
        <w:tc>
          <w:tcPr>
            <w:tcW w:w="3260" w:type="dxa"/>
          </w:tcPr>
          <w:p w14:paraId="21C49FFD" w14:textId="77777777" w:rsidR="00E42C64" w:rsidRPr="0083183B" w:rsidRDefault="00E42C64" w:rsidP="00FD1E22">
            <w:pPr>
              <w:jc w:val="both"/>
            </w:pPr>
          </w:p>
        </w:tc>
        <w:tc>
          <w:tcPr>
            <w:tcW w:w="2693" w:type="dxa"/>
          </w:tcPr>
          <w:p w14:paraId="0F3A6E8D" w14:textId="77777777" w:rsidR="00E42C64" w:rsidRPr="0083183B" w:rsidRDefault="00E42C64" w:rsidP="00FD1E22">
            <w:pPr>
              <w:jc w:val="both"/>
            </w:pPr>
          </w:p>
        </w:tc>
      </w:tr>
      <w:tr w:rsidR="00E42C64" w:rsidRPr="0083183B" w14:paraId="6C97BF2E" w14:textId="77777777" w:rsidTr="00FD1E22">
        <w:tc>
          <w:tcPr>
            <w:tcW w:w="846" w:type="dxa"/>
          </w:tcPr>
          <w:p w14:paraId="26AC7EF1" w14:textId="77777777" w:rsidR="00E42C64" w:rsidRPr="0083183B" w:rsidRDefault="00E42C64" w:rsidP="00FD1E22">
            <w:pPr>
              <w:jc w:val="both"/>
            </w:pPr>
          </w:p>
        </w:tc>
        <w:tc>
          <w:tcPr>
            <w:tcW w:w="3402" w:type="dxa"/>
          </w:tcPr>
          <w:p w14:paraId="428EABDB" w14:textId="77777777" w:rsidR="00E42C64" w:rsidRPr="0083183B" w:rsidRDefault="00E42C64" w:rsidP="00FD1E22">
            <w:pPr>
              <w:jc w:val="both"/>
            </w:pPr>
          </w:p>
        </w:tc>
        <w:tc>
          <w:tcPr>
            <w:tcW w:w="3260" w:type="dxa"/>
          </w:tcPr>
          <w:p w14:paraId="7663D542" w14:textId="77777777" w:rsidR="00E42C64" w:rsidRPr="0083183B" w:rsidRDefault="00E42C64" w:rsidP="00FD1E22">
            <w:pPr>
              <w:jc w:val="both"/>
            </w:pPr>
          </w:p>
        </w:tc>
        <w:tc>
          <w:tcPr>
            <w:tcW w:w="2693" w:type="dxa"/>
          </w:tcPr>
          <w:p w14:paraId="6EF949F9" w14:textId="77777777" w:rsidR="00E42C64" w:rsidRPr="0083183B" w:rsidRDefault="00E42C64" w:rsidP="00FD1E22">
            <w:pPr>
              <w:jc w:val="both"/>
            </w:pPr>
          </w:p>
        </w:tc>
      </w:tr>
    </w:tbl>
    <w:p w14:paraId="148E2CF1" w14:textId="77777777" w:rsidR="00E42C64" w:rsidRPr="0083183B" w:rsidRDefault="00E42C64" w:rsidP="00E42C64">
      <w:pPr>
        <w:spacing w:line="240" w:lineRule="auto"/>
        <w:jc w:val="both"/>
      </w:pPr>
      <w:r w:rsidRPr="0083183B">
        <w:br w:type="page"/>
      </w:r>
    </w:p>
    <w:p w14:paraId="2FF193CB" w14:textId="689C922E" w:rsidR="00E42C64" w:rsidRDefault="00E42C64" w:rsidP="00E42C64">
      <w:pPr>
        <w:pStyle w:val="Kop1"/>
        <w:numPr>
          <w:ilvl w:val="0"/>
          <w:numId w:val="0"/>
        </w:numPr>
        <w:ind w:left="360" w:hanging="360"/>
      </w:pPr>
      <w:bookmarkStart w:id="18" w:name="_Toc197953385"/>
      <w:bookmarkStart w:id="19" w:name="_Toc199338654"/>
      <w:r>
        <w:lastRenderedPageBreak/>
        <w:t>BIJLAGE 2 – CONTACTPERSONEN</w:t>
      </w:r>
      <w:bookmarkEnd w:id="18"/>
      <w:bookmarkEnd w:id="19"/>
      <w:r>
        <w:t xml:space="preserve"> </w:t>
      </w:r>
    </w:p>
    <w:p w14:paraId="6C3F2451" w14:textId="118F2D3D" w:rsidR="00A17851" w:rsidRPr="0083183B" w:rsidRDefault="00A17851" w:rsidP="00A17851">
      <w:pPr>
        <w:spacing w:line="240" w:lineRule="auto"/>
        <w:jc w:val="both"/>
      </w:pPr>
      <w:r w:rsidRPr="0083183B">
        <w:t xml:space="preserve">Wanneer zich een inbreuk en/of Incident voordoet of heeft voorgedaan </w:t>
      </w:r>
      <w:r>
        <w:t>en/</w:t>
      </w:r>
      <w:r w:rsidRPr="0083183B">
        <w:t>of indien sprake is van een</w:t>
      </w:r>
      <w:r>
        <w:t xml:space="preserve"> kwetsbaarheid die een direct risico </w:t>
      </w:r>
      <w:r w:rsidR="00586E94">
        <w:t xml:space="preserve">voor Enexis </w:t>
      </w:r>
      <w:r>
        <w:t>vormt,</w:t>
      </w:r>
      <w:r w:rsidRPr="0083183B">
        <w:t xml:space="preserve"> is </w:t>
      </w:r>
      <w:r w:rsidR="0055311D">
        <w:t>Wederpartij</w:t>
      </w:r>
      <w:r w:rsidRPr="0083183B">
        <w:t xml:space="preserve"> verplicht </w:t>
      </w:r>
      <w:r>
        <w:t xml:space="preserve">hiervan melding te doen via </w:t>
      </w:r>
      <w:hyperlink r:id="rId11" w:history="1">
        <w:r w:rsidRPr="00273361">
          <w:rPr>
            <w:rStyle w:val="Hyperlink"/>
            <w:b/>
            <w:bCs/>
          </w:rPr>
          <w:t>Security@enexis.nl</w:t>
        </w:r>
      </w:hyperlink>
      <w:r>
        <w:t xml:space="preserve"> </w:t>
      </w:r>
      <w:r w:rsidRPr="000D393B">
        <w:rPr>
          <w:u w:val="single"/>
        </w:rPr>
        <w:t>en</w:t>
      </w:r>
      <w:r>
        <w:t xml:space="preserve"> </w:t>
      </w:r>
      <w:r w:rsidR="00320352" w:rsidRPr="000933A4">
        <w:t xml:space="preserve">via </w:t>
      </w:r>
      <w:r w:rsidR="000933A4" w:rsidRPr="000933A4">
        <w:t>de telefoonnummers</w:t>
      </w:r>
      <w:r w:rsidR="00320352" w:rsidRPr="000933A4">
        <w:t xml:space="preserve"> van</w:t>
      </w:r>
      <w:r w:rsidR="00320352">
        <w:t xml:space="preserve"> </w:t>
      </w:r>
      <w:r w:rsidRPr="0083183B">
        <w:t>de contactperson</w:t>
      </w:r>
      <w:r w:rsidR="000E2B74">
        <w:t>en</w:t>
      </w:r>
      <w:r w:rsidRPr="0083183B">
        <w:t xml:space="preserve"> van Enexis genoemd in </w:t>
      </w:r>
      <w:r w:rsidRPr="0083183B">
        <w:rPr>
          <w:b/>
          <w:bCs/>
        </w:rPr>
        <w:t>Bijlage 2</w:t>
      </w:r>
      <w:r>
        <w:rPr>
          <w:b/>
          <w:bCs/>
        </w:rPr>
        <w:t xml:space="preserve">. </w:t>
      </w:r>
      <w:r w:rsidR="0055311D">
        <w:t>Wederpartij</w:t>
      </w:r>
      <w:r w:rsidRPr="00273361">
        <w:t xml:space="preserve"> dient</w:t>
      </w:r>
      <w:r w:rsidR="000E2B74">
        <w:t xml:space="preserve"> </w:t>
      </w:r>
      <w:r w:rsidR="00586E94">
        <w:t xml:space="preserve">Enexis hier </w:t>
      </w:r>
      <w:r w:rsidR="000E2B74">
        <w:t>via alle</w:t>
      </w:r>
      <w:r w:rsidR="00586E94">
        <w:t xml:space="preserve"> benoemde communicatiemiddelen </w:t>
      </w:r>
      <w:r w:rsidRPr="00273361">
        <w:t>onmiddellijk, doch</w:t>
      </w:r>
      <w:r w:rsidRPr="0083183B">
        <w:t xml:space="preserve"> uiterlijk binnen 12 uur nadat </w:t>
      </w:r>
      <w:r w:rsidR="0055311D">
        <w:t>Wederpartij</w:t>
      </w:r>
      <w:r w:rsidRPr="0083183B">
        <w:t xml:space="preserve"> </w:t>
      </w:r>
      <w:r>
        <w:t xml:space="preserve">daar </w:t>
      </w:r>
      <w:r w:rsidRPr="0083183B">
        <w:t xml:space="preserve">kennis van heeft genomen, </w:t>
      </w:r>
      <w:r w:rsidR="000D393B">
        <w:t xml:space="preserve">van </w:t>
      </w:r>
      <w:r w:rsidRPr="0083183B">
        <w:t>in kennis te stellen en daarbij alle relevante informatie te verstrekken:</w:t>
      </w:r>
    </w:p>
    <w:p w14:paraId="4D6136E1" w14:textId="77777777" w:rsidR="00A17851" w:rsidRPr="0083183B" w:rsidRDefault="00A17851" w:rsidP="00A17851">
      <w:pPr>
        <w:spacing w:line="240" w:lineRule="auto"/>
        <w:jc w:val="both"/>
      </w:pPr>
    </w:p>
    <w:p w14:paraId="25832E88" w14:textId="77777777" w:rsidR="00A17851" w:rsidRPr="0083183B" w:rsidRDefault="00A17851" w:rsidP="00A17851">
      <w:pPr>
        <w:spacing w:line="240" w:lineRule="auto"/>
      </w:pPr>
      <w:r w:rsidRPr="0083183B">
        <w:t xml:space="preserve">Contactinformatie van </w:t>
      </w:r>
      <w:r w:rsidRPr="0083183B">
        <w:rPr>
          <w:b/>
          <w:bCs/>
        </w:rPr>
        <w:t>Enexis</w:t>
      </w:r>
    </w:p>
    <w:tbl>
      <w:tblPr>
        <w:tblStyle w:val="Tabelraster"/>
        <w:tblW w:w="0" w:type="auto"/>
        <w:tblLook w:val="04A0" w:firstRow="1" w:lastRow="0" w:firstColumn="1" w:lastColumn="0" w:noHBand="0" w:noVBand="1"/>
      </w:tblPr>
      <w:tblGrid>
        <w:gridCol w:w="1407"/>
        <w:gridCol w:w="1646"/>
        <w:gridCol w:w="2685"/>
        <w:gridCol w:w="1765"/>
      </w:tblGrid>
      <w:tr w:rsidR="00750921" w:rsidRPr="0083183B" w14:paraId="35993F52" w14:textId="77777777" w:rsidTr="00750921">
        <w:tc>
          <w:tcPr>
            <w:tcW w:w="1407" w:type="dxa"/>
            <w:shd w:val="clear" w:color="auto" w:fill="44546A" w:themeFill="text2"/>
          </w:tcPr>
          <w:p w14:paraId="349CD440" w14:textId="77777777" w:rsidR="00750921" w:rsidRPr="00C45058" w:rsidRDefault="00750921" w:rsidP="00FD1E22">
            <w:pPr>
              <w:rPr>
                <w:color w:val="FFFFFF" w:themeColor="background1"/>
              </w:rPr>
            </w:pPr>
            <w:r w:rsidRPr="00C45058">
              <w:rPr>
                <w:color w:val="FFFFFF" w:themeColor="background1"/>
              </w:rPr>
              <w:t>Gebeurtenis</w:t>
            </w:r>
          </w:p>
        </w:tc>
        <w:tc>
          <w:tcPr>
            <w:tcW w:w="1646" w:type="dxa"/>
            <w:shd w:val="clear" w:color="auto" w:fill="44546A" w:themeFill="text2"/>
          </w:tcPr>
          <w:p w14:paraId="7F87619B" w14:textId="77777777" w:rsidR="00750921" w:rsidRPr="00C45058" w:rsidRDefault="00750921" w:rsidP="00FD1E22">
            <w:pPr>
              <w:rPr>
                <w:color w:val="FFFFFF" w:themeColor="background1"/>
              </w:rPr>
            </w:pPr>
            <w:r w:rsidRPr="00C45058">
              <w:rPr>
                <w:color w:val="FFFFFF" w:themeColor="background1"/>
              </w:rPr>
              <w:t>Naam</w:t>
            </w:r>
          </w:p>
        </w:tc>
        <w:tc>
          <w:tcPr>
            <w:tcW w:w="2685" w:type="dxa"/>
            <w:shd w:val="clear" w:color="auto" w:fill="44546A" w:themeFill="text2"/>
          </w:tcPr>
          <w:p w14:paraId="07B866A8" w14:textId="77777777" w:rsidR="00750921" w:rsidRPr="00C45058" w:rsidRDefault="00750921" w:rsidP="00FD1E22">
            <w:pPr>
              <w:rPr>
                <w:color w:val="FFFFFF" w:themeColor="background1"/>
              </w:rPr>
            </w:pPr>
            <w:r w:rsidRPr="00C45058">
              <w:rPr>
                <w:color w:val="FFFFFF" w:themeColor="background1"/>
              </w:rPr>
              <w:t>Functie</w:t>
            </w:r>
          </w:p>
        </w:tc>
        <w:tc>
          <w:tcPr>
            <w:tcW w:w="1765" w:type="dxa"/>
            <w:shd w:val="clear" w:color="auto" w:fill="44546A" w:themeFill="text2"/>
          </w:tcPr>
          <w:p w14:paraId="4846EB82" w14:textId="77777777" w:rsidR="00750921" w:rsidRPr="00C45058" w:rsidRDefault="00750921" w:rsidP="00FD1E22">
            <w:pPr>
              <w:rPr>
                <w:color w:val="FFFFFF" w:themeColor="background1"/>
              </w:rPr>
            </w:pPr>
            <w:r w:rsidRPr="00C45058">
              <w:rPr>
                <w:color w:val="FFFFFF" w:themeColor="background1"/>
              </w:rPr>
              <w:t>Telefoon nummer</w:t>
            </w:r>
          </w:p>
        </w:tc>
      </w:tr>
      <w:tr w:rsidR="00750921" w:rsidRPr="0083183B" w14:paraId="16928C46" w14:textId="77777777" w:rsidTr="00750921">
        <w:tc>
          <w:tcPr>
            <w:tcW w:w="1407" w:type="dxa"/>
          </w:tcPr>
          <w:p w14:paraId="531EEC07" w14:textId="77777777" w:rsidR="00750921" w:rsidRPr="0083183B" w:rsidRDefault="00750921" w:rsidP="00FD1E22">
            <w:r w:rsidRPr="0083183B">
              <w:t>Incident en inbreuk</w:t>
            </w:r>
          </w:p>
        </w:tc>
        <w:tc>
          <w:tcPr>
            <w:tcW w:w="1646" w:type="dxa"/>
          </w:tcPr>
          <w:p w14:paraId="6451AE12" w14:textId="4DBC37EC" w:rsidR="00750921" w:rsidRPr="0083183B" w:rsidRDefault="003B31E2" w:rsidP="00FD1E22">
            <w:r>
              <w:t>Jeroen Teppema</w:t>
            </w:r>
          </w:p>
        </w:tc>
        <w:tc>
          <w:tcPr>
            <w:tcW w:w="2685" w:type="dxa"/>
          </w:tcPr>
          <w:p w14:paraId="2C8FC71A" w14:textId="77777777" w:rsidR="00750921" w:rsidRPr="0083183B" w:rsidRDefault="00750921" w:rsidP="00FD1E22">
            <w:r w:rsidRPr="0083183B">
              <w:t>Chief Information Security Officer</w:t>
            </w:r>
          </w:p>
        </w:tc>
        <w:tc>
          <w:tcPr>
            <w:tcW w:w="1765" w:type="dxa"/>
          </w:tcPr>
          <w:p w14:paraId="22D5ECC4" w14:textId="07A4D472" w:rsidR="00750921" w:rsidRPr="0083183B" w:rsidRDefault="00D20EB3" w:rsidP="00FD1E22">
            <w:r w:rsidRPr="005D4C21">
              <w:rPr>
                <w:rFonts w:eastAsia="SimSun"/>
                <w:lang w:val="en-US" w:eastAsia="en-GB"/>
              </w:rPr>
              <w:t>088-8574444</w:t>
            </w:r>
          </w:p>
        </w:tc>
      </w:tr>
      <w:tr w:rsidR="00750921" w:rsidRPr="0083183B" w14:paraId="5ABC27FD" w14:textId="77777777" w:rsidTr="00750921">
        <w:tc>
          <w:tcPr>
            <w:tcW w:w="1407" w:type="dxa"/>
          </w:tcPr>
          <w:p w14:paraId="0F1C0724" w14:textId="77777777" w:rsidR="00750921" w:rsidRPr="0083183B" w:rsidRDefault="00750921" w:rsidP="00FD1E22">
            <w:r w:rsidRPr="0083183B">
              <w:t>Incident en inbreuk</w:t>
            </w:r>
          </w:p>
        </w:tc>
        <w:tc>
          <w:tcPr>
            <w:tcW w:w="1646" w:type="dxa"/>
          </w:tcPr>
          <w:p w14:paraId="414A9BE9" w14:textId="77777777" w:rsidR="00750921" w:rsidRPr="0083183B" w:rsidRDefault="00750921" w:rsidP="00FD1E22"/>
        </w:tc>
        <w:tc>
          <w:tcPr>
            <w:tcW w:w="2685" w:type="dxa"/>
          </w:tcPr>
          <w:p w14:paraId="664C1D72" w14:textId="3C857F7D" w:rsidR="00750921" w:rsidRPr="0083183B" w:rsidRDefault="00750921" w:rsidP="00FD1E22">
            <w:r w:rsidRPr="0083183B">
              <w:t>Contract verantwoordelijke</w:t>
            </w:r>
            <w:r>
              <w:t xml:space="preserve"> Hoofdovereenkomst</w:t>
            </w:r>
          </w:p>
        </w:tc>
        <w:tc>
          <w:tcPr>
            <w:tcW w:w="1765" w:type="dxa"/>
          </w:tcPr>
          <w:p w14:paraId="11129C86" w14:textId="77777777" w:rsidR="00750921" w:rsidRPr="0083183B" w:rsidRDefault="00750921" w:rsidP="00FD1E22"/>
        </w:tc>
      </w:tr>
      <w:tr w:rsidR="00933613" w:rsidRPr="0083183B" w14:paraId="00A703A9" w14:textId="77777777" w:rsidTr="00750921">
        <w:tc>
          <w:tcPr>
            <w:tcW w:w="1407" w:type="dxa"/>
          </w:tcPr>
          <w:p w14:paraId="7F56FF01" w14:textId="38E5B62F" w:rsidR="00933613" w:rsidRPr="0083183B" w:rsidRDefault="00D02B21" w:rsidP="00933613">
            <w:r>
              <w:t xml:space="preserve">Privacy </w:t>
            </w:r>
            <w:r w:rsidR="00933613" w:rsidRPr="0083183B">
              <w:t>Incident en inbreuk</w:t>
            </w:r>
          </w:p>
        </w:tc>
        <w:tc>
          <w:tcPr>
            <w:tcW w:w="1646" w:type="dxa"/>
          </w:tcPr>
          <w:p w14:paraId="4781D15C" w14:textId="2803D519" w:rsidR="00933613" w:rsidRPr="0083183B" w:rsidRDefault="00933613" w:rsidP="00933613">
            <w:r w:rsidRPr="005D4C21">
              <w:rPr>
                <w:rFonts w:eastAsia="SimSun"/>
                <w:lang w:val="en-US" w:eastAsia="en-GB"/>
              </w:rPr>
              <w:t>Evelyne Hengst-de Greeff</w:t>
            </w:r>
          </w:p>
        </w:tc>
        <w:tc>
          <w:tcPr>
            <w:tcW w:w="2685" w:type="dxa"/>
          </w:tcPr>
          <w:p w14:paraId="5A4983F9" w14:textId="7C662F82" w:rsidR="00933613" w:rsidRPr="0083183B" w:rsidRDefault="00933613" w:rsidP="00933613">
            <w:r w:rsidRPr="005D4C21">
              <w:rPr>
                <w:rFonts w:eastAsia="SimSun"/>
                <w:lang w:val="en-US" w:eastAsia="en-GB"/>
              </w:rPr>
              <w:t>F</w:t>
            </w:r>
            <w:r>
              <w:rPr>
                <w:rFonts w:eastAsia="SimSun"/>
                <w:lang w:val="en-US" w:eastAsia="en-GB"/>
              </w:rPr>
              <w:t>unctionaris Gegevensbescherming</w:t>
            </w:r>
          </w:p>
        </w:tc>
        <w:tc>
          <w:tcPr>
            <w:tcW w:w="1765" w:type="dxa"/>
          </w:tcPr>
          <w:p w14:paraId="5158C138" w14:textId="1754D28A" w:rsidR="00933613" w:rsidRPr="0083183B" w:rsidRDefault="00D20EB3" w:rsidP="00933613">
            <w:r w:rsidRPr="005D4C21">
              <w:rPr>
                <w:rFonts w:eastAsia="SimSun"/>
                <w:lang w:val="en-US" w:eastAsia="en-GB"/>
              </w:rPr>
              <w:t>088-8574444</w:t>
            </w:r>
          </w:p>
        </w:tc>
      </w:tr>
      <w:tr w:rsidR="00750921" w:rsidRPr="0083183B" w14:paraId="0344369E" w14:textId="77777777" w:rsidTr="00750921">
        <w:tc>
          <w:tcPr>
            <w:tcW w:w="1407" w:type="dxa"/>
          </w:tcPr>
          <w:p w14:paraId="224411E2" w14:textId="7739935F" w:rsidR="00750921" w:rsidRPr="0083183B" w:rsidRDefault="00750921" w:rsidP="00FD1E22"/>
        </w:tc>
        <w:tc>
          <w:tcPr>
            <w:tcW w:w="1646" w:type="dxa"/>
          </w:tcPr>
          <w:p w14:paraId="286EDA61" w14:textId="77777777" w:rsidR="00750921" w:rsidRPr="0083183B" w:rsidRDefault="00750921" w:rsidP="00FD1E22"/>
        </w:tc>
        <w:tc>
          <w:tcPr>
            <w:tcW w:w="2685" w:type="dxa"/>
          </w:tcPr>
          <w:p w14:paraId="3FBC80F6" w14:textId="77777777" w:rsidR="00750921" w:rsidRPr="0083183B" w:rsidRDefault="00750921" w:rsidP="00FD1E22"/>
        </w:tc>
        <w:tc>
          <w:tcPr>
            <w:tcW w:w="1765" w:type="dxa"/>
          </w:tcPr>
          <w:p w14:paraId="3DAC24A9" w14:textId="77777777" w:rsidR="00750921" w:rsidRPr="0083183B" w:rsidRDefault="00750921" w:rsidP="00FD1E22"/>
        </w:tc>
      </w:tr>
      <w:tr w:rsidR="00750921" w:rsidRPr="0083183B" w14:paraId="23876195" w14:textId="77777777" w:rsidTr="00750921">
        <w:tc>
          <w:tcPr>
            <w:tcW w:w="1407" w:type="dxa"/>
          </w:tcPr>
          <w:p w14:paraId="6AEFF881" w14:textId="77777777" w:rsidR="00750921" w:rsidRPr="0083183B" w:rsidRDefault="00750921" w:rsidP="00FD1E22"/>
        </w:tc>
        <w:tc>
          <w:tcPr>
            <w:tcW w:w="1646" w:type="dxa"/>
          </w:tcPr>
          <w:p w14:paraId="131D540C" w14:textId="77777777" w:rsidR="00750921" w:rsidRPr="0083183B" w:rsidRDefault="00750921" w:rsidP="00FD1E22"/>
        </w:tc>
        <w:tc>
          <w:tcPr>
            <w:tcW w:w="2685" w:type="dxa"/>
          </w:tcPr>
          <w:p w14:paraId="672DF90B" w14:textId="77777777" w:rsidR="00750921" w:rsidRPr="0083183B" w:rsidRDefault="00750921" w:rsidP="00FD1E22"/>
        </w:tc>
        <w:tc>
          <w:tcPr>
            <w:tcW w:w="1765" w:type="dxa"/>
          </w:tcPr>
          <w:p w14:paraId="69B80D09" w14:textId="77777777" w:rsidR="00750921" w:rsidRPr="0083183B" w:rsidRDefault="00750921" w:rsidP="00FD1E22"/>
        </w:tc>
      </w:tr>
    </w:tbl>
    <w:p w14:paraId="1BB76547" w14:textId="77777777" w:rsidR="00A17851" w:rsidRPr="0083183B" w:rsidRDefault="00A17851" w:rsidP="00A17851">
      <w:pPr>
        <w:spacing w:line="240" w:lineRule="auto"/>
      </w:pPr>
    </w:p>
    <w:p w14:paraId="65B50798" w14:textId="05A692DA" w:rsidR="00A17851" w:rsidRPr="0083183B" w:rsidRDefault="00A17851" w:rsidP="00A17851">
      <w:pPr>
        <w:spacing w:line="240" w:lineRule="auto"/>
      </w:pPr>
      <w:r w:rsidRPr="0083183B">
        <w:t xml:space="preserve">Contactinformatie van </w:t>
      </w:r>
      <w:r w:rsidR="0055311D">
        <w:rPr>
          <w:b/>
          <w:bCs/>
        </w:rPr>
        <w:t>Wederpartij</w:t>
      </w:r>
    </w:p>
    <w:tbl>
      <w:tblPr>
        <w:tblStyle w:val="Tabelraster"/>
        <w:tblW w:w="0" w:type="auto"/>
        <w:tblLook w:val="04A0" w:firstRow="1" w:lastRow="0" w:firstColumn="1" w:lastColumn="0" w:noHBand="0" w:noVBand="1"/>
      </w:tblPr>
      <w:tblGrid>
        <w:gridCol w:w="1407"/>
        <w:gridCol w:w="1646"/>
        <w:gridCol w:w="2685"/>
        <w:gridCol w:w="1765"/>
        <w:gridCol w:w="1559"/>
      </w:tblGrid>
      <w:tr w:rsidR="00A17851" w:rsidRPr="0083183B" w14:paraId="139D8F7D" w14:textId="77777777" w:rsidTr="00FD1E22">
        <w:tc>
          <w:tcPr>
            <w:tcW w:w="1407" w:type="dxa"/>
            <w:shd w:val="clear" w:color="auto" w:fill="44546A" w:themeFill="text2"/>
          </w:tcPr>
          <w:p w14:paraId="6CF131E6" w14:textId="77777777" w:rsidR="00A17851" w:rsidRPr="000D393B" w:rsidRDefault="00A17851" w:rsidP="00FD1E22">
            <w:pPr>
              <w:rPr>
                <w:color w:val="FFFFFF" w:themeColor="background1"/>
              </w:rPr>
            </w:pPr>
            <w:r w:rsidRPr="000D393B">
              <w:rPr>
                <w:color w:val="FFFFFF" w:themeColor="background1"/>
              </w:rPr>
              <w:t>Gebeurtenis</w:t>
            </w:r>
          </w:p>
        </w:tc>
        <w:tc>
          <w:tcPr>
            <w:tcW w:w="1646" w:type="dxa"/>
            <w:shd w:val="clear" w:color="auto" w:fill="44546A" w:themeFill="text2"/>
          </w:tcPr>
          <w:p w14:paraId="7C144308" w14:textId="77777777" w:rsidR="00A17851" w:rsidRPr="000D393B" w:rsidRDefault="00A17851" w:rsidP="00FD1E22">
            <w:pPr>
              <w:rPr>
                <w:color w:val="FFFFFF" w:themeColor="background1"/>
              </w:rPr>
            </w:pPr>
            <w:r w:rsidRPr="000D393B">
              <w:rPr>
                <w:color w:val="FFFFFF" w:themeColor="background1"/>
              </w:rPr>
              <w:t>Naam</w:t>
            </w:r>
          </w:p>
        </w:tc>
        <w:tc>
          <w:tcPr>
            <w:tcW w:w="2685" w:type="dxa"/>
            <w:shd w:val="clear" w:color="auto" w:fill="44546A" w:themeFill="text2"/>
          </w:tcPr>
          <w:p w14:paraId="305C7B20" w14:textId="77777777" w:rsidR="00A17851" w:rsidRPr="000D393B" w:rsidRDefault="00A17851" w:rsidP="00FD1E22">
            <w:pPr>
              <w:rPr>
                <w:color w:val="FFFFFF" w:themeColor="background1"/>
              </w:rPr>
            </w:pPr>
            <w:r w:rsidRPr="000D393B">
              <w:rPr>
                <w:color w:val="FFFFFF" w:themeColor="background1"/>
              </w:rPr>
              <w:t>Functie</w:t>
            </w:r>
          </w:p>
        </w:tc>
        <w:tc>
          <w:tcPr>
            <w:tcW w:w="1765" w:type="dxa"/>
            <w:shd w:val="clear" w:color="auto" w:fill="44546A" w:themeFill="text2"/>
          </w:tcPr>
          <w:p w14:paraId="66EC3FC8" w14:textId="77777777" w:rsidR="00A17851" w:rsidRPr="000D393B" w:rsidRDefault="00A17851" w:rsidP="00FD1E22">
            <w:pPr>
              <w:rPr>
                <w:color w:val="FFFFFF" w:themeColor="background1"/>
              </w:rPr>
            </w:pPr>
            <w:r w:rsidRPr="000D393B">
              <w:rPr>
                <w:color w:val="FFFFFF" w:themeColor="background1"/>
              </w:rPr>
              <w:t>Telefoon nummer</w:t>
            </w:r>
          </w:p>
        </w:tc>
        <w:tc>
          <w:tcPr>
            <w:tcW w:w="1559" w:type="dxa"/>
            <w:shd w:val="clear" w:color="auto" w:fill="44546A" w:themeFill="text2"/>
          </w:tcPr>
          <w:p w14:paraId="1057CE99" w14:textId="77777777" w:rsidR="00A17851" w:rsidRPr="000D393B" w:rsidRDefault="00A17851" w:rsidP="00FD1E22">
            <w:pPr>
              <w:rPr>
                <w:color w:val="FFFFFF" w:themeColor="background1"/>
              </w:rPr>
            </w:pPr>
            <w:r w:rsidRPr="000D393B">
              <w:rPr>
                <w:color w:val="FFFFFF" w:themeColor="background1"/>
              </w:rPr>
              <w:t>E-mail</w:t>
            </w:r>
          </w:p>
        </w:tc>
      </w:tr>
      <w:tr w:rsidR="00A17851" w:rsidRPr="0083183B" w14:paraId="12278B11" w14:textId="77777777" w:rsidTr="00FD1E22">
        <w:tc>
          <w:tcPr>
            <w:tcW w:w="1407" w:type="dxa"/>
          </w:tcPr>
          <w:p w14:paraId="1E9661F7" w14:textId="77777777" w:rsidR="00A17851" w:rsidRPr="0083183B" w:rsidRDefault="00A17851" w:rsidP="00FD1E22">
            <w:r w:rsidRPr="0083183B">
              <w:t>Incident en inbreuk</w:t>
            </w:r>
          </w:p>
        </w:tc>
        <w:tc>
          <w:tcPr>
            <w:tcW w:w="1646" w:type="dxa"/>
          </w:tcPr>
          <w:p w14:paraId="0A38F303" w14:textId="77777777" w:rsidR="00A17851" w:rsidRPr="0083183B" w:rsidRDefault="00A17851" w:rsidP="00FD1E22"/>
        </w:tc>
        <w:tc>
          <w:tcPr>
            <w:tcW w:w="2685" w:type="dxa"/>
          </w:tcPr>
          <w:p w14:paraId="45CF68FF" w14:textId="77777777" w:rsidR="00A17851" w:rsidRPr="0083183B" w:rsidRDefault="00A17851" w:rsidP="00FD1E22">
            <w:r w:rsidRPr="0083183B">
              <w:t>Chief Information Security Officer</w:t>
            </w:r>
          </w:p>
        </w:tc>
        <w:tc>
          <w:tcPr>
            <w:tcW w:w="1765" w:type="dxa"/>
          </w:tcPr>
          <w:p w14:paraId="40FBCD3D" w14:textId="77777777" w:rsidR="00A17851" w:rsidRPr="0083183B" w:rsidRDefault="00A17851" w:rsidP="00FD1E22"/>
        </w:tc>
        <w:tc>
          <w:tcPr>
            <w:tcW w:w="1559" w:type="dxa"/>
          </w:tcPr>
          <w:p w14:paraId="16FD6565" w14:textId="77777777" w:rsidR="00A17851" w:rsidRPr="0083183B" w:rsidRDefault="00A17851" w:rsidP="00FD1E22"/>
        </w:tc>
      </w:tr>
      <w:tr w:rsidR="00A17851" w:rsidRPr="0083183B" w14:paraId="0D10337B" w14:textId="77777777" w:rsidTr="00FD1E22">
        <w:tc>
          <w:tcPr>
            <w:tcW w:w="1407" w:type="dxa"/>
          </w:tcPr>
          <w:p w14:paraId="120EC792" w14:textId="77777777" w:rsidR="00A17851" w:rsidRPr="0083183B" w:rsidRDefault="00A17851" w:rsidP="00FD1E22">
            <w:r w:rsidRPr="0083183B">
              <w:t>Incident en inbreuk</w:t>
            </w:r>
          </w:p>
        </w:tc>
        <w:tc>
          <w:tcPr>
            <w:tcW w:w="1646" w:type="dxa"/>
          </w:tcPr>
          <w:p w14:paraId="5C0AEEF3" w14:textId="77777777" w:rsidR="00A17851" w:rsidRPr="0083183B" w:rsidRDefault="00A17851" w:rsidP="00FD1E22"/>
        </w:tc>
        <w:tc>
          <w:tcPr>
            <w:tcW w:w="2685" w:type="dxa"/>
          </w:tcPr>
          <w:p w14:paraId="2A7DC1FC" w14:textId="52379A53" w:rsidR="00A17851" w:rsidRPr="0083183B" w:rsidRDefault="00A17851" w:rsidP="00FD1E22">
            <w:r w:rsidRPr="0083183B">
              <w:t>Contract verantwoordelijke</w:t>
            </w:r>
            <w:r w:rsidR="00243DD1">
              <w:t xml:space="preserve"> Hoofdovereenkomst </w:t>
            </w:r>
          </w:p>
        </w:tc>
        <w:tc>
          <w:tcPr>
            <w:tcW w:w="1765" w:type="dxa"/>
          </w:tcPr>
          <w:p w14:paraId="3587B4FE" w14:textId="77777777" w:rsidR="00A17851" w:rsidRPr="0083183B" w:rsidRDefault="00A17851" w:rsidP="00FD1E22"/>
        </w:tc>
        <w:tc>
          <w:tcPr>
            <w:tcW w:w="1559" w:type="dxa"/>
          </w:tcPr>
          <w:p w14:paraId="323742F3" w14:textId="77777777" w:rsidR="00A17851" w:rsidRPr="0083183B" w:rsidRDefault="00A17851" w:rsidP="00FD1E22"/>
        </w:tc>
      </w:tr>
      <w:tr w:rsidR="00A17851" w:rsidRPr="0083183B" w14:paraId="0CF4E33F" w14:textId="77777777" w:rsidTr="00FD1E22">
        <w:tc>
          <w:tcPr>
            <w:tcW w:w="1407" w:type="dxa"/>
          </w:tcPr>
          <w:p w14:paraId="4193A8EF" w14:textId="77777777" w:rsidR="00A17851" w:rsidRPr="0083183B" w:rsidRDefault="00A17851" w:rsidP="00FD1E22">
            <w:r w:rsidRPr="0083183B">
              <w:t>Incident en inbreuk</w:t>
            </w:r>
          </w:p>
        </w:tc>
        <w:tc>
          <w:tcPr>
            <w:tcW w:w="1646" w:type="dxa"/>
          </w:tcPr>
          <w:p w14:paraId="58C4BBF4" w14:textId="77777777" w:rsidR="00A17851" w:rsidRPr="0083183B" w:rsidRDefault="00A17851" w:rsidP="00FD1E22"/>
        </w:tc>
        <w:tc>
          <w:tcPr>
            <w:tcW w:w="2685" w:type="dxa"/>
          </w:tcPr>
          <w:p w14:paraId="0E6B6566" w14:textId="77777777" w:rsidR="00A17851" w:rsidRPr="0083183B" w:rsidRDefault="00A17851" w:rsidP="00FD1E22">
            <w:r w:rsidRPr="0083183B">
              <w:t>Functionaris Gegevensbescherming</w:t>
            </w:r>
          </w:p>
        </w:tc>
        <w:tc>
          <w:tcPr>
            <w:tcW w:w="1765" w:type="dxa"/>
          </w:tcPr>
          <w:p w14:paraId="491DA0CB" w14:textId="77777777" w:rsidR="00A17851" w:rsidRPr="0083183B" w:rsidRDefault="00A17851" w:rsidP="00FD1E22"/>
        </w:tc>
        <w:tc>
          <w:tcPr>
            <w:tcW w:w="1559" w:type="dxa"/>
          </w:tcPr>
          <w:p w14:paraId="10AE6211" w14:textId="77777777" w:rsidR="00A17851" w:rsidRPr="0083183B" w:rsidRDefault="00A17851" w:rsidP="00FD1E22"/>
        </w:tc>
      </w:tr>
      <w:tr w:rsidR="00A17851" w:rsidRPr="0083183B" w14:paraId="12B70D54" w14:textId="77777777" w:rsidTr="00FD1E22">
        <w:tc>
          <w:tcPr>
            <w:tcW w:w="1407" w:type="dxa"/>
          </w:tcPr>
          <w:p w14:paraId="29BE9CCA" w14:textId="12769E07" w:rsidR="00A17851" w:rsidRPr="0083183B" w:rsidRDefault="00A17851" w:rsidP="00FD1E22"/>
        </w:tc>
        <w:tc>
          <w:tcPr>
            <w:tcW w:w="1646" w:type="dxa"/>
          </w:tcPr>
          <w:p w14:paraId="1091AE01" w14:textId="77777777" w:rsidR="00A17851" w:rsidRPr="0083183B" w:rsidRDefault="00A17851" w:rsidP="00FD1E22"/>
        </w:tc>
        <w:tc>
          <w:tcPr>
            <w:tcW w:w="2685" w:type="dxa"/>
          </w:tcPr>
          <w:p w14:paraId="3FCD0DD1" w14:textId="77777777" w:rsidR="00A17851" w:rsidRPr="0083183B" w:rsidRDefault="00A17851" w:rsidP="00FD1E22"/>
        </w:tc>
        <w:tc>
          <w:tcPr>
            <w:tcW w:w="1765" w:type="dxa"/>
          </w:tcPr>
          <w:p w14:paraId="3897E045" w14:textId="77777777" w:rsidR="00A17851" w:rsidRPr="0083183B" w:rsidRDefault="00A17851" w:rsidP="00FD1E22"/>
        </w:tc>
        <w:tc>
          <w:tcPr>
            <w:tcW w:w="1559" w:type="dxa"/>
          </w:tcPr>
          <w:p w14:paraId="35838CA3" w14:textId="77777777" w:rsidR="00A17851" w:rsidRPr="0083183B" w:rsidRDefault="00A17851" w:rsidP="00FD1E22"/>
        </w:tc>
      </w:tr>
      <w:tr w:rsidR="00A17851" w:rsidRPr="0083183B" w14:paraId="3CF527D2" w14:textId="77777777" w:rsidTr="00FD1E22">
        <w:tc>
          <w:tcPr>
            <w:tcW w:w="1407" w:type="dxa"/>
          </w:tcPr>
          <w:p w14:paraId="13870744" w14:textId="77777777" w:rsidR="00A17851" w:rsidRPr="0083183B" w:rsidRDefault="00A17851" w:rsidP="00FD1E22"/>
        </w:tc>
        <w:tc>
          <w:tcPr>
            <w:tcW w:w="1646" w:type="dxa"/>
          </w:tcPr>
          <w:p w14:paraId="3E2E7493" w14:textId="77777777" w:rsidR="00A17851" w:rsidRPr="0083183B" w:rsidRDefault="00A17851" w:rsidP="00FD1E22"/>
        </w:tc>
        <w:tc>
          <w:tcPr>
            <w:tcW w:w="2685" w:type="dxa"/>
          </w:tcPr>
          <w:p w14:paraId="173B0013" w14:textId="77777777" w:rsidR="00A17851" w:rsidRPr="0083183B" w:rsidRDefault="00A17851" w:rsidP="00FD1E22"/>
        </w:tc>
        <w:tc>
          <w:tcPr>
            <w:tcW w:w="1765" w:type="dxa"/>
          </w:tcPr>
          <w:p w14:paraId="4D7E961E" w14:textId="77777777" w:rsidR="00A17851" w:rsidRPr="0083183B" w:rsidRDefault="00A17851" w:rsidP="00FD1E22"/>
        </w:tc>
        <w:tc>
          <w:tcPr>
            <w:tcW w:w="1559" w:type="dxa"/>
          </w:tcPr>
          <w:p w14:paraId="0C51E61A" w14:textId="77777777" w:rsidR="00A17851" w:rsidRPr="0083183B" w:rsidRDefault="00A17851" w:rsidP="00FD1E22"/>
        </w:tc>
      </w:tr>
    </w:tbl>
    <w:p w14:paraId="24057BDB" w14:textId="77777777" w:rsidR="00A17851" w:rsidRDefault="00A17851" w:rsidP="00A17851">
      <w:pPr>
        <w:spacing w:line="240" w:lineRule="auto"/>
      </w:pPr>
    </w:p>
    <w:p w14:paraId="016D4EDD" w14:textId="77777777" w:rsidR="00A17851" w:rsidRDefault="00A17851" w:rsidP="00A17851">
      <w:pPr>
        <w:spacing w:line="240" w:lineRule="auto"/>
      </w:pPr>
    </w:p>
    <w:p w14:paraId="4969A842" w14:textId="77777777" w:rsidR="00610673" w:rsidRDefault="00610673" w:rsidP="00610673">
      <w:pPr>
        <w:pStyle w:val="Kop1"/>
        <w:numPr>
          <w:ilvl w:val="0"/>
          <w:numId w:val="0"/>
        </w:numPr>
        <w:ind w:left="360" w:hanging="360"/>
      </w:pPr>
    </w:p>
    <w:p w14:paraId="4D0710CA" w14:textId="77777777" w:rsidR="00610673" w:rsidRDefault="00610673" w:rsidP="00610673">
      <w:pPr>
        <w:pStyle w:val="Kop1"/>
        <w:numPr>
          <w:ilvl w:val="0"/>
          <w:numId w:val="0"/>
        </w:numPr>
        <w:ind w:left="360" w:hanging="360"/>
      </w:pPr>
    </w:p>
    <w:p w14:paraId="040B147C" w14:textId="77777777" w:rsidR="00610673" w:rsidRDefault="00610673" w:rsidP="00610673">
      <w:pPr>
        <w:pStyle w:val="Kop1"/>
        <w:numPr>
          <w:ilvl w:val="0"/>
          <w:numId w:val="0"/>
        </w:numPr>
        <w:ind w:left="360" w:hanging="360"/>
      </w:pPr>
    </w:p>
    <w:p w14:paraId="5E9999E3" w14:textId="77777777" w:rsidR="00610673" w:rsidRDefault="00610673" w:rsidP="00610673">
      <w:pPr>
        <w:pStyle w:val="Kop1"/>
        <w:numPr>
          <w:ilvl w:val="0"/>
          <w:numId w:val="0"/>
        </w:numPr>
        <w:ind w:left="360" w:hanging="360"/>
      </w:pPr>
    </w:p>
    <w:p w14:paraId="46BAA550" w14:textId="77777777" w:rsidR="00610673" w:rsidRDefault="00610673" w:rsidP="00610673">
      <w:pPr>
        <w:pStyle w:val="Kop1"/>
        <w:numPr>
          <w:ilvl w:val="0"/>
          <w:numId w:val="0"/>
        </w:numPr>
        <w:ind w:left="360" w:hanging="360"/>
      </w:pPr>
    </w:p>
    <w:p w14:paraId="1449E417" w14:textId="77777777" w:rsidR="00610673" w:rsidRDefault="00610673" w:rsidP="00610673">
      <w:pPr>
        <w:pStyle w:val="Kop1"/>
        <w:numPr>
          <w:ilvl w:val="0"/>
          <w:numId w:val="0"/>
        </w:numPr>
        <w:ind w:left="360" w:hanging="360"/>
      </w:pPr>
    </w:p>
    <w:p w14:paraId="6E9529E4" w14:textId="77777777" w:rsidR="00610673" w:rsidRDefault="00610673" w:rsidP="00610673">
      <w:pPr>
        <w:pStyle w:val="Kop1"/>
        <w:numPr>
          <w:ilvl w:val="0"/>
          <w:numId w:val="0"/>
        </w:numPr>
        <w:ind w:left="360" w:hanging="360"/>
      </w:pPr>
    </w:p>
    <w:p w14:paraId="053411D0" w14:textId="77777777" w:rsidR="00610673" w:rsidRDefault="00610673" w:rsidP="00610673">
      <w:pPr>
        <w:pStyle w:val="Kop1"/>
        <w:numPr>
          <w:ilvl w:val="0"/>
          <w:numId w:val="0"/>
        </w:numPr>
        <w:ind w:left="360" w:hanging="360"/>
      </w:pPr>
    </w:p>
    <w:p w14:paraId="316CF9FB" w14:textId="77777777" w:rsidR="00610673" w:rsidRDefault="00610673" w:rsidP="00610673">
      <w:pPr>
        <w:pStyle w:val="Kop1"/>
        <w:numPr>
          <w:ilvl w:val="0"/>
          <w:numId w:val="0"/>
        </w:numPr>
        <w:ind w:left="360" w:hanging="360"/>
      </w:pPr>
    </w:p>
    <w:p w14:paraId="00A893EE" w14:textId="77777777" w:rsidR="00610673" w:rsidRDefault="00610673" w:rsidP="00610673">
      <w:pPr>
        <w:pStyle w:val="Kop1"/>
        <w:numPr>
          <w:ilvl w:val="0"/>
          <w:numId w:val="0"/>
        </w:numPr>
        <w:ind w:left="360" w:hanging="360"/>
      </w:pPr>
    </w:p>
    <w:p w14:paraId="4D50D56F" w14:textId="77777777" w:rsidR="00610673" w:rsidRDefault="00610673" w:rsidP="00610673">
      <w:pPr>
        <w:pStyle w:val="Kop1"/>
        <w:numPr>
          <w:ilvl w:val="0"/>
          <w:numId w:val="0"/>
        </w:numPr>
        <w:ind w:left="360" w:hanging="360"/>
      </w:pPr>
    </w:p>
    <w:p w14:paraId="202BD9FA" w14:textId="77777777" w:rsidR="00610673" w:rsidRDefault="00610673" w:rsidP="00610673">
      <w:pPr>
        <w:pStyle w:val="Kop1"/>
        <w:numPr>
          <w:ilvl w:val="0"/>
          <w:numId w:val="0"/>
        </w:numPr>
        <w:ind w:left="360" w:hanging="360"/>
      </w:pPr>
    </w:p>
    <w:p w14:paraId="7ADBCDFD" w14:textId="77777777" w:rsidR="00610673" w:rsidRDefault="00610673" w:rsidP="00610673">
      <w:pPr>
        <w:pStyle w:val="Kop1"/>
        <w:numPr>
          <w:ilvl w:val="0"/>
          <w:numId w:val="0"/>
        </w:numPr>
        <w:ind w:left="360" w:hanging="360"/>
      </w:pPr>
    </w:p>
    <w:p w14:paraId="3A6D0A64" w14:textId="77777777" w:rsidR="00610673" w:rsidRDefault="00610673" w:rsidP="00610673">
      <w:pPr>
        <w:pStyle w:val="Kop1"/>
        <w:numPr>
          <w:ilvl w:val="0"/>
          <w:numId w:val="0"/>
        </w:numPr>
        <w:ind w:left="360" w:hanging="360"/>
      </w:pPr>
    </w:p>
    <w:p w14:paraId="69BC94C5" w14:textId="77777777" w:rsidR="00610673" w:rsidRDefault="00610673" w:rsidP="00610673">
      <w:pPr>
        <w:pStyle w:val="Kop1"/>
        <w:numPr>
          <w:ilvl w:val="0"/>
          <w:numId w:val="0"/>
        </w:numPr>
        <w:ind w:left="360" w:hanging="360"/>
      </w:pPr>
    </w:p>
    <w:p w14:paraId="23A5EE7C" w14:textId="0EF32ED9" w:rsidR="00610673" w:rsidRDefault="00610673" w:rsidP="00610673">
      <w:pPr>
        <w:pStyle w:val="Kop1"/>
        <w:numPr>
          <w:ilvl w:val="0"/>
          <w:numId w:val="0"/>
        </w:numPr>
        <w:ind w:left="360" w:hanging="360"/>
      </w:pPr>
      <w:bookmarkStart w:id="20" w:name="_Toc197953386"/>
      <w:bookmarkStart w:id="21" w:name="_Toc199338655"/>
      <w:r>
        <w:t xml:space="preserve">BIJLAGE 3 – </w:t>
      </w:r>
      <w:r w:rsidR="007A5E29">
        <w:t>LOCATIES INFORMATIE</w:t>
      </w:r>
      <w:bookmarkEnd w:id="20"/>
      <w:bookmarkEnd w:id="21"/>
      <w:r>
        <w:t xml:space="preserve"> </w:t>
      </w:r>
    </w:p>
    <w:p w14:paraId="57FB3414" w14:textId="77777777" w:rsidR="00DA7B14" w:rsidRPr="0083183B" w:rsidRDefault="00DA7B14" w:rsidP="00DA7B14">
      <w:pPr>
        <w:spacing w:line="240" w:lineRule="auto"/>
      </w:pPr>
    </w:p>
    <w:p w14:paraId="5B09BAEE" w14:textId="6895F2DC" w:rsidR="00DA7B14" w:rsidRPr="0083183B" w:rsidRDefault="0055311D" w:rsidP="00DA7B14">
      <w:pPr>
        <w:spacing w:line="240" w:lineRule="auto"/>
        <w:jc w:val="both"/>
      </w:pPr>
      <w:r>
        <w:t>Wederpartij</w:t>
      </w:r>
      <w:r w:rsidR="00DA7B14" w:rsidRPr="0083183B">
        <w:t xml:space="preserve"> </w:t>
      </w:r>
      <w:r w:rsidR="00D17E9F">
        <w:t>maakt bij de uitvoering van</w:t>
      </w:r>
      <w:r w:rsidR="00DA7B14" w:rsidRPr="0083183B">
        <w:t xml:space="preserve"> de Hoofdovereenkomst gebruik van de volgende verwerkingslocaties:  </w:t>
      </w:r>
    </w:p>
    <w:p w14:paraId="1F552A3C" w14:textId="77777777" w:rsidR="00DA7B14" w:rsidRPr="0083183B" w:rsidRDefault="00DA7B14" w:rsidP="00DA7B14">
      <w:pPr>
        <w:spacing w:line="240" w:lineRule="auto"/>
      </w:pPr>
      <w:r w:rsidRPr="0083183B">
        <w:t xml:space="preserve"> </w:t>
      </w:r>
    </w:p>
    <w:tbl>
      <w:tblPr>
        <w:tblStyle w:val="Tabelraster"/>
        <w:tblW w:w="10627" w:type="dxa"/>
        <w:tblLook w:val="04A0" w:firstRow="1" w:lastRow="0" w:firstColumn="1" w:lastColumn="0" w:noHBand="0" w:noVBand="1"/>
      </w:tblPr>
      <w:tblGrid>
        <w:gridCol w:w="3114"/>
        <w:gridCol w:w="3969"/>
        <w:gridCol w:w="3544"/>
      </w:tblGrid>
      <w:tr w:rsidR="00C67BE9" w:rsidRPr="00DA7B14" w14:paraId="0F5E42C9" w14:textId="77777777" w:rsidTr="00C67BE9">
        <w:trPr>
          <w:trHeight w:val="932"/>
        </w:trPr>
        <w:tc>
          <w:tcPr>
            <w:tcW w:w="3114" w:type="dxa"/>
            <w:shd w:val="clear" w:color="auto" w:fill="44546A" w:themeFill="text2"/>
          </w:tcPr>
          <w:p w14:paraId="2141F73F" w14:textId="288A84EF" w:rsidR="00C67BE9" w:rsidRPr="00DA7B14" w:rsidRDefault="00C67BE9" w:rsidP="00FD1E22">
            <w:pPr>
              <w:rPr>
                <w:color w:val="FFFFFF" w:themeColor="background1"/>
              </w:rPr>
            </w:pPr>
            <w:r>
              <w:rPr>
                <w:color w:val="FFFFFF" w:themeColor="background1"/>
              </w:rPr>
              <w:t xml:space="preserve">Locaties waar </w:t>
            </w:r>
            <w:r w:rsidR="0055311D">
              <w:rPr>
                <w:color w:val="FFFFFF" w:themeColor="background1"/>
              </w:rPr>
              <w:t>Wederpartij</w:t>
            </w:r>
            <w:r>
              <w:rPr>
                <w:color w:val="FFFFFF" w:themeColor="background1"/>
              </w:rPr>
              <w:t xml:space="preserve"> Informatie bewaart, verwerkt etc. </w:t>
            </w:r>
          </w:p>
        </w:tc>
        <w:tc>
          <w:tcPr>
            <w:tcW w:w="3969" w:type="dxa"/>
            <w:shd w:val="clear" w:color="auto" w:fill="44546A" w:themeFill="text2"/>
          </w:tcPr>
          <w:p w14:paraId="5705290A" w14:textId="3795A62D" w:rsidR="00C67BE9" w:rsidRPr="00DA7B14" w:rsidRDefault="00BA7F1A" w:rsidP="00FD1E22">
            <w:pPr>
              <w:rPr>
                <w:color w:val="FFFFFF" w:themeColor="background1"/>
              </w:rPr>
            </w:pPr>
            <w:r>
              <w:rPr>
                <w:color w:val="FFFFFF" w:themeColor="background1"/>
              </w:rPr>
              <w:t>Locaties waar</w:t>
            </w:r>
            <w:r w:rsidR="00732DC7">
              <w:rPr>
                <w:color w:val="FFFFFF" w:themeColor="background1"/>
              </w:rPr>
              <w:t xml:space="preserve"> Derde(n)</w:t>
            </w:r>
            <w:r>
              <w:rPr>
                <w:color w:val="FFFFFF" w:themeColor="background1"/>
              </w:rPr>
              <w:t xml:space="preserve"> Informatie bewaart, verwerkt etc.</w:t>
            </w:r>
          </w:p>
        </w:tc>
        <w:tc>
          <w:tcPr>
            <w:tcW w:w="3544" w:type="dxa"/>
            <w:shd w:val="clear" w:color="auto" w:fill="44546A" w:themeFill="text2"/>
          </w:tcPr>
          <w:p w14:paraId="7C0446DC" w14:textId="600E575D" w:rsidR="00C67BE9" w:rsidRPr="00DA7B14" w:rsidRDefault="00C67BE9" w:rsidP="00FD1E22">
            <w:pPr>
              <w:rPr>
                <w:color w:val="FFFFFF" w:themeColor="background1"/>
              </w:rPr>
            </w:pPr>
            <w:r w:rsidRPr="00DA7B14">
              <w:rPr>
                <w:color w:val="FFFFFF" w:themeColor="background1"/>
              </w:rPr>
              <w:t xml:space="preserve">Toelichting  </w:t>
            </w:r>
          </w:p>
        </w:tc>
      </w:tr>
      <w:tr w:rsidR="00C67BE9" w:rsidRPr="00680F4A" w14:paraId="7F4B3030" w14:textId="77777777" w:rsidTr="00C67BE9">
        <w:trPr>
          <w:trHeight w:val="330"/>
        </w:trPr>
        <w:tc>
          <w:tcPr>
            <w:tcW w:w="3114" w:type="dxa"/>
          </w:tcPr>
          <w:p w14:paraId="2E34D26B" w14:textId="506A6195" w:rsidR="00C67BE9" w:rsidRPr="0083183B" w:rsidRDefault="00BA7F1A" w:rsidP="00FD1E22">
            <w:r>
              <w:t>[</w:t>
            </w:r>
            <w:r w:rsidRPr="00BA7F1A">
              <w:rPr>
                <w:highlight w:val="yellow"/>
              </w:rPr>
              <w:t>Land, Adres</w:t>
            </w:r>
            <w:r>
              <w:t xml:space="preserve">] </w:t>
            </w:r>
          </w:p>
        </w:tc>
        <w:tc>
          <w:tcPr>
            <w:tcW w:w="3969" w:type="dxa"/>
          </w:tcPr>
          <w:p w14:paraId="2DBE8CF4" w14:textId="3A5DA813" w:rsidR="00C67BE9" w:rsidRPr="00732DC7" w:rsidRDefault="00732DC7" w:rsidP="00FD1E22">
            <w:r w:rsidRPr="00732DC7">
              <w:t>[</w:t>
            </w:r>
            <w:r w:rsidRPr="00732DC7">
              <w:rPr>
                <w:highlight w:val="yellow"/>
              </w:rPr>
              <w:t>Statutaire naam Derde, Land, Adres</w:t>
            </w:r>
            <w:r w:rsidRPr="00732DC7">
              <w:t xml:space="preserve">] </w:t>
            </w:r>
          </w:p>
        </w:tc>
        <w:tc>
          <w:tcPr>
            <w:tcW w:w="3544" w:type="dxa"/>
          </w:tcPr>
          <w:p w14:paraId="0232321A" w14:textId="77777777" w:rsidR="00C67BE9" w:rsidRPr="00680F4A" w:rsidRDefault="00C67BE9" w:rsidP="00FD1E22">
            <w:pPr>
              <w:rPr>
                <w:b/>
                <w:bCs/>
              </w:rPr>
            </w:pPr>
          </w:p>
        </w:tc>
      </w:tr>
      <w:tr w:rsidR="00C67BE9" w:rsidRPr="00680F4A" w14:paraId="55E3C6ED" w14:textId="77777777" w:rsidTr="00C67BE9">
        <w:trPr>
          <w:trHeight w:val="330"/>
        </w:trPr>
        <w:tc>
          <w:tcPr>
            <w:tcW w:w="3114" w:type="dxa"/>
          </w:tcPr>
          <w:p w14:paraId="028493DB" w14:textId="77777777" w:rsidR="00C67BE9" w:rsidRPr="0083183B" w:rsidRDefault="00C67BE9" w:rsidP="00FD1E22"/>
        </w:tc>
        <w:tc>
          <w:tcPr>
            <w:tcW w:w="3969" w:type="dxa"/>
          </w:tcPr>
          <w:p w14:paraId="46104EA1" w14:textId="77777777" w:rsidR="00C67BE9" w:rsidRPr="00680F4A" w:rsidRDefault="00C67BE9" w:rsidP="00FD1E22">
            <w:pPr>
              <w:rPr>
                <w:b/>
                <w:bCs/>
              </w:rPr>
            </w:pPr>
          </w:p>
        </w:tc>
        <w:tc>
          <w:tcPr>
            <w:tcW w:w="3544" w:type="dxa"/>
          </w:tcPr>
          <w:p w14:paraId="7AA55F62" w14:textId="77777777" w:rsidR="00C67BE9" w:rsidRPr="00680F4A" w:rsidRDefault="00C67BE9" w:rsidP="00FD1E22">
            <w:pPr>
              <w:rPr>
                <w:b/>
                <w:bCs/>
              </w:rPr>
            </w:pPr>
          </w:p>
        </w:tc>
      </w:tr>
      <w:tr w:rsidR="00C67BE9" w:rsidRPr="00680F4A" w14:paraId="410256C5" w14:textId="77777777" w:rsidTr="00C67BE9">
        <w:trPr>
          <w:trHeight w:val="330"/>
        </w:trPr>
        <w:tc>
          <w:tcPr>
            <w:tcW w:w="3114" w:type="dxa"/>
          </w:tcPr>
          <w:p w14:paraId="1E5345DF" w14:textId="77777777" w:rsidR="00C67BE9" w:rsidRPr="0083183B" w:rsidRDefault="00C67BE9" w:rsidP="00FD1E22"/>
        </w:tc>
        <w:tc>
          <w:tcPr>
            <w:tcW w:w="3969" w:type="dxa"/>
          </w:tcPr>
          <w:p w14:paraId="1813DB2C" w14:textId="77777777" w:rsidR="00C67BE9" w:rsidRPr="00680F4A" w:rsidRDefault="00C67BE9" w:rsidP="00FD1E22">
            <w:pPr>
              <w:rPr>
                <w:b/>
                <w:bCs/>
              </w:rPr>
            </w:pPr>
          </w:p>
        </w:tc>
        <w:tc>
          <w:tcPr>
            <w:tcW w:w="3544" w:type="dxa"/>
          </w:tcPr>
          <w:p w14:paraId="4CCBD6DD" w14:textId="77777777" w:rsidR="00C67BE9" w:rsidRPr="00680F4A" w:rsidRDefault="00C67BE9" w:rsidP="00FD1E22">
            <w:pPr>
              <w:rPr>
                <w:b/>
                <w:bCs/>
              </w:rPr>
            </w:pPr>
          </w:p>
        </w:tc>
      </w:tr>
      <w:tr w:rsidR="00C67BE9" w:rsidRPr="00680F4A" w14:paraId="662DA256" w14:textId="77777777" w:rsidTr="00C67BE9">
        <w:trPr>
          <w:trHeight w:val="301"/>
        </w:trPr>
        <w:tc>
          <w:tcPr>
            <w:tcW w:w="3114" w:type="dxa"/>
          </w:tcPr>
          <w:p w14:paraId="11C7A62D" w14:textId="77777777" w:rsidR="00C67BE9" w:rsidRPr="0083183B" w:rsidRDefault="00C67BE9" w:rsidP="00FD1E22"/>
        </w:tc>
        <w:tc>
          <w:tcPr>
            <w:tcW w:w="3969" w:type="dxa"/>
          </w:tcPr>
          <w:p w14:paraId="098B50BE" w14:textId="77777777" w:rsidR="00C67BE9" w:rsidRPr="00680F4A" w:rsidRDefault="00C67BE9" w:rsidP="00FD1E22">
            <w:pPr>
              <w:rPr>
                <w:b/>
                <w:bCs/>
              </w:rPr>
            </w:pPr>
          </w:p>
        </w:tc>
        <w:tc>
          <w:tcPr>
            <w:tcW w:w="3544" w:type="dxa"/>
          </w:tcPr>
          <w:p w14:paraId="40A5365B" w14:textId="77777777" w:rsidR="00C67BE9" w:rsidRPr="00680F4A" w:rsidRDefault="00C67BE9" w:rsidP="00FD1E22">
            <w:pPr>
              <w:rPr>
                <w:b/>
                <w:bCs/>
              </w:rPr>
            </w:pPr>
          </w:p>
        </w:tc>
      </w:tr>
      <w:tr w:rsidR="00C67BE9" w:rsidRPr="00680F4A" w14:paraId="3F0C85B5" w14:textId="77777777" w:rsidTr="00C67BE9">
        <w:trPr>
          <w:trHeight w:val="330"/>
        </w:trPr>
        <w:tc>
          <w:tcPr>
            <w:tcW w:w="3114" w:type="dxa"/>
          </w:tcPr>
          <w:p w14:paraId="7FB9B978" w14:textId="77777777" w:rsidR="00C67BE9" w:rsidRPr="0083183B" w:rsidRDefault="00C67BE9" w:rsidP="00FD1E22"/>
        </w:tc>
        <w:tc>
          <w:tcPr>
            <w:tcW w:w="3969" w:type="dxa"/>
          </w:tcPr>
          <w:p w14:paraId="7D01893F" w14:textId="77777777" w:rsidR="00C67BE9" w:rsidRPr="00680F4A" w:rsidRDefault="00C67BE9" w:rsidP="00FD1E22">
            <w:pPr>
              <w:rPr>
                <w:b/>
                <w:bCs/>
              </w:rPr>
            </w:pPr>
          </w:p>
        </w:tc>
        <w:tc>
          <w:tcPr>
            <w:tcW w:w="3544" w:type="dxa"/>
          </w:tcPr>
          <w:p w14:paraId="3EFB43F3" w14:textId="77777777" w:rsidR="00C67BE9" w:rsidRPr="00680F4A" w:rsidRDefault="00C67BE9" w:rsidP="00FD1E22">
            <w:pPr>
              <w:rPr>
                <w:b/>
                <w:bCs/>
              </w:rPr>
            </w:pPr>
          </w:p>
        </w:tc>
      </w:tr>
      <w:tr w:rsidR="00C67BE9" w:rsidRPr="00680F4A" w14:paraId="31CC417D" w14:textId="77777777" w:rsidTr="00C67BE9">
        <w:trPr>
          <w:trHeight w:val="330"/>
        </w:trPr>
        <w:tc>
          <w:tcPr>
            <w:tcW w:w="3114" w:type="dxa"/>
          </w:tcPr>
          <w:p w14:paraId="5E72378F" w14:textId="77777777" w:rsidR="00C67BE9" w:rsidRPr="0083183B" w:rsidRDefault="00C67BE9" w:rsidP="00FD1E22"/>
        </w:tc>
        <w:tc>
          <w:tcPr>
            <w:tcW w:w="3969" w:type="dxa"/>
          </w:tcPr>
          <w:p w14:paraId="142E45FE" w14:textId="77777777" w:rsidR="00C67BE9" w:rsidRPr="00680F4A" w:rsidRDefault="00C67BE9" w:rsidP="00FD1E22">
            <w:pPr>
              <w:rPr>
                <w:b/>
                <w:bCs/>
              </w:rPr>
            </w:pPr>
          </w:p>
        </w:tc>
        <w:tc>
          <w:tcPr>
            <w:tcW w:w="3544" w:type="dxa"/>
          </w:tcPr>
          <w:p w14:paraId="4E3FDD11" w14:textId="77777777" w:rsidR="00C67BE9" w:rsidRPr="00680F4A" w:rsidRDefault="00C67BE9" w:rsidP="00FD1E22">
            <w:pPr>
              <w:rPr>
                <w:b/>
                <w:bCs/>
              </w:rPr>
            </w:pPr>
          </w:p>
        </w:tc>
      </w:tr>
      <w:tr w:rsidR="00C67BE9" w:rsidRPr="00680F4A" w14:paraId="399E5AE3" w14:textId="77777777" w:rsidTr="00C67BE9">
        <w:trPr>
          <w:trHeight w:val="301"/>
        </w:trPr>
        <w:tc>
          <w:tcPr>
            <w:tcW w:w="3114" w:type="dxa"/>
          </w:tcPr>
          <w:p w14:paraId="03F929DD" w14:textId="77777777" w:rsidR="00C67BE9" w:rsidRPr="0083183B" w:rsidRDefault="00C67BE9" w:rsidP="00FD1E22"/>
        </w:tc>
        <w:tc>
          <w:tcPr>
            <w:tcW w:w="3969" w:type="dxa"/>
          </w:tcPr>
          <w:p w14:paraId="70FA65AA" w14:textId="77777777" w:rsidR="00C67BE9" w:rsidRPr="00680F4A" w:rsidRDefault="00C67BE9" w:rsidP="00FD1E22">
            <w:pPr>
              <w:rPr>
                <w:b/>
                <w:bCs/>
              </w:rPr>
            </w:pPr>
          </w:p>
        </w:tc>
        <w:tc>
          <w:tcPr>
            <w:tcW w:w="3544" w:type="dxa"/>
          </w:tcPr>
          <w:p w14:paraId="511B1C93" w14:textId="77777777" w:rsidR="00C67BE9" w:rsidRPr="00680F4A" w:rsidRDefault="00C67BE9" w:rsidP="00FD1E22">
            <w:pPr>
              <w:rPr>
                <w:b/>
                <w:bCs/>
              </w:rPr>
            </w:pPr>
          </w:p>
        </w:tc>
      </w:tr>
      <w:tr w:rsidR="00C67BE9" w:rsidRPr="00680F4A" w14:paraId="1B49ACF4" w14:textId="77777777" w:rsidTr="00C67BE9">
        <w:trPr>
          <w:trHeight w:val="361"/>
        </w:trPr>
        <w:tc>
          <w:tcPr>
            <w:tcW w:w="3114" w:type="dxa"/>
          </w:tcPr>
          <w:p w14:paraId="0B11855E" w14:textId="77777777" w:rsidR="00C67BE9" w:rsidRPr="0083183B" w:rsidRDefault="00C67BE9" w:rsidP="00FD1E22"/>
        </w:tc>
        <w:tc>
          <w:tcPr>
            <w:tcW w:w="3969" w:type="dxa"/>
          </w:tcPr>
          <w:p w14:paraId="4A320C14" w14:textId="77777777" w:rsidR="00C67BE9" w:rsidRPr="00680F4A" w:rsidRDefault="00C67BE9" w:rsidP="00FD1E22">
            <w:pPr>
              <w:rPr>
                <w:b/>
                <w:bCs/>
              </w:rPr>
            </w:pPr>
          </w:p>
        </w:tc>
        <w:tc>
          <w:tcPr>
            <w:tcW w:w="3544" w:type="dxa"/>
          </w:tcPr>
          <w:p w14:paraId="7D063F84" w14:textId="77777777" w:rsidR="00C67BE9" w:rsidRPr="00680F4A" w:rsidRDefault="00C67BE9" w:rsidP="00FD1E22">
            <w:pPr>
              <w:rPr>
                <w:b/>
                <w:bCs/>
              </w:rPr>
            </w:pPr>
          </w:p>
        </w:tc>
      </w:tr>
    </w:tbl>
    <w:p w14:paraId="35191984" w14:textId="77777777" w:rsidR="002F10D2" w:rsidRDefault="002F10D2" w:rsidP="00C744DF"/>
    <w:p w14:paraId="501DD8AD" w14:textId="77777777" w:rsidR="000D4A3E" w:rsidRDefault="000D4A3E" w:rsidP="00C744DF"/>
    <w:p w14:paraId="53B83E64" w14:textId="77777777" w:rsidR="000D4A3E" w:rsidRDefault="000D4A3E" w:rsidP="00C744DF"/>
    <w:p w14:paraId="199F0C94" w14:textId="77777777" w:rsidR="000D4A3E" w:rsidRDefault="000D4A3E" w:rsidP="00C744DF"/>
    <w:p w14:paraId="261A34B3" w14:textId="77777777" w:rsidR="000D4A3E" w:rsidRDefault="000D4A3E" w:rsidP="00C744DF"/>
    <w:p w14:paraId="696459D9" w14:textId="77777777" w:rsidR="000D4A3E" w:rsidRDefault="000D4A3E" w:rsidP="00C744DF"/>
    <w:p w14:paraId="74483151" w14:textId="77777777" w:rsidR="000D4A3E" w:rsidRDefault="000D4A3E" w:rsidP="00C744DF"/>
    <w:p w14:paraId="536BA3A8" w14:textId="77777777" w:rsidR="000D4A3E" w:rsidRDefault="000D4A3E" w:rsidP="00C744DF"/>
    <w:p w14:paraId="2FA5923B" w14:textId="77777777" w:rsidR="000D4A3E" w:rsidRDefault="000D4A3E" w:rsidP="00C744DF"/>
    <w:p w14:paraId="3AA1454A" w14:textId="77777777" w:rsidR="000D4A3E" w:rsidRDefault="000D4A3E" w:rsidP="00C744DF"/>
    <w:p w14:paraId="11648667" w14:textId="77777777" w:rsidR="000D4A3E" w:rsidRDefault="000D4A3E" w:rsidP="00C744DF"/>
    <w:p w14:paraId="7C42DC5B" w14:textId="77777777" w:rsidR="000D4A3E" w:rsidRDefault="000D4A3E" w:rsidP="00C744DF"/>
    <w:p w14:paraId="7A95BB6D" w14:textId="77777777" w:rsidR="000D4A3E" w:rsidRDefault="000D4A3E" w:rsidP="00C744DF"/>
    <w:p w14:paraId="1E2768C6" w14:textId="77777777" w:rsidR="000D4A3E" w:rsidRDefault="000D4A3E" w:rsidP="00C744DF"/>
    <w:p w14:paraId="20A12EF7" w14:textId="77777777" w:rsidR="000D4A3E" w:rsidRDefault="000D4A3E" w:rsidP="00C744DF"/>
    <w:p w14:paraId="4D52B61B" w14:textId="77777777" w:rsidR="000D4A3E" w:rsidRDefault="000D4A3E" w:rsidP="00C744DF"/>
    <w:p w14:paraId="0378DEC4" w14:textId="77777777" w:rsidR="000D4A3E" w:rsidRDefault="000D4A3E" w:rsidP="00C744DF"/>
    <w:p w14:paraId="4D0D9DBB" w14:textId="77777777" w:rsidR="000D4A3E" w:rsidRDefault="000D4A3E" w:rsidP="00C744DF"/>
    <w:p w14:paraId="3B49337F" w14:textId="77777777" w:rsidR="000D4A3E" w:rsidRDefault="000D4A3E" w:rsidP="00C744DF"/>
    <w:p w14:paraId="550253DB" w14:textId="77777777" w:rsidR="000D4A3E" w:rsidRDefault="000D4A3E" w:rsidP="00C744DF"/>
    <w:p w14:paraId="23ED8A37" w14:textId="77777777" w:rsidR="000D4A3E" w:rsidRDefault="000D4A3E" w:rsidP="00C744DF"/>
    <w:p w14:paraId="1C63ED52" w14:textId="77777777" w:rsidR="000D4A3E" w:rsidRDefault="000D4A3E" w:rsidP="00C744DF"/>
    <w:p w14:paraId="0BA88612" w14:textId="77777777" w:rsidR="000D4A3E" w:rsidRDefault="000D4A3E" w:rsidP="00C744DF"/>
    <w:p w14:paraId="43650202" w14:textId="77777777" w:rsidR="000D4A3E" w:rsidRDefault="000D4A3E" w:rsidP="00C744DF"/>
    <w:p w14:paraId="5B730213" w14:textId="77777777" w:rsidR="000D4A3E" w:rsidRDefault="000D4A3E" w:rsidP="00C744DF"/>
    <w:p w14:paraId="7843445D" w14:textId="77777777" w:rsidR="000D4A3E" w:rsidRDefault="000D4A3E" w:rsidP="00C744DF"/>
    <w:p w14:paraId="45CA6F09" w14:textId="77777777" w:rsidR="000D4A3E" w:rsidRDefault="000D4A3E" w:rsidP="00C744DF"/>
    <w:p w14:paraId="1C9E471D" w14:textId="77777777" w:rsidR="000D4A3E" w:rsidRDefault="000D4A3E" w:rsidP="00C744DF"/>
    <w:p w14:paraId="4421D1FB" w14:textId="77777777" w:rsidR="000D4A3E" w:rsidRDefault="000D4A3E" w:rsidP="00C744DF"/>
    <w:p w14:paraId="5DA51A56" w14:textId="77777777" w:rsidR="000D4A3E" w:rsidRDefault="000D4A3E" w:rsidP="00C744DF"/>
    <w:p w14:paraId="1667C903" w14:textId="77777777" w:rsidR="000D4A3E" w:rsidRDefault="000D4A3E" w:rsidP="00C744DF"/>
    <w:p w14:paraId="0FF0B10B" w14:textId="77777777" w:rsidR="000D4A3E" w:rsidRDefault="000D4A3E" w:rsidP="00C744DF"/>
    <w:p w14:paraId="548F9482" w14:textId="77777777" w:rsidR="000D4A3E" w:rsidRDefault="000D4A3E" w:rsidP="00C744DF"/>
    <w:p w14:paraId="1748465D" w14:textId="77777777" w:rsidR="000D4A3E" w:rsidRDefault="000D4A3E" w:rsidP="00C744DF"/>
    <w:p w14:paraId="2A263B08" w14:textId="46B409A4" w:rsidR="00E61323" w:rsidRPr="00E61323" w:rsidRDefault="000D4A3E" w:rsidP="00FC03EA">
      <w:pPr>
        <w:pStyle w:val="Kop1"/>
        <w:numPr>
          <w:ilvl w:val="0"/>
          <w:numId w:val="0"/>
        </w:numPr>
        <w:ind w:left="360" w:hanging="360"/>
      </w:pPr>
      <w:bookmarkStart w:id="22" w:name="_Toc197953387"/>
      <w:bookmarkStart w:id="23" w:name="_Toc199338656"/>
      <w:r>
        <w:t xml:space="preserve">BIJLAGE 4 – </w:t>
      </w:r>
      <w:r w:rsidR="00E61323">
        <w:t>TOEGANGSBEVEILIGING</w:t>
      </w:r>
      <w:bookmarkEnd w:id="22"/>
      <w:bookmarkEnd w:id="23"/>
      <w:r w:rsidR="00E61323">
        <w:t xml:space="preserve"> </w:t>
      </w:r>
    </w:p>
    <w:p w14:paraId="4F7F41FD" w14:textId="69CDB6B0" w:rsidR="00FC03EA" w:rsidRDefault="0055311D" w:rsidP="00E73F44">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FC03EA" w:rsidRPr="00F71BD4">
        <w:rPr>
          <w:rFonts w:eastAsia="Aptos"/>
        </w:rPr>
        <w:t xml:space="preserve"> </w:t>
      </w:r>
      <w:r w:rsidR="00614D23">
        <w:rPr>
          <w:rFonts w:eastAsia="Aptos"/>
        </w:rPr>
        <w:t>beheert</w:t>
      </w:r>
      <w:r w:rsidR="00FC03EA" w:rsidRPr="00F71BD4">
        <w:rPr>
          <w:rFonts w:eastAsia="Aptos"/>
        </w:rPr>
        <w:t xml:space="preserve"> de logische toegang tot de ICT-Oplossing</w:t>
      </w:r>
      <w:r w:rsidR="00470D3B">
        <w:rPr>
          <w:rFonts w:eastAsia="Aptos"/>
        </w:rPr>
        <w:t xml:space="preserve"> en overige </w:t>
      </w:r>
      <w:r w:rsidR="00F41163">
        <w:rPr>
          <w:rFonts w:eastAsia="Aptos"/>
        </w:rPr>
        <w:t>d</w:t>
      </w:r>
      <w:r w:rsidR="00470D3B">
        <w:rPr>
          <w:rFonts w:eastAsia="Aptos"/>
        </w:rPr>
        <w:t xml:space="preserve">iensten van </w:t>
      </w:r>
      <w:r>
        <w:rPr>
          <w:rFonts w:eastAsia="Aptos"/>
        </w:rPr>
        <w:t>Wederpartij</w:t>
      </w:r>
      <w:r w:rsidR="00FC03EA">
        <w:rPr>
          <w:rFonts w:eastAsia="Aptos"/>
        </w:rPr>
        <w:t xml:space="preserve"> </w:t>
      </w:r>
      <w:r w:rsidR="00FC03EA" w:rsidRPr="00F71BD4">
        <w:rPr>
          <w:rFonts w:eastAsia="Aptos"/>
        </w:rPr>
        <w:t xml:space="preserve">door middel van technische en organisatorische maatregelen. Hieronder wordt minimaal verstaan: </w:t>
      </w:r>
    </w:p>
    <w:p w14:paraId="60135BBA" w14:textId="77777777" w:rsidR="00FC03EA" w:rsidRDefault="00FC03EA" w:rsidP="00FC03EA">
      <w:pPr>
        <w:pStyle w:val="Lijstalinea"/>
        <w:suppressAutoHyphens/>
        <w:autoSpaceDN w:val="0"/>
        <w:spacing w:before="240" w:line="240" w:lineRule="auto"/>
        <w:ind w:left="709"/>
        <w:jc w:val="both"/>
        <w:outlineLvl w:val="1"/>
        <w:rPr>
          <w:rFonts w:eastAsia="Aptos"/>
        </w:rPr>
      </w:pPr>
    </w:p>
    <w:p w14:paraId="61B2E016"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gebruik van accounts die herleidbaar zijn naar een gebruiker of systeemactiviteit (lees: service accounts); </w:t>
      </w:r>
    </w:p>
    <w:p w14:paraId="264B8CF4"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toepassen van tweefactor authenticatie op basis van iets wat je weet en iets wat je hebt en/of bent; en </w:t>
      </w:r>
    </w:p>
    <w:p w14:paraId="3B6B21C4"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gebruik van sterke wachtwoorden of een ander authenticatiemiddel welke breed wordt toegepast, betrouwbaar is en als industriestandaard kan worden aangemerkt. </w:t>
      </w:r>
    </w:p>
    <w:p w14:paraId="17FB2DBA" w14:textId="77777777" w:rsidR="00FC03EA" w:rsidRPr="00F71BD4" w:rsidRDefault="00FC03EA" w:rsidP="00FC03EA">
      <w:pPr>
        <w:pStyle w:val="Lijstalinea"/>
        <w:suppressAutoHyphens/>
        <w:autoSpaceDN w:val="0"/>
        <w:spacing w:before="240" w:line="240" w:lineRule="auto"/>
        <w:ind w:left="1429"/>
        <w:jc w:val="both"/>
        <w:outlineLvl w:val="1"/>
        <w:rPr>
          <w:rFonts w:eastAsia="Aptos"/>
        </w:rPr>
      </w:pPr>
    </w:p>
    <w:p w14:paraId="1A160407" w14:textId="09FE19B9" w:rsidR="00FC03EA" w:rsidRDefault="00FC03EA" w:rsidP="00E73F44">
      <w:pPr>
        <w:pStyle w:val="Lijstalinea"/>
        <w:numPr>
          <w:ilvl w:val="0"/>
          <w:numId w:val="16"/>
        </w:numPr>
        <w:suppressAutoHyphens/>
        <w:autoSpaceDN w:val="0"/>
        <w:spacing w:before="240" w:line="240" w:lineRule="auto"/>
        <w:jc w:val="both"/>
        <w:outlineLvl w:val="1"/>
        <w:rPr>
          <w:rFonts w:eastAsia="Aptos"/>
        </w:rPr>
      </w:pPr>
      <w:r w:rsidRPr="00F71BD4">
        <w:rPr>
          <w:rFonts w:eastAsia="Aptos"/>
        </w:rPr>
        <w:t>Alle toegang tot de ICT-Oplossing</w:t>
      </w:r>
      <w:r w:rsidR="00470D3B">
        <w:rPr>
          <w:rFonts w:eastAsia="Aptos"/>
        </w:rPr>
        <w:t xml:space="preserve"> en overige diensten</w:t>
      </w:r>
      <w:r w:rsidRPr="00F71BD4">
        <w:rPr>
          <w:rFonts w:eastAsia="Aptos"/>
        </w:rPr>
        <w:t xml:space="preserve"> </w:t>
      </w:r>
      <w:r w:rsidR="00614D23">
        <w:rPr>
          <w:rFonts w:eastAsia="Aptos"/>
        </w:rPr>
        <w:t xml:space="preserve">wordt door </w:t>
      </w:r>
      <w:r w:rsidR="0055311D">
        <w:rPr>
          <w:rFonts w:eastAsia="Aptos"/>
        </w:rPr>
        <w:t>Wederpartij</w:t>
      </w:r>
      <w:r w:rsidR="00614D23">
        <w:rPr>
          <w:rFonts w:eastAsia="Aptos"/>
        </w:rPr>
        <w:t xml:space="preserve"> </w:t>
      </w:r>
      <w:r w:rsidRPr="00F71BD4">
        <w:rPr>
          <w:rFonts w:eastAsia="Aptos"/>
        </w:rPr>
        <w:t xml:space="preserve">beheerd via een centraal autorisatiesysteem. Dit autorisatiesysteem </w:t>
      </w:r>
      <w:r w:rsidR="00614D23">
        <w:rPr>
          <w:rFonts w:eastAsia="Aptos"/>
        </w:rPr>
        <w:t xml:space="preserve">zorgt </w:t>
      </w:r>
      <w:r w:rsidRPr="00F71BD4">
        <w:rPr>
          <w:rFonts w:eastAsia="Aptos"/>
        </w:rPr>
        <w:t xml:space="preserve">voor een consistent en gestandaardiseerd proces voor het verlenen en intrekken van toegangsrechten. </w:t>
      </w:r>
    </w:p>
    <w:p w14:paraId="59A530A5" w14:textId="77777777" w:rsidR="00FC03EA" w:rsidRDefault="00FC03EA" w:rsidP="00FC03EA">
      <w:pPr>
        <w:pStyle w:val="Lijstalinea"/>
        <w:suppressAutoHyphens/>
        <w:autoSpaceDN w:val="0"/>
        <w:spacing w:before="240" w:line="240" w:lineRule="auto"/>
        <w:ind w:left="709"/>
        <w:jc w:val="both"/>
        <w:outlineLvl w:val="1"/>
        <w:rPr>
          <w:rFonts w:eastAsia="Aptos"/>
        </w:rPr>
      </w:pPr>
    </w:p>
    <w:p w14:paraId="70F9B772" w14:textId="155EA14B" w:rsidR="00F6728F" w:rsidRPr="00614D23" w:rsidRDefault="0055311D" w:rsidP="00614D23">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0643AC" w:rsidRPr="000643AC">
        <w:rPr>
          <w:rFonts w:eastAsia="Aptos"/>
        </w:rPr>
        <w:t xml:space="preserve"> garandeert de veilige en effectieve implementatie en het beheer van een Single Sign-On (SSO) oplossing binnen de door hen geleverde ICT-oplossing, die naadloos integreert met het toegangsbeveiligingssysteem van Enexis. </w:t>
      </w:r>
      <w:r>
        <w:rPr>
          <w:rFonts w:eastAsia="Aptos"/>
        </w:rPr>
        <w:t>Wederpartij</w:t>
      </w:r>
      <w:r w:rsidR="000643AC" w:rsidRPr="000643AC">
        <w:rPr>
          <w:rFonts w:eastAsia="Aptos"/>
        </w:rPr>
        <w:t xml:space="preserve"> </w:t>
      </w:r>
      <w:r w:rsidR="00614D23">
        <w:rPr>
          <w:rFonts w:eastAsia="Aptos"/>
        </w:rPr>
        <w:t>zorgt</w:t>
      </w:r>
      <w:r w:rsidR="000643AC" w:rsidRPr="000643AC">
        <w:rPr>
          <w:rFonts w:eastAsia="Aptos"/>
        </w:rPr>
        <w:t xml:space="preserve"> dat de SSO-oplossing compatibel is met de geldende industriestandaarden, inclusief maar niet beperkt tot protocollen zoals SCIM, SAML 2.0 en OAuth 2.0.</w:t>
      </w:r>
    </w:p>
    <w:p w14:paraId="364C78B8" w14:textId="77777777" w:rsidR="00FC03EA" w:rsidRPr="00CA0569" w:rsidRDefault="00FC03EA" w:rsidP="00FC03EA">
      <w:pPr>
        <w:pStyle w:val="Lijstalinea"/>
        <w:rPr>
          <w:rFonts w:eastAsia="Aptos"/>
        </w:rPr>
      </w:pPr>
    </w:p>
    <w:p w14:paraId="2EC00E93" w14:textId="450E5395" w:rsidR="00FC03EA" w:rsidRDefault="00FC03EA" w:rsidP="00E73F44">
      <w:pPr>
        <w:pStyle w:val="Lijstalinea"/>
        <w:numPr>
          <w:ilvl w:val="0"/>
          <w:numId w:val="16"/>
        </w:numPr>
        <w:suppressAutoHyphens/>
        <w:autoSpaceDN w:val="0"/>
        <w:spacing w:before="240" w:line="240" w:lineRule="auto"/>
        <w:jc w:val="both"/>
        <w:outlineLvl w:val="1"/>
        <w:rPr>
          <w:rFonts w:eastAsia="Aptos"/>
        </w:rPr>
      </w:pPr>
      <w:r w:rsidRPr="00CA0569">
        <w:rPr>
          <w:rFonts w:eastAsia="Aptos"/>
        </w:rPr>
        <w:t>Toegangsrechten binnen de ICT-Oplossing</w:t>
      </w:r>
      <w:r w:rsidR="00770261">
        <w:rPr>
          <w:rFonts w:eastAsia="Aptos"/>
        </w:rPr>
        <w:t xml:space="preserve"> en overige diensten</w:t>
      </w:r>
      <w:r w:rsidRPr="00CA0569">
        <w:rPr>
          <w:rFonts w:eastAsia="Aptos"/>
        </w:rPr>
        <w:t xml:space="preserve"> worden toegewezen op basis van rollen. Iedere rol beschrijft een set verantwoordelijkheden en de daarbij behorende toegangsrechten. Het uitgangspunt bij het opstellen van de rollen is het </w:t>
      </w:r>
      <w:r>
        <w:rPr>
          <w:rFonts w:eastAsia="Aptos"/>
        </w:rPr>
        <w:t xml:space="preserve">Least </w:t>
      </w:r>
      <w:r w:rsidR="00E635DF">
        <w:rPr>
          <w:rFonts w:eastAsia="Aptos"/>
        </w:rPr>
        <w:t>P</w:t>
      </w:r>
      <w:r>
        <w:rPr>
          <w:rFonts w:eastAsia="Aptos"/>
        </w:rPr>
        <w:t xml:space="preserve">rivilege </w:t>
      </w:r>
      <w:r w:rsidR="00E635DF">
        <w:rPr>
          <w:rFonts w:eastAsia="Aptos"/>
        </w:rPr>
        <w:t>P</w:t>
      </w:r>
      <w:r>
        <w:rPr>
          <w:rFonts w:eastAsia="Aptos"/>
        </w:rPr>
        <w:t>rincipe</w:t>
      </w:r>
      <w:r w:rsidRPr="00CA0569">
        <w:rPr>
          <w:rFonts w:eastAsia="Aptos"/>
        </w:rPr>
        <w:t xml:space="preserve">. </w:t>
      </w:r>
      <w:r w:rsidR="0055311D">
        <w:rPr>
          <w:rFonts w:eastAsia="Aptos"/>
        </w:rPr>
        <w:t>Wederpartij</w:t>
      </w:r>
      <w:r w:rsidRPr="00CA0569">
        <w:rPr>
          <w:rFonts w:eastAsia="Aptos"/>
        </w:rPr>
        <w:t xml:space="preserve"> beschikt over een gedocumenteerd overzicht van de standaardrollen die binnen de ICT-Oplossing </w:t>
      </w:r>
      <w:r w:rsidR="00770261">
        <w:rPr>
          <w:rFonts w:eastAsia="Aptos"/>
        </w:rPr>
        <w:t xml:space="preserve">en overige diensten </w:t>
      </w:r>
      <w:r w:rsidRPr="00CA0569">
        <w:rPr>
          <w:rFonts w:eastAsia="Aptos"/>
        </w:rPr>
        <w:t>worden toegepast.</w:t>
      </w:r>
    </w:p>
    <w:p w14:paraId="18FBEE2E" w14:textId="77777777" w:rsidR="00FC03EA" w:rsidRPr="00CA0569" w:rsidRDefault="00FC03EA" w:rsidP="00FC03EA">
      <w:pPr>
        <w:pStyle w:val="Lijstalinea"/>
        <w:rPr>
          <w:rFonts w:eastAsia="Aptos"/>
        </w:rPr>
      </w:pPr>
    </w:p>
    <w:p w14:paraId="13ED06D9" w14:textId="1508CAC9" w:rsidR="00FC03EA" w:rsidRPr="00CA0569" w:rsidRDefault="0055311D" w:rsidP="00E73F44">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FC03EA" w:rsidRPr="00CA0569">
        <w:rPr>
          <w:rFonts w:eastAsia="Aptos"/>
        </w:rPr>
        <w:t xml:space="preserve"> </w:t>
      </w:r>
      <w:r w:rsidR="00614D23">
        <w:rPr>
          <w:rFonts w:eastAsia="Aptos"/>
        </w:rPr>
        <w:t>beoordeelt</w:t>
      </w:r>
      <w:r w:rsidR="00FC03EA" w:rsidRPr="00CA0569">
        <w:rPr>
          <w:rFonts w:eastAsia="Aptos"/>
        </w:rPr>
        <w:t xml:space="preserve"> periodiek, minstens één keer per zes (6) maanden, de toegangsrechten tot de ICT-Oplossing </w:t>
      </w:r>
      <w:r w:rsidR="00770261">
        <w:rPr>
          <w:rFonts w:eastAsia="Aptos"/>
        </w:rPr>
        <w:t>en overige diensten</w:t>
      </w:r>
      <w:r w:rsidR="00FC03EA" w:rsidRPr="00CA0569">
        <w:rPr>
          <w:rFonts w:eastAsia="Aptos"/>
        </w:rPr>
        <w:t xml:space="preserve">. Deze beoordeling richt zich op de juistheid van de toegewezen rechten en bevestigt dat deze nog steeds in lijn zijn met de huidige rol(len) en verantwoordelijkheden van de gebruikers van </w:t>
      </w:r>
      <w:r>
        <w:rPr>
          <w:rFonts w:eastAsia="Aptos"/>
        </w:rPr>
        <w:t>Wederpartij</w:t>
      </w:r>
      <w:r w:rsidR="00FC03EA" w:rsidRPr="00CA0569">
        <w:rPr>
          <w:rFonts w:eastAsia="Aptos"/>
        </w:rPr>
        <w:t xml:space="preserve">. Eventuele afwijkingen of ongeautoriseerde rechten </w:t>
      </w:r>
      <w:r w:rsidR="00BB3AA9">
        <w:rPr>
          <w:rFonts w:eastAsia="Aptos"/>
        </w:rPr>
        <w:t xml:space="preserve">corrigeert </w:t>
      </w:r>
      <w:r>
        <w:rPr>
          <w:rFonts w:eastAsia="Aptos"/>
        </w:rPr>
        <w:t>Wederpartij</w:t>
      </w:r>
      <w:r w:rsidR="00FC03EA" w:rsidRPr="00CA0569">
        <w:rPr>
          <w:rFonts w:eastAsia="Aptos"/>
        </w:rPr>
        <w:t xml:space="preserve"> onmiddellijk gecorrigeerd. Deze periodieke controle wordt gedocumenteerd, inclusief bevindingen en genomen acties</w:t>
      </w:r>
    </w:p>
    <w:p w14:paraId="4596C6AF" w14:textId="77777777" w:rsidR="000D4A3E" w:rsidRDefault="000D4A3E" w:rsidP="00C744DF"/>
    <w:p w14:paraId="73008D8E" w14:textId="77777777" w:rsidR="000D4A3E" w:rsidRDefault="000D4A3E" w:rsidP="00C744DF"/>
    <w:p w14:paraId="7393D86C" w14:textId="77777777" w:rsidR="000D4A3E" w:rsidRDefault="000D4A3E" w:rsidP="00C744DF"/>
    <w:p w14:paraId="52E8B75A" w14:textId="77777777" w:rsidR="000D4A3E" w:rsidRDefault="000D4A3E" w:rsidP="00C744DF"/>
    <w:p w14:paraId="191B32D1" w14:textId="77777777" w:rsidR="00C5601F" w:rsidRDefault="00C5601F" w:rsidP="00C744DF"/>
    <w:p w14:paraId="1AC3381A" w14:textId="77777777" w:rsidR="00C5601F" w:rsidRDefault="00C5601F" w:rsidP="00C744DF"/>
    <w:p w14:paraId="543AEA53" w14:textId="77777777" w:rsidR="00C5601F" w:rsidRDefault="00C5601F" w:rsidP="00C744DF"/>
    <w:p w14:paraId="6DFC6142" w14:textId="77777777" w:rsidR="00C5601F" w:rsidRDefault="00C5601F" w:rsidP="00C744DF"/>
    <w:p w14:paraId="641EC92F" w14:textId="77777777" w:rsidR="00C5601F" w:rsidRDefault="00C5601F" w:rsidP="00C744DF"/>
    <w:p w14:paraId="34119953" w14:textId="77777777" w:rsidR="00C5601F" w:rsidRDefault="00C5601F" w:rsidP="00C744DF"/>
    <w:p w14:paraId="3B5D63AE" w14:textId="77777777" w:rsidR="00C5601F" w:rsidRDefault="00C5601F" w:rsidP="00C744DF"/>
    <w:p w14:paraId="1A43DA10" w14:textId="77777777" w:rsidR="00770261" w:rsidRDefault="00770261" w:rsidP="00C744DF"/>
    <w:p w14:paraId="27975D41" w14:textId="77777777" w:rsidR="00C5601F" w:rsidRDefault="00C5601F" w:rsidP="00C744DF"/>
    <w:p w14:paraId="02F68E12" w14:textId="77777777" w:rsidR="00C5601F" w:rsidRDefault="00C5601F" w:rsidP="00C744DF"/>
    <w:p w14:paraId="040A0495" w14:textId="77777777" w:rsidR="00C5601F" w:rsidRDefault="00C5601F" w:rsidP="00C744DF"/>
    <w:p w14:paraId="35572AE3" w14:textId="77777777" w:rsidR="00C5601F" w:rsidRDefault="00C5601F" w:rsidP="00C744DF"/>
    <w:p w14:paraId="02AD34B1" w14:textId="77777777" w:rsidR="00C5601F" w:rsidRDefault="00C5601F" w:rsidP="00C744DF"/>
    <w:p w14:paraId="0FD4F1E3" w14:textId="77777777" w:rsidR="00C5601F" w:rsidRDefault="00C5601F" w:rsidP="00C744DF"/>
    <w:p w14:paraId="5B8BD914" w14:textId="77777777" w:rsidR="00C5601F" w:rsidRDefault="00C5601F" w:rsidP="00C744DF"/>
    <w:p w14:paraId="35368144" w14:textId="06F3CF27" w:rsidR="00506099" w:rsidRPr="00770261" w:rsidRDefault="001F2D21" w:rsidP="00770261">
      <w:pPr>
        <w:pStyle w:val="Kop1"/>
        <w:numPr>
          <w:ilvl w:val="0"/>
          <w:numId w:val="0"/>
        </w:numPr>
        <w:ind w:left="360" w:hanging="360"/>
      </w:pPr>
      <w:bookmarkStart w:id="24" w:name="_Toc197953388"/>
      <w:bookmarkStart w:id="25" w:name="_Toc199338657"/>
      <w:bookmarkStart w:id="26" w:name="_Hlk196463571"/>
      <w:r>
        <w:lastRenderedPageBreak/>
        <w:t xml:space="preserve">BIJLAGE </w:t>
      </w:r>
      <w:r w:rsidR="00A93FDB">
        <w:t>5</w:t>
      </w:r>
      <w:r>
        <w:t xml:space="preserve"> – </w:t>
      </w:r>
      <w:r w:rsidR="00A93FDB">
        <w:t>ENCRYPTIE EN BACK-UPS</w:t>
      </w:r>
      <w:bookmarkEnd w:id="24"/>
      <w:bookmarkEnd w:id="25"/>
      <w:r w:rsidR="00A93FDB">
        <w:t xml:space="preserve"> </w:t>
      </w:r>
      <w:bookmarkEnd w:id="26"/>
    </w:p>
    <w:p w14:paraId="6CA4E25A" w14:textId="0EE23B48" w:rsidR="00506099" w:rsidRDefault="0055311D" w:rsidP="00E73F44">
      <w:pPr>
        <w:pStyle w:val="Lijstalinea"/>
        <w:numPr>
          <w:ilvl w:val="0"/>
          <w:numId w:val="18"/>
        </w:numPr>
        <w:suppressAutoHyphens/>
        <w:autoSpaceDN w:val="0"/>
        <w:spacing w:before="240" w:line="240" w:lineRule="auto"/>
        <w:jc w:val="both"/>
        <w:outlineLvl w:val="1"/>
        <w:rPr>
          <w:rFonts w:eastAsia="Aptos"/>
        </w:rPr>
      </w:pPr>
      <w:r>
        <w:rPr>
          <w:rFonts w:eastAsia="Aptos"/>
        </w:rPr>
        <w:t>Wederpartij</w:t>
      </w:r>
      <w:r w:rsidR="00506099" w:rsidRPr="00506099">
        <w:rPr>
          <w:rFonts w:eastAsia="Aptos"/>
        </w:rPr>
        <w:t xml:space="preserve"> </w:t>
      </w:r>
      <w:r w:rsidR="00BB3AA9">
        <w:rPr>
          <w:rFonts w:eastAsia="Aptos"/>
        </w:rPr>
        <w:t xml:space="preserve">past </w:t>
      </w:r>
      <w:r w:rsidR="00506099" w:rsidRPr="00506099">
        <w:rPr>
          <w:rFonts w:eastAsia="Aptos"/>
        </w:rPr>
        <w:t xml:space="preserve">passende en erkende encryptiemethoden toe om de vertrouwelijkheid en integriteit van Informatie te beschermen tegen onbevoegde toegang, verlies, of wijziging. De geselecteerde encryptiemethoden voldoen aan de geldende industrie standaarden en wettelijke vereisten. Encryptiesleutels worden opgeslagen en beheerd volgens best practices voor sleutelbeheer, zoals vastgelegd in ISO 11770 (of gelijkwaardig), inclusief periodieke rotatie en controle van sleutels. Toegang tot versleutelde Informatie </w:t>
      </w:r>
      <w:r w:rsidR="005B0F7C">
        <w:rPr>
          <w:rFonts w:eastAsia="Aptos"/>
        </w:rPr>
        <w:t>wordt</w:t>
      </w:r>
      <w:r w:rsidR="00506099" w:rsidRPr="00506099">
        <w:rPr>
          <w:rFonts w:eastAsia="Aptos"/>
        </w:rPr>
        <w:t xml:space="preserve"> strikt gecontroleerd en gelogd. </w:t>
      </w:r>
    </w:p>
    <w:p w14:paraId="0743D5CA" w14:textId="77777777" w:rsidR="00506099" w:rsidRDefault="00506099" w:rsidP="004712C4">
      <w:pPr>
        <w:pStyle w:val="Lijstalinea"/>
        <w:suppressAutoHyphens/>
        <w:autoSpaceDN w:val="0"/>
        <w:spacing w:before="240" w:line="240" w:lineRule="auto"/>
        <w:ind w:left="709"/>
        <w:jc w:val="both"/>
        <w:outlineLvl w:val="1"/>
        <w:rPr>
          <w:rFonts w:eastAsia="Aptos"/>
        </w:rPr>
      </w:pPr>
    </w:p>
    <w:p w14:paraId="2469187A" w14:textId="2B2E2039" w:rsidR="004712C4" w:rsidRPr="004712C4" w:rsidRDefault="00506099" w:rsidP="00E73F44">
      <w:pPr>
        <w:pStyle w:val="Lijstalinea"/>
        <w:numPr>
          <w:ilvl w:val="0"/>
          <w:numId w:val="18"/>
        </w:numPr>
        <w:suppressAutoHyphens/>
        <w:autoSpaceDN w:val="0"/>
        <w:spacing w:before="240" w:line="240" w:lineRule="auto"/>
        <w:jc w:val="both"/>
        <w:outlineLvl w:val="1"/>
        <w:rPr>
          <w:rFonts w:eastAsia="Aptos"/>
        </w:rPr>
      </w:pPr>
      <w:r w:rsidRPr="004712C4">
        <w:rPr>
          <w:rFonts w:eastAsia="Aptos"/>
        </w:rPr>
        <w:t xml:space="preserve">De Informatie die wordt verwerkt in en wordt overgedragen tussen systemen c.q. applicaties, zowel binnen als buiten het netwerk van </w:t>
      </w:r>
      <w:r w:rsidR="0055311D">
        <w:rPr>
          <w:rFonts w:eastAsia="Aptos"/>
        </w:rPr>
        <w:t>Wederpartij</w:t>
      </w:r>
      <w:r w:rsidRPr="004712C4">
        <w:rPr>
          <w:rFonts w:eastAsia="Aptos"/>
        </w:rPr>
        <w:t xml:space="preserve">, </w:t>
      </w:r>
      <w:r w:rsidR="00DE3F3C">
        <w:rPr>
          <w:rFonts w:eastAsia="Aptos"/>
        </w:rPr>
        <w:t xml:space="preserve">wordt </w:t>
      </w:r>
      <w:r w:rsidRPr="004712C4">
        <w:rPr>
          <w:rFonts w:eastAsia="Aptos"/>
        </w:rPr>
        <w:t xml:space="preserve">versleuteld conform de eisen in het vorige artikel om deze Informatie te beschermen tegen onderschepping en manipulatie. Dit omvat, maar is niet beperkt tot, gegevensoverdracht via e-mail, API's, netwerken, en clouddiensten. </w:t>
      </w:r>
    </w:p>
    <w:p w14:paraId="6EDCCA46" w14:textId="77777777" w:rsidR="004712C4" w:rsidRPr="004712C4" w:rsidRDefault="004712C4" w:rsidP="004712C4">
      <w:pPr>
        <w:pStyle w:val="Lijstalinea"/>
        <w:rPr>
          <w:rFonts w:eastAsia="Aptos"/>
        </w:rPr>
      </w:pPr>
    </w:p>
    <w:p w14:paraId="2AB5046D" w14:textId="6E88C69E" w:rsidR="001F2D21" w:rsidRPr="004712C4" w:rsidRDefault="00506099" w:rsidP="00E73F44">
      <w:pPr>
        <w:pStyle w:val="Lijstalinea"/>
        <w:numPr>
          <w:ilvl w:val="0"/>
          <w:numId w:val="18"/>
        </w:numPr>
        <w:suppressAutoHyphens/>
        <w:autoSpaceDN w:val="0"/>
        <w:spacing w:before="240" w:line="240" w:lineRule="auto"/>
        <w:jc w:val="both"/>
        <w:outlineLvl w:val="1"/>
        <w:rPr>
          <w:rFonts w:eastAsia="Aptos"/>
        </w:rPr>
      </w:pPr>
      <w:r w:rsidRPr="004712C4">
        <w:rPr>
          <w:rFonts w:eastAsia="Aptos"/>
        </w:rPr>
        <w:t>Ten behoeve van het bestrijden van calamiteiten</w:t>
      </w:r>
      <w:r w:rsidR="00CB0794">
        <w:rPr>
          <w:rFonts w:eastAsia="Aptos"/>
        </w:rPr>
        <w:t xml:space="preserve"> maakt</w:t>
      </w:r>
      <w:r w:rsidRPr="004712C4">
        <w:rPr>
          <w:rFonts w:eastAsia="Aptos"/>
        </w:rPr>
        <w:t xml:space="preserve"> </w:t>
      </w:r>
      <w:r w:rsidR="0055311D">
        <w:rPr>
          <w:rFonts w:eastAsia="Aptos"/>
        </w:rPr>
        <w:t>Wederpartij</w:t>
      </w:r>
      <w:r w:rsidRPr="004712C4">
        <w:rPr>
          <w:rFonts w:eastAsia="Aptos"/>
        </w:rPr>
        <w:t xml:space="preserve"> dagelijks</w:t>
      </w:r>
      <w:r w:rsidR="00B3585B">
        <w:rPr>
          <w:rFonts w:eastAsia="Aptos"/>
        </w:rPr>
        <w:t>, of vaker indien nodig,</w:t>
      </w:r>
      <w:r w:rsidRPr="004712C4">
        <w:rPr>
          <w:rFonts w:eastAsia="Aptos"/>
        </w:rPr>
        <w:t xml:space="preserve"> reservekopieën (back-ups) van de Informatie om herstel van Informatie binnen de afgesproken RPO mogelijk te maken. </w:t>
      </w:r>
      <w:r w:rsidR="0055311D">
        <w:rPr>
          <w:rFonts w:eastAsia="Aptos"/>
        </w:rPr>
        <w:t>Wederpartij</w:t>
      </w:r>
      <w:r w:rsidRPr="004712C4">
        <w:rPr>
          <w:rFonts w:eastAsia="Aptos"/>
        </w:rPr>
        <w:t xml:space="preserve"> neemt maatregelen om de beschikbaarheid, integriteit en vertrouwelijkheid van de back-ups te garanderen. Hieronder wordt verstaan het toepassen van encryptie, het dupliceren van de back-ups naar verschillende gescheiden fysieke locaties en het beschikken over uitwijklocaties. </w:t>
      </w:r>
      <w:r w:rsidR="0055311D">
        <w:rPr>
          <w:rFonts w:eastAsia="Aptos"/>
        </w:rPr>
        <w:t>Wederpartij</w:t>
      </w:r>
      <w:r w:rsidRPr="004712C4">
        <w:rPr>
          <w:rFonts w:eastAsia="Aptos"/>
        </w:rPr>
        <w:t xml:space="preserve"> </w:t>
      </w:r>
      <w:r w:rsidR="00D818FB">
        <w:rPr>
          <w:rFonts w:eastAsia="Aptos"/>
        </w:rPr>
        <w:t>test</w:t>
      </w:r>
      <w:r w:rsidRPr="004712C4">
        <w:rPr>
          <w:rFonts w:eastAsia="Aptos"/>
        </w:rPr>
        <w:t xml:space="preserve"> minimaal één keer per jaar de back-up aantoonbaar op werking door het uitvoeren van een hersteltest (recovery test)</w:t>
      </w:r>
      <w:r w:rsidR="004D3FC7">
        <w:rPr>
          <w:rFonts w:eastAsia="Aptos"/>
        </w:rPr>
        <w:t xml:space="preserve"> en deelt d</w:t>
      </w:r>
      <w:r w:rsidRPr="004712C4">
        <w:rPr>
          <w:rFonts w:eastAsia="Aptos"/>
        </w:rPr>
        <w:t xml:space="preserve">e resultaten van deze test met Enexis. Indien de test niet geslaagd is, voert </w:t>
      </w:r>
      <w:r w:rsidR="0055311D">
        <w:rPr>
          <w:rFonts w:eastAsia="Aptos"/>
        </w:rPr>
        <w:t>Wederpartij</w:t>
      </w:r>
      <w:r w:rsidRPr="004712C4">
        <w:rPr>
          <w:rFonts w:eastAsia="Aptos"/>
        </w:rPr>
        <w:t xml:space="preserve"> correctieve maatregelen en </w:t>
      </w:r>
      <w:r w:rsidR="00B3585B">
        <w:rPr>
          <w:rFonts w:eastAsia="Aptos"/>
        </w:rPr>
        <w:t xml:space="preserve">de test </w:t>
      </w:r>
      <w:r w:rsidRPr="004712C4">
        <w:rPr>
          <w:rFonts w:eastAsia="Aptos"/>
        </w:rPr>
        <w:t>binnen één (1) maand opnieuw uit.</w:t>
      </w:r>
    </w:p>
    <w:p w14:paraId="51DFC9E9" w14:textId="77777777" w:rsidR="00C5601F" w:rsidRDefault="00C5601F" w:rsidP="00C744DF"/>
    <w:p w14:paraId="7D7F3878" w14:textId="77777777" w:rsidR="004712C4" w:rsidRDefault="004712C4" w:rsidP="00C744DF"/>
    <w:p w14:paraId="4A8ADAA2" w14:textId="77777777" w:rsidR="004712C4" w:rsidRDefault="004712C4" w:rsidP="00C744DF"/>
    <w:p w14:paraId="2BF06FBD" w14:textId="77777777" w:rsidR="004712C4" w:rsidRDefault="004712C4" w:rsidP="00C744DF"/>
    <w:p w14:paraId="676E4DA5" w14:textId="77777777" w:rsidR="004712C4" w:rsidRDefault="004712C4" w:rsidP="00C744DF"/>
    <w:p w14:paraId="270D58AE" w14:textId="77777777" w:rsidR="004712C4" w:rsidRDefault="004712C4" w:rsidP="00C744DF"/>
    <w:p w14:paraId="6577D315" w14:textId="77777777" w:rsidR="004712C4" w:rsidRDefault="004712C4" w:rsidP="00C744DF"/>
    <w:p w14:paraId="5FF46C22" w14:textId="77777777" w:rsidR="004712C4" w:rsidRDefault="004712C4" w:rsidP="00C744DF"/>
    <w:p w14:paraId="7B93E3AA" w14:textId="77777777" w:rsidR="004712C4" w:rsidRDefault="004712C4" w:rsidP="00C744DF"/>
    <w:p w14:paraId="4037C627" w14:textId="77777777" w:rsidR="004712C4" w:rsidRDefault="004712C4" w:rsidP="00C744DF"/>
    <w:p w14:paraId="09A6C521" w14:textId="77777777" w:rsidR="004712C4" w:rsidRDefault="004712C4" w:rsidP="00C744DF"/>
    <w:p w14:paraId="3AF4A119" w14:textId="77777777" w:rsidR="004712C4" w:rsidRDefault="004712C4" w:rsidP="00C744DF"/>
    <w:p w14:paraId="674CF7B8" w14:textId="77777777" w:rsidR="004712C4" w:rsidRDefault="004712C4" w:rsidP="00C744DF"/>
    <w:p w14:paraId="335BCB92" w14:textId="77777777" w:rsidR="004712C4" w:rsidRDefault="004712C4" w:rsidP="00C744DF"/>
    <w:p w14:paraId="28B31CEF" w14:textId="77777777" w:rsidR="004712C4" w:rsidRDefault="004712C4" w:rsidP="00C744DF"/>
    <w:p w14:paraId="45917524" w14:textId="77777777" w:rsidR="004712C4" w:rsidRDefault="004712C4" w:rsidP="00C744DF"/>
    <w:p w14:paraId="754F5862" w14:textId="77777777" w:rsidR="004712C4" w:rsidRDefault="004712C4" w:rsidP="00C744DF"/>
    <w:p w14:paraId="6589F1D3" w14:textId="77777777" w:rsidR="004712C4" w:rsidRDefault="004712C4" w:rsidP="00C744DF"/>
    <w:p w14:paraId="770CD982" w14:textId="77777777" w:rsidR="004712C4" w:rsidRDefault="004712C4" w:rsidP="00C744DF"/>
    <w:p w14:paraId="209A8A33" w14:textId="77777777" w:rsidR="004712C4" w:rsidRDefault="004712C4" w:rsidP="00C744DF"/>
    <w:p w14:paraId="1040A7AC" w14:textId="77777777" w:rsidR="00770261" w:rsidRDefault="00770261" w:rsidP="00C744DF"/>
    <w:p w14:paraId="4389360D" w14:textId="77777777" w:rsidR="00770261" w:rsidRDefault="00770261" w:rsidP="00C744DF"/>
    <w:p w14:paraId="3E1F1699" w14:textId="77777777" w:rsidR="00770261" w:rsidRDefault="00770261" w:rsidP="00C744DF"/>
    <w:p w14:paraId="1E6E61E4" w14:textId="77777777" w:rsidR="004712C4" w:rsidRDefault="004712C4" w:rsidP="00C744DF"/>
    <w:p w14:paraId="329F2265" w14:textId="77777777" w:rsidR="004712C4" w:rsidRDefault="004712C4" w:rsidP="00C744DF"/>
    <w:p w14:paraId="33E21B0A" w14:textId="77777777" w:rsidR="004712C4" w:rsidRDefault="004712C4" w:rsidP="00C744DF"/>
    <w:p w14:paraId="70F9FC8E" w14:textId="77777777" w:rsidR="004E55F3" w:rsidRDefault="004E55F3" w:rsidP="00C744DF"/>
    <w:p w14:paraId="5BC00CA4" w14:textId="77777777" w:rsidR="004712C4" w:rsidRDefault="004712C4" w:rsidP="00C744DF"/>
    <w:p w14:paraId="5090D11D" w14:textId="77777777" w:rsidR="004712C4" w:rsidRDefault="004712C4" w:rsidP="00C744DF"/>
    <w:p w14:paraId="1B3A1B5B" w14:textId="77777777" w:rsidR="004712C4" w:rsidRDefault="004712C4" w:rsidP="00C744DF"/>
    <w:p w14:paraId="5CE55285" w14:textId="50610881" w:rsidR="00D10D55" w:rsidRDefault="00D10D55" w:rsidP="00770261">
      <w:pPr>
        <w:pStyle w:val="Kop1"/>
        <w:numPr>
          <w:ilvl w:val="0"/>
          <w:numId w:val="0"/>
        </w:numPr>
        <w:ind w:left="360" w:hanging="360"/>
      </w:pPr>
      <w:bookmarkStart w:id="27" w:name="_Toc197953389"/>
      <w:bookmarkStart w:id="28" w:name="_Toc199338658"/>
      <w:bookmarkStart w:id="29" w:name="_Hlk196464007"/>
      <w:r>
        <w:lastRenderedPageBreak/>
        <w:t>BIJLAGE 6 – PERSONELE EN FYSIEKE BEVEILIGING</w:t>
      </w:r>
      <w:bookmarkEnd w:id="27"/>
      <w:bookmarkEnd w:id="28"/>
      <w:r>
        <w:t xml:space="preserve"> </w:t>
      </w:r>
    </w:p>
    <w:bookmarkEnd w:id="29"/>
    <w:p w14:paraId="4C9A6C61" w14:textId="0C51BE62" w:rsidR="00D10D55" w:rsidRDefault="00D10D55" w:rsidP="00E73F44">
      <w:pPr>
        <w:pStyle w:val="Lijstalinea"/>
        <w:numPr>
          <w:ilvl w:val="0"/>
          <w:numId w:val="19"/>
        </w:numPr>
        <w:suppressAutoHyphens/>
        <w:autoSpaceDN w:val="0"/>
        <w:spacing w:before="240" w:line="260" w:lineRule="atLeast"/>
        <w:jc w:val="both"/>
        <w:outlineLvl w:val="1"/>
      </w:pPr>
      <w:r w:rsidRPr="00750F28">
        <w:t xml:space="preserve">Enexis kan de werknemers van </w:t>
      </w:r>
      <w:r w:rsidR="0055311D">
        <w:t>Wederpartij</w:t>
      </w:r>
      <w:r w:rsidRPr="00750F28">
        <w:t xml:space="preserve"> dan wel andere door </w:t>
      </w:r>
      <w:r w:rsidR="0055311D">
        <w:t>Wederpartij</w:t>
      </w:r>
      <w:r w:rsidRPr="00750F28">
        <w:t xml:space="preserve"> voor de uitvoering van de Hoofdovereenkomst ingezette derden, aan een veiligheidsonderzoek onderwerpen voor zover dit wettelijk is toegestaan. </w:t>
      </w:r>
      <w:r w:rsidR="0055311D">
        <w:t>Wederpartij</w:t>
      </w:r>
      <w:r w:rsidRPr="00750F28">
        <w:t xml:space="preserve"> verleent aan dat onderzoek </w:t>
      </w:r>
      <w:r w:rsidR="00A519EF">
        <w:t>zijn</w:t>
      </w:r>
      <w:r w:rsidRPr="00750F28">
        <w:t xml:space="preserve"> volledige medewerking. Enexis kan op grond van de uitkomsten daarvan de inzet van de betrokken werknemer en/of derde bij de uitvoering van de Hoofdovereenkomst weigeren.</w:t>
      </w:r>
    </w:p>
    <w:p w14:paraId="5B3CA0F3" w14:textId="77777777" w:rsidR="00D10D55" w:rsidRDefault="00D10D55" w:rsidP="00D10D55">
      <w:pPr>
        <w:pStyle w:val="Lijstalinea"/>
        <w:suppressAutoHyphens/>
        <w:autoSpaceDN w:val="0"/>
        <w:spacing w:before="240" w:line="260" w:lineRule="atLeast"/>
        <w:jc w:val="both"/>
        <w:outlineLvl w:val="1"/>
      </w:pPr>
    </w:p>
    <w:p w14:paraId="3FF770B4" w14:textId="746F1E92" w:rsidR="00D10D55" w:rsidRDefault="00D10D55" w:rsidP="00E73F44">
      <w:pPr>
        <w:pStyle w:val="Lijstalinea"/>
        <w:numPr>
          <w:ilvl w:val="0"/>
          <w:numId w:val="19"/>
        </w:numPr>
        <w:suppressAutoHyphens/>
        <w:autoSpaceDN w:val="0"/>
        <w:spacing w:before="240" w:line="260" w:lineRule="atLeast"/>
        <w:jc w:val="both"/>
        <w:outlineLvl w:val="1"/>
      </w:pPr>
      <w:r w:rsidRPr="00750F28">
        <w:t xml:space="preserve">Indien als onderdeel van de Hoofdovereenkomst </w:t>
      </w:r>
      <w:r w:rsidR="002C5070">
        <w:t xml:space="preserve">mogelijk </w:t>
      </w:r>
      <w:r w:rsidRPr="00750F28">
        <w:t xml:space="preserve">medewerkers en/of derden van </w:t>
      </w:r>
      <w:r w:rsidR="0055311D">
        <w:t>Wederpartij</w:t>
      </w:r>
      <w:r w:rsidRPr="00750F28">
        <w:t xml:space="preserve"> zelfstandig fysieke toegang hebben tot locaties van Enexis, waaronder Stations, dan gelden de volgende bepalingen:</w:t>
      </w:r>
    </w:p>
    <w:p w14:paraId="12AB8ED9" w14:textId="77777777" w:rsidR="00D10D55" w:rsidRPr="00870ADF" w:rsidRDefault="00D10D55" w:rsidP="00D10D55">
      <w:pPr>
        <w:pStyle w:val="Lijstalinea"/>
      </w:pPr>
    </w:p>
    <w:p w14:paraId="5A93CC0F" w14:textId="3212231F" w:rsidR="00D10D55" w:rsidRDefault="0055311D" w:rsidP="00E73F44">
      <w:pPr>
        <w:pStyle w:val="Lijstalinea"/>
        <w:numPr>
          <w:ilvl w:val="0"/>
          <w:numId w:val="20"/>
        </w:numPr>
        <w:suppressAutoHyphens/>
        <w:autoSpaceDN w:val="0"/>
        <w:spacing w:before="240" w:line="260" w:lineRule="atLeast"/>
        <w:jc w:val="both"/>
        <w:outlineLvl w:val="1"/>
      </w:pPr>
      <w:r>
        <w:t>Wederpartij</w:t>
      </w:r>
      <w:r w:rsidR="00D10D55" w:rsidRPr="00870ADF">
        <w:t xml:space="preserve"> </w:t>
      </w:r>
      <w:r w:rsidR="00885B8E">
        <w:t>verstrekt</w:t>
      </w:r>
      <w:r w:rsidR="00D10D55" w:rsidRPr="00870ADF">
        <w:t xml:space="preserve"> toegangsmiddelen, die gerelateerd zijn aan de dienstverlening aan Enexis, enkel aan </w:t>
      </w:r>
      <w:r w:rsidR="00A519EF">
        <w:t>zijn</w:t>
      </w:r>
      <w:r w:rsidR="00D10D55" w:rsidRPr="00870ADF">
        <w:t xml:space="preserve"> medewerkers en derden conform de daarvoor geldende Enexis procedures, indien en zo lang zij dit nodig hebben voor de uitvoering van hun Werkzaamheden;</w:t>
      </w:r>
    </w:p>
    <w:p w14:paraId="7308423F" w14:textId="1A3CAA42" w:rsidR="00D10D55" w:rsidRDefault="00EE24AC" w:rsidP="00E73F44">
      <w:pPr>
        <w:pStyle w:val="Lijstalinea"/>
        <w:numPr>
          <w:ilvl w:val="0"/>
          <w:numId w:val="20"/>
        </w:numPr>
        <w:suppressAutoHyphens/>
        <w:autoSpaceDN w:val="0"/>
        <w:spacing w:before="240" w:line="260" w:lineRule="atLeast"/>
        <w:jc w:val="both"/>
        <w:outlineLvl w:val="1"/>
      </w:pPr>
      <w:r>
        <w:t xml:space="preserve">eventuele </w:t>
      </w:r>
      <w:r w:rsidR="00D10D55" w:rsidRPr="00870ADF">
        <w:t xml:space="preserve">toegangsmiddelen, waaronder gebruikersaccounts die Enexis aan medewerkers van </w:t>
      </w:r>
      <w:r w:rsidR="0055311D">
        <w:t>Wederpartij</w:t>
      </w:r>
      <w:r w:rsidR="00D10D55" w:rsidRPr="00870ADF">
        <w:t xml:space="preserve"> verstrekt zijn strikt persoonsgebonden en </w:t>
      </w:r>
      <w:r>
        <w:t>mogen</w:t>
      </w:r>
      <w:r w:rsidRPr="00870ADF">
        <w:t xml:space="preserve"> </w:t>
      </w:r>
      <w:r w:rsidR="00D10D55" w:rsidRPr="00870ADF">
        <w:t>niet over</w:t>
      </w:r>
      <w:r>
        <w:t>ge</w:t>
      </w:r>
      <w:r w:rsidR="00D10D55" w:rsidRPr="00870ADF">
        <w:t>dra</w:t>
      </w:r>
      <w:r>
        <w:t>gen worden aan een andere persoon</w:t>
      </w:r>
      <w:r w:rsidR="00D10D55" w:rsidRPr="00870ADF">
        <w:t>;</w:t>
      </w:r>
    </w:p>
    <w:p w14:paraId="1EE2732F" w14:textId="49BD2A75" w:rsidR="00D10D55" w:rsidRDefault="00D10D55" w:rsidP="00E73F44">
      <w:pPr>
        <w:pStyle w:val="Lijstalinea"/>
        <w:numPr>
          <w:ilvl w:val="0"/>
          <w:numId w:val="20"/>
        </w:numPr>
        <w:suppressAutoHyphens/>
        <w:autoSpaceDN w:val="0"/>
        <w:spacing w:before="240" w:line="260" w:lineRule="atLeast"/>
        <w:jc w:val="both"/>
        <w:outlineLvl w:val="1"/>
      </w:pPr>
      <w:r w:rsidRPr="00870ADF">
        <w:t xml:space="preserve">in het kader van security en veiligheid </w:t>
      </w:r>
      <w:r w:rsidR="002C5070">
        <w:t xml:space="preserve">worden </w:t>
      </w:r>
      <w:r w:rsidRPr="00870ADF">
        <w:t>medewerkers en derden</w:t>
      </w:r>
      <w:r w:rsidR="003D4C17">
        <w:t xml:space="preserve"> van Wederpartij</w:t>
      </w:r>
      <w:r w:rsidRPr="00870ADF">
        <w:t xml:space="preserve"> bij het betreden van Enexis locaties </w:t>
      </w:r>
      <w:r w:rsidR="003D4C17">
        <w:t xml:space="preserve">altijd </w:t>
      </w:r>
      <w:r w:rsidRPr="00870ADF">
        <w:t xml:space="preserve">begeleid door Enexis medewerkers; </w:t>
      </w:r>
    </w:p>
    <w:p w14:paraId="70699522" w14:textId="0695A0AB" w:rsidR="00D10D55" w:rsidRPr="008301F5" w:rsidRDefault="0055311D" w:rsidP="00E73F44">
      <w:pPr>
        <w:pStyle w:val="Lijstalinea"/>
        <w:numPr>
          <w:ilvl w:val="0"/>
          <w:numId w:val="20"/>
        </w:numPr>
        <w:suppressAutoHyphens/>
        <w:autoSpaceDN w:val="0"/>
        <w:spacing w:before="240" w:line="260" w:lineRule="atLeast"/>
        <w:jc w:val="both"/>
        <w:outlineLvl w:val="1"/>
      </w:pPr>
      <w:r>
        <w:rPr>
          <w:rFonts w:eastAsiaTheme="minorEastAsia"/>
        </w:rPr>
        <w:t>Wederpartij</w:t>
      </w:r>
      <w:r w:rsidR="00D10D55" w:rsidRPr="00C20644">
        <w:rPr>
          <w:rFonts w:eastAsiaTheme="minorEastAsia"/>
        </w:rPr>
        <w:t xml:space="preserve"> </w:t>
      </w:r>
      <w:r w:rsidR="00445F95">
        <w:rPr>
          <w:rFonts w:eastAsiaTheme="minorEastAsia"/>
        </w:rPr>
        <w:t xml:space="preserve">leeft door </w:t>
      </w:r>
      <w:r w:rsidR="00D10D55" w:rsidRPr="00C20644">
        <w:rPr>
          <w:rFonts w:eastAsiaTheme="minorEastAsia"/>
        </w:rPr>
        <w:t xml:space="preserve">Enexis verstrekte </w:t>
      </w:r>
      <w:r w:rsidR="00256171">
        <w:rPr>
          <w:rFonts w:eastAsiaTheme="minorEastAsia"/>
        </w:rPr>
        <w:t xml:space="preserve">en op de website van Enexis gepubliceerde </w:t>
      </w:r>
      <w:r w:rsidR="00D10D55" w:rsidRPr="00C20644">
        <w:rPr>
          <w:rFonts w:eastAsiaTheme="minorEastAsia"/>
        </w:rPr>
        <w:t xml:space="preserve">gedragscodes en huisregels met betrekking tot de veiligheid van de toegang tot Enexis locaties en hulpmiddelen na; </w:t>
      </w:r>
    </w:p>
    <w:p w14:paraId="1D8B28FF" w14:textId="6A8E6C80" w:rsidR="00D10D55" w:rsidRDefault="00D10D55" w:rsidP="00E73F44">
      <w:pPr>
        <w:pStyle w:val="Lijstalinea"/>
        <w:numPr>
          <w:ilvl w:val="0"/>
          <w:numId w:val="20"/>
        </w:numPr>
        <w:suppressAutoHyphens/>
        <w:autoSpaceDN w:val="0"/>
        <w:spacing w:before="240" w:line="260" w:lineRule="atLeast"/>
        <w:jc w:val="both"/>
        <w:outlineLvl w:val="1"/>
      </w:pPr>
      <w:r w:rsidRPr="008301F5">
        <w:t xml:space="preserve">wanneer voor een medewerker of derde van </w:t>
      </w:r>
      <w:r w:rsidR="0055311D">
        <w:t>Wederpartij</w:t>
      </w:r>
      <w:r w:rsidRPr="008301F5">
        <w:t xml:space="preserve"> fysieke toegang dan wel gebruik van Enexis hulpmiddelen</w:t>
      </w:r>
      <w:r w:rsidR="00AB06A3">
        <w:t xml:space="preserve">, </w:t>
      </w:r>
      <w:r w:rsidRPr="008301F5">
        <w:t>waaronder begrepen laptops</w:t>
      </w:r>
      <w:r w:rsidR="00AB06A3">
        <w:t>,</w:t>
      </w:r>
      <w:r w:rsidR="00811E92" w:rsidRPr="008301F5">
        <w:t xml:space="preserve"> </w:t>
      </w:r>
      <w:r w:rsidRPr="008301F5">
        <w:t xml:space="preserve">niet meer noodzakelijk is, dan </w:t>
      </w:r>
      <w:r w:rsidR="00AB06A3">
        <w:t xml:space="preserve">staat </w:t>
      </w:r>
      <w:r w:rsidR="0055311D">
        <w:t>Wederpartij</w:t>
      </w:r>
      <w:r w:rsidRPr="008301F5">
        <w:t xml:space="preserve"> </w:t>
      </w:r>
      <w:r w:rsidR="00811E92">
        <w:t xml:space="preserve">ervoor in te staan dat </w:t>
      </w:r>
      <w:r w:rsidRPr="008301F5">
        <w:t xml:space="preserve">deze hulpmiddelen en de toegangsmiddelen weer </w:t>
      </w:r>
      <w:r w:rsidR="00811E92">
        <w:t>door die medewerker of derde worden ingeleverd</w:t>
      </w:r>
      <w:r w:rsidRPr="008301F5">
        <w:t xml:space="preserve"> conform de daarvoor geldende Enexis procedures op uiterlijk de dag dat desbetreffende medewerker of derde de laatste werkzaamheden voor Enexis heeft verricht.</w:t>
      </w:r>
    </w:p>
    <w:p w14:paraId="7EB08AFC" w14:textId="77777777" w:rsidR="00D10D55" w:rsidRPr="008301F5" w:rsidRDefault="00D10D55" w:rsidP="00D10D55">
      <w:pPr>
        <w:pStyle w:val="Lijstalinea"/>
        <w:suppressAutoHyphens/>
        <w:autoSpaceDN w:val="0"/>
        <w:spacing w:before="240" w:line="260" w:lineRule="atLeast"/>
        <w:ind w:left="1440"/>
        <w:jc w:val="both"/>
        <w:outlineLvl w:val="1"/>
      </w:pPr>
    </w:p>
    <w:p w14:paraId="55D0E945" w14:textId="36092F6A" w:rsidR="00D10D55" w:rsidRDefault="00D10D55" w:rsidP="00E73F44">
      <w:pPr>
        <w:pStyle w:val="Lijstalinea"/>
        <w:numPr>
          <w:ilvl w:val="0"/>
          <w:numId w:val="19"/>
        </w:numPr>
        <w:suppressAutoHyphens/>
        <w:autoSpaceDN w:val="0"/>
        <w:spacing w:before="240" w:line="240" w:lineRule="auto"/>
        <w:jc w:val="both"/>
        <w:outlineLvl w:val="1"/>
      </w:pPr>
      <w:r w:rsidRPr="00811877">
        <w:t xml:space="preserve">Indien </w:t>
      </w:r>
      <w:r w:rsidR="0055311D">
        <w:t>Wederpartij</w:t>
      </w:r>
      <w:r w:rsidRPr="00811877">
        <w:t xml:space="preserve"> gebruik maakt van door Enexis beschikbaar gestelde IT-middelen en beheer- en systeemaccounts (of andere technische mogelijkheden), </w:t>
      </w:r>
      <w:r w:rsidR="00F66102">
        <w:t>gebruikt</w:t>
      </w:r>
      <w:r w:rsidRPr="00811877">
        <w:t xml:space="preserve"> </w:t>
      </w:r>
      <w:r w:rsidR="0055311D">
        <w:t>Wederpartij</w:t>
      </w:r>
      <w:r w:rsidRPr="00811877">
        <w:t xml:space="preserve"> deze niet voor andere doeleinden dan het uitvoeren van de Hoofdovereenkomst. Eventuele wachtwoorden </w:t>
      </w:r>
      <w:r w:rsidR="00F66102">
        <w:t>houdt</w:t>
      </w:r>
      <w:r w:rsidRPr="00811877">
        <w:t xml:space="preserve"> </w:t>
      </w:r>
      <w:r w:rsidR="0055311D">
        <w:t>Wederpartij</w:t>
      </w:r>
      <w:r w:rsidRPr="00811877">
        <w:t xml:space="preserve"> geheim en </w:t>
      </w:r>
      <w:r w:rsidR="00F66102">
        <w:t xml:space="preserve">beveiligt </w:t>
      </w:r>
      <w:r w:rsidR="00FF519A">
        <w:t>h</w:t>
      </w:r>
      <w:r w:rsidR="00F66102">
        <w:t xml:space="preserve">ij </w:t>
      </w:r>
      <w:r w:rsidRPr="00811877">
        <w:t xml:space="preserve">adequaat en de kring van individuen die toegang heeft tot de wachtwoorden </w:t>
      </w:r>
      <w:r w:rsidR="00F66102">
        <w:t>beperkt</w:t>
      </w:r>
      <w:r w:rsidRPr="00811877">
        <w:t xml:space="preserve"> </w:t>
      </w:r>
      <w:r w:rsidR="0055311D">
        <w:t>Wederpartij</w:t>
      </w:r>
      <w:r w:rsidRPr="00811877">
        <w:t xml:space="preserve"> tot die personen die toegang nodig hebben voor het uitvoeren van de Hoofdovereenkomst. </w:t>
      </w:r>
    </w:p>
    <w:p w14:paraId="3477B758" w14:textId="77777777" w:rsidR="00546826" w:rsidRDefault="00546826" w:rsidP="00E868FF">
      <w:pPr>
        <w:pStyle w:val="Lijstalinea"/>
        <w:suppressAutoHyphens/>
        <w:autoSpaceDN w:val="0"/>
        <w:spacing w:before="240" w:line="240" w:lineRule="auto"/>
        <w:jc w:val="both"/>
        <w:outlineLvl w:val="1"/>
      </w:pPr>
    </w:p>
    <w:p w14:paraId="7F61D1F9" w14:textId="5EE2434F" w:rsidR="00546826" w:rsidRPr="00546826" w:rsidRDefault="00546826" w:rsidP="00E73F44">
      <w:pPr>
        <w:pStyle w:val="Lijstalinea"/>
        <w:numPr>
          <w:ilvl w:val="0"/>
          <w:numId w:val="19"/>
        </w:numPr>
        <w:suppressAutoHyphens/>
        <w:autoSpaceDN w:val="0"/>
        <w:spacing w:before="240" w:line="240" w:lineRule="auto"/>
        <w:jc w:val="both"/>
        <w:outlineLvl w:val="1"/>
      </w:pPr>
      <w:r w:rsidRPr="00E868FF">
        <w:t xml:space="preserve">Wanneer medewerkers van </w:t>
      </w:r>
      <w:r w:rsidR="0055311D">
        <w:t>Wederpartij</w:t>
      </w:r>
      <w:r w:rsidRPr="00E868FF">
        <w:t xml:space="preserve"> toegang krijgen tot applicaties en systemen van Enexis op basis van federatie, moeten zij zich registreren en communiceren via zakelijke e-mailadressen die aan hun organisatie zijn gekoppeld. Het gebruik van persoonlijke e-mailadressen, zoals Gmail, Hotmail, Yahoo, en vergelijkbare diensten, is niet toegestaan.</w:t>
      </w:r>
    </w:p>
    <w:p w14:paraId="4B4C24AE" w14:textId="5B323145" w:rsidR="004712C4" w:rsidRDefault="004712C4" w:rsidP="00C744DF"/>
    <w:p w14:paraId="2E0DED51" w14:textId="77777777" w:rsidR="00540EC3" w:rsidRDefault="00540EC3" w:rsidP="00C744DF"/>
    <w:p w14:paraId="6A25BCF4" w14:textId="77777777" w:rsidR="00540EC3" w:rsidRDefault="00540EC3" w:rsidP="00C744DF"/>
    <w:p w14:paraId="4D6B8E1E" w14:textId="77777777" w:rsidR="00540EC3" w:rsidRDefault="00540EC3" w:rsidP="00C744DF"/>
    <w:p w14:paraId="2658BFA3" w14:textId="77777777" w:rsidR="00540EC3" w:rsidRDefault="00540EC3" w:rsidP="00C744DF"/>
    <w:p w14:paraId="1E56B4FB" w14:textId="77777777" w:rsidR="00540EC3" w:rsidRDefault="00540EC3" w:rsidP="00C744DF"/>
    <w:p w14:paraId="178C0ED1" w14:textId="77777777" w:rsidR="00540EC3" w:rsidRDefault="00540EC3" w:rsidP="00C744DF"/>
    <w:p w14:paraId="593343EF" w14:textId="77777777" w:rsidR="00540EC3" w:rsidRDefault="00540EC3" w:rsidP="00C744DF"/>
    <w:p w14:paraId="1325AFAD" w14:textId="77777777" w:rsidR="00540EC3" w:rsidRDefault="00540EC3" w:rsidP="00C744DF"/>
    <w:p w14:paraId="1FB08891" w14:textId="77777777" w:rsidR="00540EC3" w:rsidRDefault="00540EC3" w:rsidP="00C744DF"/>
    <w:p w14:paraId="455DB4A0" w14:textId="77777777" w:rsidR="00540EC3" w:rsidRDefault="00540EC3" w:rsidP="00C744DF"/>
    <w:p w14:paraId="17B9F590" w14:textId="6203F112" w:rsidR="00540EC3" w:rsidRPr="00540EC3" w:rsidRDefault="00540EC3" w:rsidP="00DF09DD">
      <w:pPr>
        <w:pStyle w:val="Kop1"/>
        <w:numPr>
          <w:ilvl w:val="0"/>
          <w:numId w:val="0"/>
        </w:numPr>
        <w:ind w:left="360" w:hanging="360"/>
      </w:pPr>
      <w:bookmarkStart w:id="30" w:name="_Toc197953390"/>
      <w:bookmarkStart w:id="31" w:name="_Toc199338659"/>
      <w:r>
        <w:lastRenderedPageBreak/>
        <w:t>BIJLAGE 7 – TRAINING EN BEWUSTZIJN</w:t>
      </w:r>
      <w:bookmarkEnd w:id="30"/>
      <w:bookmarkEnd w:id="31"/>
    </w:p>
    <w:p w14:paraId="21DB52FF" w14:textId="3DA6FA4E" w:rsidR="00DF09DD" w:rsidRPr="00B55EA0" w:rsidRDefault="0055311D" w:rsidP="00E73F44">
      <w:pPr>
        <w:pStyle w:val="Lijstalinea"/>
        <w:numPr>
          <w:ilvl w:val="0"/>
          <w:numId w:val="22"/>
        </w:numPr>
        <w:suppressAutoHyphens/>
        <w:autoSpaceDN w:val="0"/>
        <w:spacing w:before="240" w:line="240" w:lineRule="auto"/>
        <w:jc w:val="both"/>
        <w:outlineLvl w:val="1"/>
        <w:rPr>
          <w:rFonts w:eastAsia="SimSun"/>
          <w:bCs/>
        </w:rPr>
      </w:pPr>
      <w:r>
        <w:rPr>
          <w:rFonts w:eastAsia="SimSun"/>
          <w:bCs/>
        </w:rPr>
        <w:t>Wederpartij</w:t>
      </w:r>
      <w:r w:rsidR="00DF09DD" w:rsidRPr="00B55EA0">
        <w:rPr>
          <w:rFonts w:eastAsia="SimSun"/>
          <w:bCs/>
        </w:rPr>
        <w:t xml:space="preserve"> </w:t>
      </w:r>
      <w:r w:rsidR="00A40E1E">
        <w:rPr>
          <w:rFonts w:eastAsia="SimSun"/>
          <w:bCs/>
        </w:rPr>
        <w:t xml:space="preserve">zet </w:t>
      </w:r>
      <w:r w:rsidR="00DF09DD" w:rsidRPr="00B55EA0">
        <w:rPr>
          <w:rFonts w:eastAsia="SimSun"/>
          <w:bCs/>
        </w:rPr>
        <w:t xml:space="preserve">een trainings- en bewustwordingsprogramma op waarmee </w:t>
      </w:r>
      <w:r w:rsidR="00FF519A">
        <w:rPr>
          <w:rFonts w:eastAsia="SimSun"/>
          <w:bCs/>
        </w:rPr>
        <w:t>hij zijn</w:t>
      </w:r>
      <w:r w:rsidR="00DF09DD" w:rsidRPr="00B55EA0">
        <w:rPr>
          <w:rFonts w:eastAsia="SimSun"/>
          <w:bCs/>
        </w:rPr>
        <w:t xml:space="preserve"> </w:t>
      </w:r>
      <w:r w:rsidR="00DF09DD" w:rsidRPr="00B55EA0">
        <w:t xml:space="preserve">medewerkers en derden periodiek opleidt over </w:t>
      </w:r>
      <w:r w:rsidR="00DF09DD" w:rsidRPr="00B55EA0">
        <w:rPr>
          <w:rFonts w:eastAsia="SimSun"/>
        </w:rPr>
        <w:t>ontwikkelingen, bedreigingen en toepasselijke wet- en regelgeving op het gebied van Beveiliging. In het trainings- en bewustwordingsprogramma wordt minimaal aandacht gegeven aan de volgende onderwerpen:</w:t>
      </w:r>
    </w:p>
    <w:p w14:paraId="760BC63E" w14:textId="77777777" w:rsidR="00DF09DD" w:rsidRPr="00B55EA0" w:rsidRDefault="00DF09DD" w:rsidP="00DF09DD">
      <w:pPr>
        <w:pStyle w:val="Lijstalinea"/>
        <w:suppressAutoHyphens/>
        <w:autoSpaceDN w:val="0"/>
        <w:spacing w:before="240" w:line="240" w:lineRule="auto"/>
        <w:jc w:val="both"/>
        <w:outlineLvl w:val="1"/>
        <w:rPr>
          <w:rFonts w:eastAsia="SimSun"/>
          <w:bCs/>
        </w:rPr>
      </w:pPr>
    </w:p>
    <w:p w14:paraId="3CC12EE9"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B55EA0">
        <w:rPr>
          <w:rFonts w:eastAsia="SimSun"/>
          <w:bCs/>
        </w:rPr>
        <w:t>herkennen en melden van phising en andere digitale dreigingen;</w:t>
      </w:r>
    </w:p>
    <w:p w14:paraId="5A317A2F"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B55EA0">
        <w:rPr>
          <w:rFonts w:eastAsia="SimSun"/>
          <w:bCs/>
        </w:rPr>
        <w:t>fysieke toegang;</w:t>
      </w:r>
    </w:p>
    <w:p w14:paraId="3729393D"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FF20DD">
        <w:rPr>
          <w:rFonts w:eastAsia="SimSun"/>
          <w:bCs/>
        </w:rPr>
        <w:t>veilig omgaan met en uitwisselen van Vertrouwelijke Informatie;</w:t>
      </w:r>
    </w:p>
    <w:p w14:paraId="43859CAC"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 xml:space="preserve">gebruik van sterke wachtwoorden, tweefactorauthenticatie en wachtwoordmanagers; </w:t>
      </w:r>
    </w:p>
    <w:p w14:paraId="77D83F35"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veilig gebruik van end user devices (bijvoorbeeld laptops en telefoons) en netwerken</w:t>
      </w:r>
      <w:r>
        <w:rPr>
          <w:rFonts w:eastAsia="SimSun"/>
          <w:bCs/>
        </w:rPr>
        <w:t>;</w:t>
      </w:r>
    </w:p>
    <w:p w14:paraId="3DFDD475" w14:textId="77777777" w:rsidR="00DF09DD" w:rsidRPr="008D7C60"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 xml:space="preserve">en indien relevant, het veilig ontwikkelen van software.  </w:t>
      </w:r>
    </w:p>
    <w:p w14:paraId="4DCC5E40" w14:textId="1F4F3B08" w:rsidR="00DF09DD" w:rsidRPr="0083183B" w:rsidRDefault="00DF09DD" w:rsidP="00E73F44">
      <w:pPr>
        <w:numPr>
          <w:ilvl w:val="0"/>
          <w:numId w:val="21"/>
        </w:numPr>
        <w:suppressAutoHyphens/>
        <w:autoSpaceDN w:val="0"/>
        <w:spacing w:before="240" w:line="240" w:lineRule="auto"/>
        <w:ind w:left="567" w:hanging="567"/>
        <w:jc w:val="both"/>
        <w:outlineLvl w:val="1"/>
        <w:rPr>
          <w:rFonts w:eastAsia="SimSun"/>
          <w:bCs/>
        </w:rPr>
      </w:pPr>
      <w:r w:rsidRPr="0083183B">
        <w:rPr>
          <w:rFonts w:eastAsia="SimSun"/>
        </w:rPr>
        <w:t xml:space="preserve">Afhankelijk van het risicoprofiel van de betreffende </w:t>
      </w:r>
      <w:r w:rsidRPr="0083183B">
        <w:t>medewerkers en/of derden en de aard van de W</w:t>
      </w:r>
      <w:r w:rsidRPr="0083183B">
        <w:rPr>
          <w:rFonts w:eastAsia="SimSun"/>
        </w:rPr>
        <w:t xml:space="preserve">erkzaamheden die zij verrichten en/of de </w:t>
      </w:r>
      <w:r>
        <w:rPr>
          <w:rFonts w:eastAsia="SimSun"/>
        </w:rPr>
        <w:t>goederen</w:t>
      </w:r>
      <w:r w:rsidRPr="0083183B">
        <w:rPr>
          <w:rFonts w:eastAsia="SimSun"/>
        </w:rPr>
        <w:t xml:space="preserve"> en/of diensten die zij leveren, </w:t>
      </w:r>
      <w:r w:rsidR="0098049B">
        <w:rPr>
          <w:rFonts w:eastAsia="SimSun"/>
        </w:rPr>
        <w:t>biedt</w:t>
      </w:r>
      <w:r w:rsidRPr="0083183B">
        <w:rPr>
          <w:rFonts w:eastAsia="SimSun"/>
        </w:rPr>
        <w:t xml:space="preserve"> </w:t>
      </w:r>
      <w:r w:rsidR="0055311D">
        <w:rPr>
          <w:rFonts w:eastAsia="SimSun"/>
        </w:rPr>
        <w:t>Wederpartij</w:t>
      </w:r>
      <w:r w:rsidRPr="0083183B">
        <w:rPr>
          <w:rFonts w:eastAsia="SimSun"/>
        </w:rPr>
        <w:t xml:space="preserve"> hen een specifiek </w:t>
      </w:r>
      <w:r w:rsidRPr="0083183B">
        <w:rPr>
          <w:rFonts w:eastAsia="SimSun"/>
          <w:bCs/>
        </w:rPr>
        <w:t>training- en bewustwordingsprogramma aan</w:t>
      </w:r>
      <w:r w:rsidR="0098049B">
        <w:rPr>
          <w:rFonts w:eastAsia="SimSun"/>
          <w:bCs/>
        </w:rPr>
        <w:t>.</w:t>
      </w:r>
      <w:r w:rsidRPr="0083183B">
        <w:rPr>
          <w:rFonts w:eastAsia="SimSun"/>
          <w:bCs/>
        </w:rPr>
        <w:t xml:space="preserve"> </w:t>
      </w:r>
    </w:p>
    <w:p w14:paraId="34489D9C" w14:textId="77777777" w:rsidR="00DF09DD" w:rsidRDefault="00DF09DD" w:rsidP="00E73F44">
      <w:pPr>
        <w:numPr>
          <w:ilvl w:val="0"/>
          <w:numId w:val="21"/>
        </w:numPr>
        <w:suppressAutoHyphens/>
        <w:autoSpaceDN w:val="0"/>
        <w:spacing w:before="240" w:line="240" w:lineRule="auto"/>
        <w:ind w:left="567" w:hanging="567"/>
        <w:jc w:val="both"/>
        <w:outlineLvl w:val="1"/>
        <w:rPr>
          <w:rFonts w:eastAsia="SimSun"/>
          <w:bCs/>
        </w:rPr>
      </w:pPr>
      <w:r w:rsidRPr="0083183B">
        <w:rPr>
          <w:rFonts w:eastAsia="SimSun"/>
          <w:bCs/>
        </w:rPr>
        <w:t xml:space="preserve">De training wordt verzorgd door een onafhankelijke en gekwalificeerde trainer die beschikt over: </w:t>
      </w:r>
    </w:p>
    <w:p w14:paraId="60D333C6"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aantoonbare ervaring met beste praktijken op het gebied van netwerk- en informatiebeveiliging;</w:t>
      </w:r>
    </w:p>
    <w:p w14:paraId="2176256C"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nationale, Europese en internationale standaarden op het gebied van netwerk- en informatiebeveiliging;</w:t>
      </w:r>
    </w:p>
    <w:p w14:paraId="4C8668B1"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mogelijke maatregelen en oplossingen voor risico’s als bedoeld in artikel 20 Cyberbeveiligingswet; en</w:t>
      </w:r>
    </w:p>
    <w:p w14:paraId="5B6B1A94" w14:textId="77777777" w:rsidR="00DF09DD" w:rsidRPr="003D3521"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netwerk- en informatiebeveiligingsvraagstukken op strategisch en tactisch niveau.</w:t>
      </w:r>
    </w:p>
    <w:p w14:paraId="36E77629" w14:textId="77777777" w:rsidR="00DF09DD" w:rsidRPr="0083183B" w:rsidRDefault="00DF09DD" w:rsidP="00DF09DD">
      <w:pPr>
        <w:numPr>
          <w:ilvl w:val="1"/>
          <w:numId w:val="0"/>
        </w:numPr>
        <w:suppressAutoHyphens/>
        <w:autoSpaceDN w:val="0"/>
        <w:spacing w:before="240" w:line="240" w:lineRule="auto"/>
        <w:ind w:left="720" w:hanging="720"/>
        <w:jc w:val="both"/>
        <w:outlineLvl w:val="1"/>
      </w:pPr>
    </w:p>
    <w:p w14:paraId="5D9605A0" w14:textId="77777777" w:rsidR="00540EC3" w:rsidRDefault="00540EC3" w:rsidP="00C744DF"/>
    <w:p w14:paraId="1DB70E0D" w14:textId="77777777" w:rsidR="008B4BA3" w:rsidRDefault="008B4BA3" w:rsidP="00C744DF"/>
    <w:p w14:paraId="0D228844" w14:textId="77777777" w:rsidR="008B4BA3" w:rsidRDefault="008B4BA3" w:rsidP="00C744DF"/>
    <w:p w14:paraId="1DF81B70" w14:textId="77777777" w:rsidR="008B4BA3" w:rsidRDefault="008B4BA3" w:rsidP="00C744DF"/>
    <w:p w14:paraId="30D8C5CF" w14:textId="77777777" w:rsidR="008B4BA3" w:rsidRDefault="008B4BA3" w:rsidP="00C744DF"/>
    <w:p w14:paraId="5883066C" w14:textId="77777777" w:rsidR="008B4BA3" w:rsidRDefault="008B4BA3" w:rsidP="00C744DF"/>
    <w:p w14:paraId="77345199" w14:textId="77777777" w:rsidR="008B4BA3" w:rsidRDefault="008B4BA3" w:rsidP="00C744DF"/>
    <w:p w14:paraId="7327041C" w14:textId="77777777" w:rsidR="008B4BA3" w:rsidRDefault="008B4BA3" w:rsidP="00C744DF"/>
    <w:p w14:paraId="32569772" w14:textId="77777777" w:rsidR="008B4BA3" w:rsidRDefault="008B4BA3" w:rsidP="00C744DF"/>
    <w:p w14:paraId="02F090E7" w14:textId="77777777" w:rsidR="008B4BA3" w:rsidRDefault="008B4BA3" w:rsidP="00C744DF"/>
    <w:p w14:paraId="5897E77B" w14:textId="77777777" w:rsidR="008B4BA3" w:rsidRDefault="008B4BA3" w:rsidP="00C744DF"/>
    <w:p w14:paraId="27BE3033" w14:textId="77777777" w:rsidR="008B4BA3" w:rsidRDefault="008B4BA3" w:rsidP="00C744DF"/>
    <w:p w14:paraId="664A08C1" w14:textId="77777777" w:rsidR="008B4BA3" w:rsidRDefault="008B4BA3" w:rsidP="00C744DF"/>
    <w:p w14:paraId="2064501F" w14:textId="77777777" w:rsidR="008B4BA3" w:rsidRDefault="008B4BA3" w:rsidP="00C744DF"/>
    <w:p w14:paraId="31F9E517" w14:textId="77777777" w:rsidR="008B4BA3" w:rsidRDefault="008B4BA3" w:rsidP="00C744DF"/>
    <w:p w14:paraId="71657AA5" w14:textId="77777777" w:rsidR="008B4BA3" w:rsidRDefault="008B4BA3" w:rsidP="00C744DF"/>
    <w:p w14:paraId="08365AD1" w14:textId="77777777" w:rsidR="008B4BA3" w:rsidRDefault="008B4BA3" w:rsidP="00C744DF"/>
    <w:p w14:paraId="3C89557F" w14:textId="77777777" w:rsidR="008B4BA3" w:rsidRDefault="008B4BA3" w:rsidP="00C744DF"/>
    <w:p w14:paraId="04F042F5" w14:textId="77777777" w:rsidR="008B4BA3" w:rsidRDefault="008B4BA3" w:rsidP="00C744DF"/>
    <w:p w14:paraId="50E79775" w14:textId="77777777" w:rsidR="008B4BA3" w:rsidRDefault="008B4BA3" w:rsidP="00C744DF"/>
    <w:p w14:paraId="2441C523" w14:textId="77777777" w:rsidR="008B4BA3" w:rsidRDefault="008B4BA3" w:rsidP="00C744DF"/>
    <w:p w14:paraId="20680920" w14:textId="77777777" w:rsidR="008B4BA3" w:rsidRDefault="008B4BA3" w:rsidP="00C744DF"/>
    <w:p w14:paraId="00AB2A58" w14:textId="77777777" w:rsidR="008B4BA3" w:rsidRDefault="008B4BA3" w:rsidP="00C744DF"/>
    <w:p w14:paraId="07974154" w14:textId="77777777" w:rsidR="008B4BA3" w:rsidRDefault="008B4BA3" w:rsidP="00C744DF"/>
    <w:p w14:paraId="6C10CE9B" w14:textId="251FC26B" w:rsidR="008B4BA3" w:rsidRPr="0083183B" w:rsidRDefault="008B4BA3" w:rsidP="008B4BA3">
      <w:pPr>
        <w:rPr>
          <w:rFonts w:eastAsia="Aptos"/>
        </w:rPr>
      </w:pPr>
    </w:p>
    <w:p w14:paraId="5BD2F370" w14:textId="03967DF8" w:rsidR="008B4BA3" w:rsidRPr="008B4BA3" w:rsidRDefault="00A64131" w:rsidP="008B4BA3">
      <w:pPr>
        <w:pStyle w:val="Kop1"/>
        <w:numPr>
          <w:ilvl w:val="0"/>
          <w:numId w:val="0"/>
        </w:numPr>
        <w:ind w:left="360" w:hanging="360"/>
      </w:pPr>
      <w:bookmarkStart w:id="32" w:name="_Toc197953391"/>
      <w:bookmarkStart w:id="33" w:name="_Toc199338660"/>
      <w:bookmarkStart w:id="34" w:name="_Hlk193365989"/>
      <w:r>
        <w:lastRenderedPageBreak/>
        <w:t>BIJLAGE</w:t>
      </w:r>
      <w:r w:rsidR="008B4BA3" w:rsidRPr="008B4BA3">
        <w:t xml:space="preserve"> 8 </w:t>
      </w:r>
      <w:r>
        <w:t>–</w:t>
      </w:r>
      <w:r w:rsidR="008B4BA3" w:rsidRPr="008B4BA3">
        <w:t xml:space="preserve"> P</w:t>
      </w:r>
      <w:r>
        <w:t>ATCHMANAGEMENT</w:t>
      </w:r>
      <w:bookmarkEnd w:id="32"/>
      <w:bookmarkEnd w:id="33"/>
      <w:r>
        <w:t xml:space="preserve"> </w:t>
      </w:r>
    </w:p>
    <w:bookmarkEnd w:id="34"/>
    <w:p w14:paraId="7FC49D05" w14:textId="195DD346" w:rsidR="008B4BA3" w:rsidRDefault="0055311D" w:rsidP="00E73F44">
      <w:pPr>
        <w:pStyle w:val="Lijstalinea"/>
        <w:numPr>
          <w:ilvl w:val="0"/>
          <w:numId w:val="26"/>
        </w:numPr>
        <w:suppressAutoHyphens/>
        <w:autoSpaceDN w:val="0"/>
        <w:spacing w:before="240" w:line="240" w:lineRule="auto"/>
        <w:jc w:val="both"/>
        <w:outlineLvl w:val="1"/>
        <w:rPr>
          <w:rFonts w:eastAsia="SimSun"/>
        </w:rPr>
      </w:pPr>
      <w:r>
        <w:rPr>
          <w:rFonts w:eastAsia="SimSun"/>
        </w:rPr>
        <w:t>Wederpartij</w:t>
      </w:r>
      <w:r w:rsidR="008B4BA3" w:rsidRPr="002C7B7B">
        <w:rPr>
          <w:rFonts w:eastAsia="SimSun"/>
        </w:rPr>
        <w:t xml:space="preserve"> is verplicht om tijdens de looptijd van de Hoofdovereenkomst periodiek patches en updates beschikbaar te stellen om bekende (beveiliging)fouten in de </w:t>
      </w:r>
      <w:r w:rsidR="008B4BA3" w:rsidRPr="002C7B7B">
        <w:rPr>
          <w:rFonts w:eastAsia="Aptos"/>
        </w:rPr>
        <w:t xml:space="preserve">ICT-Oplossing, waaronder begrepen de onderliggende </w:t>
      </w:r>
      <w:r w:rsidR="008B4BA3">
        <w:rPr>
          <w:rFonts w:eastAsia="Aptos"/>
        </w:rPr>
        <w:t>IT-</w:t>
      </w:r>
      <w:r w:rsidR="008B4BA3" w:rsidRPr="002C7B7B">
        <w:rPr>
          <w:rFonts w:eastAsia="Aptos"/>
        </w:rPr>
        <w:t>infrastructuur, systemen en/of Informatie van Enexis,</w:t>
      </w:r>
      <w:r w:rsidR="008B4BA3" w:rsidRPr="002C7B7B">
        <w:rPr>
          <w:rFonts w:eastAsia="SimSun"/>
        </w:rPr>
        <w:t xml:space="preserve"> te verhelpen.  </w:t>
      </w:r>
    </w:p>
    <w:p w14:paraId="34C8C161" w14:textId="77777777" w:rsidR="008B4BA3" w:rsidRDefault="008B4BA3" w:rsidP="008B4BA3">
      <w:pPr>
        <w:pStyle w:val="Lijstalinea"/>
        <w:suppressAutoHyphens/>
        <w:autoSpaceDN w:val="0"/>
        <w:spacing w:before="240" w:line="240" w:lineRule="auto"/>
        <w:jc w:val="both"/>
        <w:outlineLvl w:val="1"/>
        <w:rPr>
          <w:rFonts w:eastAsia="SimSun"/>
        </w:rPr>
      </w:pPr>
    </w:p>
    <w:p w14:paraId="14AF63C2" w14:textId="53553FD2" w:rsidR="008B4BA3" w:rsidRDefault="008B4BA3" w:rsidP="00E73F44">
      <w:pPr>
        <w:pStyle w:val="Lijstalinea"/>
        <w:numPr>
          <w:ilvl w:val="0"/>
          <w:numId w:val="26"/>
        </w:numPr>
        <w:suppressAutoHyphens/>
        <w:autoSpaceDN w:val="0"/>
        <w:spacing w:before="240" w:line="240" w:lineRule="auto"/>
        <w:jc w:val="both"/>
        <w:outlineLvl w:val="1"/>
        <w:rPr>
          <w:rFonts w:eastAsia="SimSun"/>
        </w:rPr>
      </w:pPr>
      <w:r w:rsidRPr="002C7B7B">
        <w:rPr>
          <w:rFonts w:eastAsia="SimSun"/>
        </w:rPr>
        <w:t xml:space="preserve">De frequentie van het </w:t>
      </w:r>
      <w:r w:rsidRPr="00813137">
        <w:rPr>
          <w:rFonts w:eastAsia="SimSun"/>
        </w:rPr>
        <w:t xml:space="preserve">patchen wordt risico gebaseerd uitgevoerd door </w:t>
      </w:r>
      <w:r w:rsidR="0055311D">
        <w:rPr>
          <w:rFonts w:eastAsia="SimSun"/>
        </w:rPr>
        <w:t>Wederpartij</w:t>
      </w:r>
      <w:r w:rsidRPr="00813137">
        <w:rPr>
          <w:rFonts w:eastAsia="SimSun"/>
        </w:rPr>
        <w:t xml:space="preserve">, waarbij dit minimaal één (1) keer per maand gebeurt. In het geval van kritieke beveiligingsupdates is </w:t>
      </w:r>
      <w:r w:rsidR="0055311D">
        <w:rPr>
          <w:rFonts w:eastAsia="SimSun"/>
        </w:rPr>
        <w:t>Wederpartij</w:t>
      </w:r>
      <w:r w:rsidRPr="00813137">
        <w:rPr>
          <w:rFonts w:eastAsia="SimSun"/>
        </w:rPr>
        <w:t xml:space="preserve"> verplicht deze zo spoedig</w:t>
      </w:r>
      <w:r w:rsidRPr="002C7B7B">
        <w:rPr>
          <w:rFonts w:eastAsia="SimSun"/>
        </w:rPr>
        <w:t xml:space="preserve"> mogelijk uit te voeren, doch uiterlijk binnen drie (3) werkdagen na publicatie van de betreffende update.</w:t>
      </w:r>
      <w:r>
        <w:rPr>
          <w:rFonts w:eastAsia="SimSun"/>
        </w:rPr>
        <w:t xml:space="preserve"> </w:t>
      </w:r>
      <w:r w:rsidR="0055311D">
        <w:rPr>
          <w:rFonts w:eastAsia="SimSun"/>
        </w:rPr>
        <w:t>Wederpartij</w:t>
      </w:r>
      <w:r>
        <w:rPr>
          <w:rFonts w:eastAsia="SimSun"/>
        </w:rPr>
        <w:t xml:space="preserve"> is verplicht om ten minste </w:t>
      </w:r>
      <w:r w:rsidRPr="00EB53ED">
        <w:rPr>
          <w:rFonts w:eastAsia="SimSun"/>
        </w:rPr>
        <w:t xml:space="preserve">één </w:t>
      </w:r>
      <w:r>
        <w:rPr>
          <w:rFonts w:eastAsia="SimSun"/>
        </w:rPr>
        <w:t xml:space="preserve">(1) werkdag voorafgaand hieraan een digitale notificatie hierover aan Enexis te versturen.  </w:t>
      </w:r>
    </w:p>
    <w:p w14:paraId="2792C1D3" w14:textId="77777777" w:rsidR="008B4BA3" w:rsidRPr="00E23F00" w:rsidRDefault="008B4BA3" w:rsidP="008B4BA3">
      <w:pPr>
        <w:pStyle w:val="Lijstalinea"/>
        <w:rPr>
          <w:rFonts w:eastAsia="SimSun"/>
        </w:rPr>
      </w:pPr>
    </w:p>
    <w:p w14:paraId="442285E8" w14:textId="6F050AEC" w:rsidR="008B4BA3" w:rsidRDefault="0055311D" w:rsidP="00E73F44">
      <w:pPr>
        <w:pStyle w:val="Lijstalinea"/>
        <w:numPr>
          <w:ilvl w:val="0"/>
          <w:numId w:val="26"/>
        </w:numPr>
        <w:suppressAutoHyphens/>
        <w:autoSpaceDN w:val="0"/>
        <w:spacing w:before="240" w:line="240" w:lineRule="auto"/>
        <w:jc w:val="both"/>
        <w:outlineLvl w:val="1"/>
        <w:rPr>
          <w:rFonts w:eastAsia="SimSun"/>
        </w:rPr>
      </w:pPr>
      <w:r>
        <w:rPr>
          <w:rFonts w:eastAsia="SimSun"/>
        </w:rPr>
        <w:t>Wederpartij</w:t>
      </w:r>
      <w:r w:rsidR="008B4BA3" w:rsidRPr="00E23F00">
        <w:rPr>
          <w:rFonts w:eastAsia="SimSun"/>
        </w:rPr>
        <w:t xml:space="preserve"> informeert Enexis tijdig over de geplande patches en updates, inclusief de aard van de wijzigingen, de potentiële impact op de ICT-Oplossing </w:t>
      </w:r>
      <w:r w:rsidR="008B4BA3">
        <w:rPr>
          <w:rFonts w:eastAsia="SimSun"/>
        </w:rPr>
        <w:t xml:space="preserve">en/of diensten </w:t>
      </w:r>
      <w:r w:rsidR="008B4BA3" w:rsidRPr="00E23F00">
        <w:rPr>
          <w:rFonts w:eastAsia="SimSun"/>
        </w:rPr>
        <w:t>en de verwachte onderbreking. Dit dient te geschieden via digitale notificatie ten minste zeven (7) werkdagen voorafgaand aan de beoogde installatie datum.</w:t>
      </w:r>
    </w:p>
    <w:p w14:paraId="7B77EF57" w14:textId="77777777" w:rsidR="008B4BA3" w:rsidRPr="000A6E7D" w:rsidRDefault="008B4BA3" w:rsidP="008B4BA3">
      <w:pPr>
        <w:pStyle w:val="Lijstalinea"/>
        <w:rPr>
          <w:rFonts w:eastAsia="SimSun"/>
        </w:rPr>
      </w:pPr>
    </w:p>
    <w:p w14:paraId="4325E98C" w14:textId="00AB6599" w:rsidR="008B4BA3" w:rsidRDefault="008B4BA3" w:rsidP="00E73F44">
      <w:pPr>
        <w:pStyle w:val="Lijstalinea"/>
        <w:numPr>
          <w:ilvl w:val="0"/>
          <w:numId w:val="26"/>
        </w:numPr>
        <w:suppressAutoHyphens/>
        <w:autoSpaceDN w:val="0"/>
        <w:spacing w:before="240" w:line="240" w:lineRule="auto"/>
        <w:jc w:val="both"/>
        <w:outlineLvl w:val="1"/>
        <w:rPr>
          <w:rFonts w:eastAsia="SimSun"/>
        </w:rPr>
      </w:pPr>
      <w:r w:rsidRPr="000A6E7D">
        <w:rPr>
          <w:rFonts w:eastAsia="SimSun"/>
        </w:rPr>
        <w:t>Het doorvoeren van patches en updates</w:t>
      </w:r>
      <w:r w:rsidR="002F4EEE">
        <w:rPr>
          <w:rFonts w:eastAsia="SimSun"/>
        </w:rPr>
        <w:t xml:space="preserve"> wordt</w:t>
      </w:r>
      <w:r w:rsidRPr="000A6E7D">
        <w:rPr>
          <w:rFonts w:eastAsia="SimSun"/>
        </w:rPr>
        <w:t xml:space="preserve"> door </w:t>
      </w:r>
      <w:r w:rsidR="0055311D">
        <w:rPr>
          <w:rFonts w:eastAsia="SimSun"/>
        </w:rPr>
        <w:t>Wederpartij</w:t>
      </w:r>
      <w:r w:rsidRPr="000A6E7D">
        <w:rPr>
          <w:rFonts w:eastAsia="SimSun"/>
        </w:rPr>
        <w:t xml:space="preserve"> zoveel mogelijk binnen de</w:t>
      </w:r>
      <w:r>
        <w:rPr>
          <w:rFonts w:eastAsia="SimSun"/>
        </w:rPr>
        <w:t>, bijvoorbeeld</w:t>
      </w:r>
      <w:r w:rsidRPr="000A6E7D">
        <w:rPr>
          <w:rFonts w:eastAsia="SimSun"/>
        </w:rPr>
        <w:t xml:space="preserve"> in de Service Level Agreement</w:t>
      </w:r>
      <w:r>
        <w:rPr>
          <w:rFonts w:eastAsia="SimSun"/>
        </w:rPr>
        <w:t>,</w:t>
      </w:r>
      <w:r w:rsidRPr="000A6E7D">
        <w:rPr>
          <w:rFonts w:eastAsia="SimSun"/>
        </w:rPr>
        <w:t xml:space="preserve"> vastgestelde onderhoudsvensters gedaan, zodat de impact op de operationele processen van Enexis tot een minimum wordt beperkt. Uitzonderingen hierop zijn kritieke patches, die onmiddellijk geïnstalleerd moeten worden om de veiligheid en integriteit van de ICT-Oplossing te waarborgen.</w:t>
      </w:r>
    </w:p>
    <w:p w14:paraId="207D6CF6" w14:textId="77777777" w:rsidR="008B4BA3" w:rsidRPr="000A6E7D" w:rsidRDefault="008B4BA3" w:rsidP="008B4BA3">
      <w:pPr>
        <w:pStyle w:val="Lijstalinea"/>
        <w:rPr>
          <w:rFonts w:eastAsia="SimSun"/>
        </w:rPr>
      </w:pPr>
    </w:p>
    <w:p w14:paraId="798E9EB9" w14:textId="6B387BBA" w:rsidR="00EA1CA8" w:rsidRDefault="00EA1CA8" w:rsidP="00EA1CA8">
      <w:pPr>
        <w:pStyle w:val="Lijstalinea"/>
        <w:numPr>
          <w:ilvl w:val="0"/>
          <w:numId w:val="26"/>
        </w:numPr>
        <w:suppressAutoHyphens/>
        <w:autoSpaceDN w:val="0"/>
        <w:spacing w:before="240" w:line="240" w:lineRule="auto"/>
        <w:jc w:val="both"/>
        <w:outlineLvl w:val="1"/>
        <w:rPr>
          <w:rFonts w:eastAsia="SimSun"/>
        </w:rPr>
      </w:pPr>
      <w:r w:rsidRPr="000A6E7D">
        <w:rPr>
          <w:rFonts w:eastAsia="SimSun"/>
        </w:rPr>
        <w:t xml:space="preserve">Voor de </w:t>
      </w:r>
      <w:r w:rsidR="00C13AE4">
        <w:rPr>
          <w:rFonts w:eastAsia="SimSun"/>
        </w:rPr>
        <w:t xml:space="preserve">uitrol </w:t>
      </w:r>
      <w:r w:rsidRPr="000A6E7D">
        <w:rPr>
          <w:rFonts w:eastAsia="SimSun"/>
        </w:rPr>
        <w:t xml:space="preserve">van software patches dient </w:t>
      </w:r>
      <w:r w:rsidR="0055311D">
        <w:rPr>
          <w:rFonts w:eastAsia="SimSun"/>
        </w:rPr>
        <w:t>Wederpartij</w:t>
      </w:r>
      <w:r w:rsidRPr="000A6E7D">
        <w:rPr>
          <w:rFonts w:eastAsia="SimSun"/>
        </w:rPr>
        <w:t xml:space="preserve"> grondige tests uit te voeren in een testomgeving die representatief is voor de productieomgeving. De tests moeten ten minste de volgende aspecten dekken: </w:t>
      </w:r>
    </w:p>
    <w:p w14:paraId="6F6C1F1B" w14:textId="77777777" w:rsidR="00EA1CA8" w:rsidRPr="000A6E7D" w:rsidRDefault="00EA1CA8" w:rsidP="00EA1CA8">
      <w:pPr>
        <w:pStyle w:val="Lijstalinea"/>
        <w:rPr>
          <w:rFonts w:eastAsia="SimSun"/>
        </w:rPr>
      </w:pPr>
    </w:p>
    <w:p w14:paraId="21F25169"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0A6E7D">
        <w:rPr>
          <w:rFonts w:eastAsia="SimSun"/>
        </w:rPr>
        <w:t xml:space="preserve">de (Functionele) werking van de ICT-Oplossing; </w:t>
      </w:r>
    </w:p>
    <w:p w14:paraId="6829F3B2"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83183B">
        <w:rPr>
          <w:rFonts w:eastAsia="SimSun"/>
        </w:rPr>
        <w:t xml:space="preserve">de impact op bestaande functionaliteit; en </w:t>
      </w:r>
    </w:p>
    <w:p w14:paraId="2C76E99A"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83183B">
        <w:rPr>
          <w:rFonts w:eastAsia="SimSun"/>
        </w:rPr>
        <w:t>de Beveiligingsaspecten.</w:t>
      </w:r>
    </w:p>
    <w:p w14:paraId="28D354DB" w14:textId="77777777" w:rsidR="00EA1CA8" w:rsidRPr="0083183B" w:rsidRDefault="00EA1CA8" w:rsidP="00EA1CA8">
      <w:pPr>
        <w:pStyle w:val="Lijstalinea"/>
        <w:suppressAutoHyphens/>
        <w:autoSpaceDN w:val="0"/>
        <w:spacing w:before="240" w:line="240" w:lineRule="auto"/>
        <w:ind w:left="1440"/>
        <w:jc w:val="both"/>
        <w:outlineLvl w:val="1"/>
        <w:rPr>
          <w:rFonts w:eastAsia="SimSun"/>
        </w:rPr>
      </w:pPr>
    </w:p>
    <w:p w14:paraId="6D2CCBF8" w14:textId="15ECBF6C" w:rsidR="008B4BA3" w:rsidRPr="00EA1CA8" w:rsidRDefault="008B4BA3" w:rsidP="00EA1CA8">
      <w:pPr>
        <w:pStyle w:val="Lijstalinea"/>
        <w:numPr>
          <w:ilvl w:val="0"/>
          <w:numId w:val="26"/>
        </w:numPr>
        <w:suppressAutoHyphens/>
        <w:autoSpaceDN w:val="0"/>
        <w:spacing w:before="240" w:line="240" w:lineRule="auto"/>
        <w:jc w:val="both"/>
        <w:outlineLvl w:val="1"/>
        <w:rPr>
          <w:rFonts w:eastAsia="SimSun"/>
        </w:rPr>
      </w:pPr>
      <w:r w:rsidRPr="00EA1CA8">
        <w:rPr>
          <w:rFonts w:eastAsia="SimSun"/>
        </w:rPr>
        <w:t xml:space="preserve">Wanneer Enexis zelf verantwoordelijk is voor het installeren van de door </w:t>
      </w:r>
      <w:r w:rsidR="0055311D">
        <w:rPr>
          <w:rFonts w:eastAsia="SimSun"/>
        </w:rPr>
        <w:t>Wederpartij</w:t>
      </w:r>
      <w:r w:rsidRPr="00EA1CA8">
        <w:rPr>
          <w:rFonts w:eastAsia="SimSun"/>
        </w:rPr>
        <w:t xml:space="preserve"> beschikbaar gestelde patches en updates, dient Enexis ervoor te zorgen dat deze patches en updates tijdig worden geïnstalleerd. </w:t>
      </w:r>
      <w:r w:rsidR="0055311D">
        <w:rPr>
          <w:rFonts w:eastAsia="SimSun"/>
        </w:rPr>
        <w:t>Wederpartij</w:t>
      </w:r>
      <w:r w:rsidRPr="00EA1CA8">
        <w:rPr>
          <w:rFonts w:eastAsia="SimSun"/>
        </w:rPr>
        <w:t xml:space="preserve"> is verplicht om Enexis tijdig, binnen vijf (5) werkdagen na het beschikbaar komen van de patches en updates, informatie hierover te verstrekken aan Enexis. </w:t>
      </w:r>
    </w:p>
    <w:p w14:paraId="6A99CD4F" w14:textId="77777777" w:rsidR="008B4BA3" w:rsidRPr="0083183B" w:rsidRDefault="008B4BA3" w:rsidP="008B4BA3">
      <w:pPr>
        <w:numPr>
          <w:ilvl w:val="1"/>
          <w:numId w:val="0"/>
        </w:numPr>
        <w:suppressAutoHyphens/>
        <w:autoSpaceDN w:val="0"/>
        <w:spacing w:before="240" w:line="260" w:lineRule="atLeast"/>
        <w:ind w:left="720" w:hanging="720"/>
        <w:jc w:val="both"/>
        <w:outlineLvl w:val="1"/>
        <w:rPr>
          <w:rFonts w:eastAsia="Aptos"/>
        </w:rPr>
      </w:pPr>
    </w:p>
    <w:p w14:paraId="29663AA0" w14:textId="77777777" w:rsidR="008B4BA3" w:rsidRPr="0083183B" w:rsidRDefault="008B4BA3" w:rsidP="008B4BA3">
      <w:r w:rsidRPr="0083183B">
        <w:br w:type="page"/>
      </w:r>
    </w:p>
    <w:p w14:paraId="51E3C751" w14:textId="4DAC029D" w:rsidR="008B4BA3" w:rsidRPr="00A64131" w:rsidRDefault="008B4BA3" w:rsidP="00A64131">
      <w:pPr>
        <w:pStyle w:val="Kop1"/>
        <w:numPr>
          <w:ilvl w:val="0"/>
          <w:numId w:val="0"/>
        </w:numPr>
        <w:ind w:left="360" w:hanging="360"/>
      </w:pPr>
      <w:bookmarkStart w:id="35" w:name="_Toc197953392"/>
      <w:bookmarkStart w:id="36" w:name="_Toc199338661"/>
      <w:r w:rsidRPr="00A64131">
        <w:lastRenderedPageBreak/>
        <w:t>B</w:t>
      </w:r>
      <w:r w:rsidR="00A64131">
        <w:t>IJLAGE</w:t>
      </w:r>
      <w:r w:rsidRPr="00A64131">
        <w:t xml:space="preserve"> 9 </w:t>
      </w:r>
      <w:r w:rsidR="00A64131">
        <w:t>–</w:t>
      </w:r>
      <w:r w:rsidRPr="00A64131">
        <w:t xml:space="preserve"> V</w:t>
      </w:r>
      <w:r w:rsidR="00A64131">
        <w:t>ULNERABILITY MANAGEMENT</w:t>
      </w:r>
      <w:bookmarkEnd w:id="35"/>
      <w:bookmarkEnd w:id="36"/>
    </w:p>
    <w:p w14:paraId="2A625B4C" w14:textId="21220424" w:rsidR="008B4BA3" w:rsidRPr="007F4269"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B958B1">
        <w:rPr>
          <w:rFonts w:eastAsia="SimSun"/>
        </w:rPr>
        <w:t xml:space="preserve"> is verplicht om tijdens de looptijd van de Hoofdovereenkomst een vulnerability management programma te implementeren en te onderhouden. Dit programma moet gericht zijn op het identificeren, evalueren en verhelpen van beveiligingskwetsbaarheden in de onder de verantwoordelijkheid van </w:t>
      </w:r>
      <w:r>
        <w:rPr>
          <w:rFonts w:eastAsia="SimSun"/>
        </w:rPr>
        <w:t>Wederpartij</w:t>
      </w:r>
      <w:r w:rsidR="008B4BA3" w:rsidRPr="00B958B1">
        <w:rPr>
          <w:rFonts w:eastAsia="SimSun"/>
        </w:rPr>
        <w:t xml:space="preserve"> vallende systemen, netwerken en software die worden ingezet voor de uitvoering van de Hoofdovereenkomst, waaronder begrepen demarcaties met applicaties en systemen van der</w:t>
      </w:r>
      <w:r w:rsidR="008B4BA3">
        <w:rPr>
          <w:rFonts w:eastAsia="SimSun"/>
        </w:rPr>
        <w:t>d</w:t>
      </w:r>
      <w:r w:rsidR="008B4BA3" w:rsidRPr="00B958B1">
        <w:rPr>
          <w:rFonts w:eastAsia="SimSun"/>
        </w:rPr>
        <w:t>en.</w:t>
      </w:r>
    </w:p>
    <w:p w14:paraId="1A554987" w14:textId="77777777" w:rsidR="008B4BA3" w:rsidRPr="007F4269" w:rsidRDefault="008B4BA3" w:rsidP="008B4BA3">
      <w:pPr>
        <w:pStyle w:val="Lijstalinea"/>
        <w:suppressAutoHyphens/>
        <w:autoSpaceDN w:val="0"/>
        <w:spacing w:before="240" w:line="240" w:lineRule="auto"/>
        <w:jc w:val="both"/>
        <w:outlineLvl w:val="1"/>
        <w:rPr>
          <w:rFonts w:eastAsia="SimSun"/>
          <w:b/>
          <w:bCs/>
        </w:rPr>
      </w:pPr>
    </w:p>
    <w:p w14:paraId="54F28E7E" w14:textId="15B9C096" w:rsidR="008B4BA3" w:rsidRPr="003B3144"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7F4269">
        <w:rPr>
          <w:rFonts w:eastAsia="SimSun"/>
        </w:rPr>
        <w:t xml:space="preserve"> </w:t>
      </w:r>
      <w:r w:rsidR="005B3152">
        <w:rPr>
          <w:rFonts w:eastAsia="SimSun"/>
        </w:rPr>
        <w:t>voert</w:t>
      </w:r>
      <w:r w:rsidR="008B4BA3" w:rsidRPr="007F4269">
        <w:rPr>
          <w:rFonts w:eastAsia="SimSun"/>
        </w:rPr>
        <w:t xml:space="preserve"> periodieke kwetsbaarheidsscans en penetratietests uit op alle relevante systemen en software. Kwetsbaarheidsscans moeten minimaal maandelijks worden uitgevoerd en penetratietest jaarlijks, of vaker indien vereist gezien het risico. </w:t>
      </w:r>
    </w:p>
    <w:p w14:paraId="7851586E" w14:textId="77777777" w:rsidR="008B4BA3" w:rsidRPr="003B3144" w:rsidRDefault="008B4BA3" w:rsidP="008B4BA3">
      <w:pPr>
        <w:pStyle w:val="Lijstalinea"/>
        <w:rPr>
          <w:rFonts w:eastAsia="SimSun"/>
        </w:rPr>
      </w:pPr>
    </w:p>
    <w:p w14:paraId="63BA59F0" w14:textId="66C446B9" w:rsidR="008B4BA3" w:rsidRPr="00241013"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3B3144">
        <w:rPr>
          <w:rFonts w:eastAsia="SimSun"/>
        </w:rPr>
        <w:t xml:space="preserve"> is verplicht om de geïdentificeerde kwetsbaarheden te evalueren op basis van hun impact en waarschijnlijkheid. Dit omvat het classificeren van kwetsbaarheden op basis van hun ernst, zoals ‘kritiek’, ‘hoog’, ‘medium’ of ‘laag’ risico conform het Common Vulnerability Scoring System.</w:t>
      </w:r>
    </w:p>
    <w:p w14:paraId="7F192E44" w14:textId="77777777" w:rsidR="008B4BA3" w:rsidRPr="00241013" w:rsidRDefault="008B4BA3" w:rsidP="008B4BA3">
      <w:pPr>
        <w:pStyle w:val="Lijstalinea"/>
        <w:rPr>
          <w:rFonts w:eastAsia="SimSun"/>
        </w:rPr>
      </w:pPr>
    </w:p>
    <w:p w14:paraId="0410DDFE" w14:textId="2C86ECD9" w:rsidR="008B4BA3" w:rsidRPr="00241013"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241013">
        <w:rPr>
          <w:rFonts w:eastAsia="SimSun"/>
        </w:rPr>
        <w:t xml:space="preserve"> </w:t>
      </w:r>
      <w:r w:rsidR="008115C8">
        <w:rPr>
          <w:rFonts w:eastAsia="SimSun"/>
        </w:rPr>
        <w:t xml:space="preserve">verhelpt </w:t>
      </w:r>
      <w:r w:rsidR="008B4BA3" w:rsidRPr="00241013">
        <w:rPr>
          <w:rFonts w:eastAsia="SimSun"/>
        </w:rPr>
        <w:t xml:space="preserve">de geïdentificeerde kwetsbaarheden </w:t>
      </w:r>
      <w:r w:rsidR="008D68E6">
        <w:rPr>
          <w:rFonts w:eastAsia="SimSun"/>
        </w:rPr>
        <w:t xml:space="preserve">conform onderstaande hersteltermijnen: </w:t>
      </w:r>
      <w:r w:rsidR="008B4BA3" w:rsidRPr="00241013">
        <w:rPr>
          <w:rFonts w:eastAsia="SimSun"/>
        </w:rPr>
        <w:t xml:space="preserve"> </w:t>
      </w:r>
    </w:p>
    <w:p w14:paraId="16211359" w14:textId="77777777" w:rsidR="008B4BA3" w:rsidRPr="00241013" w:rsidRDefault="008B4BA3" w:rsidP="008B4BA3">
      <w:pPr>
        <w:pStyle w:val="Lijstalinea"/>
        <w:rPr>
          <w:rFonts w:eastAsia="SimSun"/>
        </w:rPr>
      </w:pPr>
    </w:p>
    <w:p w14:paraId="0DEFE80B" w14:textId="7B74903A"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241013">
        <w:rPr>
          <w:rFonts w:eastAsia="SimSun"/>
        </w:rPr>
        <w:t xml:space="preserve">Emergency kwetsbaarheden: zo spoedig mogelijk; </w:t>
      </w:r>
    </w:p>
    <w:p w14:paraId="47A5B601"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 xml:space="preserve">Kritieke kwetsbaarheden: binnen vijf (5) dagen na identificatie; </w:t>
      </w:r>
    </w:p>
    <w:p w14:paraId="3B440D32"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 xml:space="preserve">Hoge kwetsbaarheden: binnen 21 dagen na identificatie; </w:t>
      </w:r>
    </w:p>
    <w:p w14:paraId="3CBAFFEC"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Medium kwetsbaarheden: binnen twee (2) maanden na identificatie;</w:t>
      </w:r>
    </w:p>
    <w:p w14:paraId="6CF8C285" w14:textId="79D54F03" w:rsidR="008B4BA3" w:rsidRPr="00BB66B3" w:rsidRDefault="008B4BA3" w:rsidP="00E73F44">
      <w:pPr>
        <w:pStyle w:val="Lijstalinea"/>
        <w:numPr>
          <w:ilvl w:val="0"/>
          <w:numId w:val="29"/>
        </w:numPr>
        <w:suppressAutoHyphens/>
        <w:autoSpaceDN w:val="0"/>
        <w:spacing w:before="240" w:line="240" w:lineRule="auto"/>
        <w:jc w:val="both"/>
        <w:outlineLvl w:val="1"/>
        <w:rPr>
          <w:rFonts w:eastAsia="SimSun"/>
          <w:b/>
          <w:bCs/>
        </w:rPr>
      </w:pPr>
      <w:r w:rsidRPr="0083183B">
        <w:rPr>
          <w:rFonts w:eastAsia="SimSun"/>
        </w:rPr>
        <w:t>Lage kwetsbaarheden: binnen een redelijke termijn, in overeenstemming met de overeengekomen prioriteiten.</w:t>
      </w:r>
    </w:p>
    <w:p w14:paraId="1E4B5497" w14:textId="77777777" w:rsidR="008B4BA3" w:rsidRPr="0083183B" w:rsidRDefault="008B4BA3" w:rsidP="008B4BA3">
      <w:pPr>
        <w:pStyle w:val="Lijstalinea"/>
        <w:suppressAutoHyphens/>
        <w:autoSpaceDN w:val="0"/>
        <w:spacing w:before="240" w:line="240" w:lineRule="auto"/>
        <w:ind w:left="1440"/>
        <w:jc w:val="both"/>
        <w:outlineLvl w:val="1"/>
        <w:rPr>
          <w:rFonts w:eastAsia="SimSun"/>
          <w:b/>
          <w:bCs/>
        </w:rPr>
      </w:pPr>
    </w:p>
    <w:p w14:paraId="4AF8EA77" w14:textId="305C4758" w:rsidR="008B4BA3" w:rsidRPr="00BB66B3" w:rsidRDefault="008B4BA3" w:rsidP="00E73F44">
      <w:pPr>
        <w:pStyle w:val="Lijstalinea"/>
        <w:numPr>
          <w:ilvl w:val="0"/>
          <w:numId w:val="30"/>
        </w:numPr>
        <w:suppressAutoHyphens/>
        <w:autoSpaceDN w:val="0"/>
        <w:spacing w:before="240" w:line="240" w:lineRule="auto"/>
        <w:jc w:val="both"/>
        <w:outlineLvl w:val="1"/>
        <w:rPr>
          <w:rFonts w:eastAsia="SimSun"/>
        </w:rPr>
      </w:pPr>
      <w:r w:rsidRPr="00BB66B3">
        <w:rPr>
          <w:rFonts w:eastAsia="SimSun"/>
        </w:rPr>
        <w:t xml:space="preserve">Wanneer Enexis verantwoordelijk is voor het verhelpen van kwetsbaarheden informeert </w:t>
      </w:r>
      <w:r w:rsidR="0055311D">
        <w:rPr>
          <w:rFonts w:eastAsia="SimSun"/>
        </w:rPr>
        <w:t>Wederpartij</w:t>
      </w:r>
      <w:r w:rsidRPr="00BB66B3">
        <w:rPr>
          <w:rFonts w:eastAsia="SimSun"/>
        </w:rPr>
        <w:t xml:space="preserve"> Enexis tijdig over de status van kwetsbaarheden, inclusief de aard van de kwetsbaarheden, de potentiële impact, en de stappen die ondernomen moeten worden om deze te verhelpen, en verstrekt </w:t>
      </w:r>
      <w:r w:rsidR="001C2FC0">
        <w:rPr>
          <w:rFonts w:eastAsia="SimSun"/>
        </w:rPr>
        <w:t>h</w:t>
      </w:r>
      <w:r w:rsidRPr="00BB66B3">
        <w:rPr>
          <w:rFonts w:eastAsia="SimSun"/>
        </w:rPr>
        <w:t xml:space="preserve">ij al de daartoe benodigde hulpmiddelen zoals de vereiste software. Dit </w:t>
      </w:r>
      <w:r w:rsidR="00F46A9E">
        <w:rPr>
          <w:rFonts w:eastAsia="SimSun"/>
        </w:rPr>
        <w:t>gebeurt</w:t>
      </w:r>
      <w:r w:rsidRPr="00BB66B3">
        <w:rPr>
          <w:rFonts w:eastAsia="SimSun"/>
        </w:rPr>
        <w:t xml:space="preserve"> via een digitale melding ten </w:t>
      </w:r>
      <w:r w:rsidR="001C1B79">
        <w:rPr>
          <w:rFonts w:eastAsia="SimSun"/>
        </w:rPr>
        <w:t>hoogste binnen vijf</w:t>
      </w:r>
      <w:r w:rsidRPr="00BB66B3">
        <w:rPr>
          <w:rFonts w:eastAsia="SimSun"/>
        </w:rPr>
        <w:t xml:space="preserve"> </w:t>
      </w:r>
      <w:r w:rsidR="001C1B79">
        <w:rPr>
          <w:rFonts w:eastAsia="SimSun"/>
        </w:rPr>
        <w:t>(</w:t>
      </w:r>
      <w:r w:rsidRPr="00BB66B3">
        <w:rPr>
          <w:rFonts w:eastAsia="SimSun"/>
        </w:rPr>
        <w:t>5</w:t>
      </w:r>
      <w:r w:rsidR="001C1B79">
        <w:rPr>
          <w:rFonts w:eastAsia="SimSun"/>
        </w:rPr>
        <w:t>)</w:t>
      </w:r>
      <w:r w:rsidRPr="00BB66B3">
        <w:rPr>
          <w:rFonts w:eastAsia="SimSun"/>
        </w:rPr>
        <w:t xml:space="preserve"> werkdagen na de identificatie en evaluatie van de kwetsbaarheden</w:t>
      </w:r>
    </w:p>
    <w:p w14:paraId="4A47A741" w14:textId="77777777" w:rsidR="008B4BA3" w:rsidRPr="0083183B" w:rsidRDefault="008B4BA3" w:rsidP="008B4BA3">
      <w:pPr>
        <w:spacing w:line="240" w:lineRule="auto"/>
        <w:jc w:val="both"/>
      </w:pPr>
    </w:p>
    <w:p w14:paraId="39E84227" w14:textId="77777777" w:rsidR="008B4BA3" w:rsidRPr="0083183B" w:rsidRDefault="008B4BA3" w:rsidP="008B4BA3">
      <w:r w:rsidRPr="0083183B">
        <w:br w:type="page"/>
      </w:r>
    </w:p>
    <w:p w14:paraId="1E3EAE55" w14:textId="3433F4E6" w:rsidR="008B4BA3" w:rsidRPr="00A64131" w:rsidRDefault="008B4BA3" w:rsidP="008B4BA3">
      <w:pPr>
        <w:keepNext/>
        <w:suppressAutoHyphens/>
        <w:autoSpaceDN w:val="0"/>
        <w:spacing w:before="240" w:line="240" w:lineRule="auto"/>
        <w:outlineLvl w:val="0"/>
        <w:rPr>
          <w:rFonts w:ascii="Trebuchet MS" w:hAnsi="Trebuchet MS"/>
          <w:b/>
          <w:bCs/>
          <w:color w:val="04286C"/>
          <w:sz w:val="28"/>
          <w:szCs w:val="28"/>
        </w:rPr>
      </w:pPr>
      <w:bookmarkStart w:id="37" w:name="_Toc197953393"/>
      <w:bookmarkStart w:id="38" w:name="_Toc199338662"/>
      <w:r w:rsidRPr="00A64131">
        <w:rPr>
          <w:rFonts w:ascii="Trebuchet MS" w:hAnsi="Trebuchet MS"/>
          <w:b/>
          <w:bCs/>
          <w:color w:val="04286C"/>
          <w:sz w:val="28"/>
          <w:szCs w:val="28"/>
        </w:rPr>
        <w:lastRenderedPageBreak/>
        <w:t>B</w:t>
      </w:r>
      <w:r w:rsidR="00A64131">
        <w:rPr>
          <w:rFonts w:ascii="Trebuchet MS" w:hAnsi="Trebuchet MS"/>
          <w:b/>
          <w:bCs/>
          <w:color w:val="04286C"/>
          <w:sz w:val="28"/>
          <w:szCs w:val="28"/>
        </w:rPr>
        <w:t>IJLAGE</w:t>
      </w:r>
      <w:r w:rsidRPr="00A64131">
        <w:rPr>
          <w:rFonts w:ascii="Trebuchet MS" w:hAnsi="Trebuchet MS"/>
          <w:b/>
          <w:bCs/>
          <w:color w:val="04286C"/>
          <w:sz w:val="28"/>
          <w:szCs w:val="28"/>
        </w:rPr>
        <w:t xml:space="preserve"> 10 - C</w:t>
      </w:r>
      <w:r w:rsidR="00A64131">
        <w:rPr>
          <w:rFonts w:ascii="Trebuchet MS" w:hAnsi="Trebuchet MS"/>
          <w:b/>
          <w:bCs/>
          <w:color w:val="04286C"/>
          <w:sz w:val="28"/>
          <w:szCs w:val="28"/>
        </w:rPr>
        <w:t>ONTINUITEITSBEHEER</w:t>
      </w:r>
      <w:bookmarkEnd w:id="37"/>
      <w:bookmarkEnd w:id="38"/>
    </w:p>
    <w:p w14:paraId="65B2B663" w14:textId="462184A6" w:rsidR="008B4BA3"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bCs/>
        </w:rPr>
        <w:t>Wederpartij</w:t>
      </w:r>
      <w:r w:rsidR="008B4BA3" w:rsidRPr="00CB3BDC">
        <w:rPr>
          <w:rFonts w:eastAsia="SimSun"/>
          <w:bCs/>
        </w:rPr>
        <w:t xml:space="preserve"> is verplicht om </w:t>
      </w:r>
      <w:r w:rsidR="008B4BA3" w:rsidRPr="00813137">
        <w:rPr>
          <w:rFonts w:eastAsia="SimSun"/>
          <w:bCs/>
        </w:rPr>
        <w:t>binnen twee (2) maanden na ondertekening</w:t>
      </w:r>
      <w:r w:rsidR="008B4BA3" w:rsidRPr="00CB3BDC">
        <w:rPr>
          <w:rFonts w:eastAsia="SimSun"/>
          <w:bCs/>
        </w:rPr>
        <w:t xml:space="preserve"> van de Hoofdovereenkomst een overzichtelijk en gestructureerd bedrijfscontinuïteitsplan op te stellen</w:t>
      </w:r>
      <w:r w:rsidR="008B4BA3">
        <w:rPr>
          <w:rFonts w:eastAsia="SimSun"/>
          <w:bCs/>
        </w:rPr>
        <w:t xml:space="preserve"> </w:t>
      </w:r>
      <w:r w:rsidR="008B4BA3" w:rsidRPr="00CB3BDC">
        <w:rPr>
          <w:rFonts w:eastAsia="SimSun"/>
          <w:bCs/>
        </w:rPr>
        <w:t xml:space="preserve">en ter goedkeuring voor te leggen aan Enexis, waarin minimaal de eisen en processen zoals gecommuniceerd tijdens de eventuele aanbesteding in zijn opgenomen. Dit plan beschrijft hoe de overeengekomen Werkzaamheden, </w:t>
      </w:r>
      <w:r w:rsidR="008B4BA3">
        <w:rPr>
          <w:rFonts w:eastAsia="SimSun"/>
          <w:bCs/>
        </w:rPr>
        <w:t>goederen</w:t>
      </w:r>
      <w:r w:rsidR="008B4BA3" w:rsidRPr="00CB3BDC">
        <w:rPr>
          <w:rFonts w:eastAsia="SimSun"/>
          <w:bCs/>
        </w:rPr>
        <w:t xml:space="preserve"> en/of </w:t>
      </w:r>
      <w:r w:rsidR="008B4BA3">
        <w:rPr>
          <w:rFonts w:eastAsia="SimSun"/>
          <w:bCs/>
        </w:rPr>
        <w:t>di</w:t>
      </w:r>
      <w:r w:rsidR="008B4BA3" w:rsidRPr="00CB3BDC">
        <w:rPr>
          <w:rFonts w:eastAsia="SimSun"/>
          <w:bCs/>
        </w:rPr>
        <w:t xml:space="preserve">ensten zonder significante onderbreking worden voortgezet door </w:t>
      </w:r>
      <w:r>
        <w:rPr>
          <w:rFonts w:eastAsia="SimSun"/>
          <w:bCs/>
        </w:rPr>
        <w:t>Wederpartij</w:t>
      </w:r>
      <w:r w:rsidR="008B4BA3" w:rsidRPr="00CB3BDC">
        <w:rPr>
          <w:rFonts w:eastAsia="SimSun"/>
          <w:bCs/>
        </w:rPr>
        <w:t xml:space="preserve">, ook in het geval van uitval, beëindiging of wanprestatie van </w:t>
      </w:r>
      <w:r w:rsidR="008B4BA3">
        <w:rPr>
          <w:rFonts w:eastAsia="SimSun"/>
          <w:bCs/>
        </w:rPr>
        <w:t xml:space="preserve">een </w:t>
      </w:r>
      <w:r w:rsidR="008B4BA3" w:rsidRPr="00CB3BDC">
        <w:rPr>
          <w:rFonts w:eastAsia="SimSun"/>
          <w:bCs/>
        </w:rPr>
        <w:t xml:space="preserve">Derde(n). </w:t>
      </w:r>
      <w:r>
        <w:rPr>
          <w:rFonts w:eastAsia="SimSun"/>
          <w:bCs/>
        </w:rPr>
        <w:t>Wederpartij</w:t>
      </w:r>
      <w:r w:rsidR="008B4BA3" w:rsidRPr="00CB3BDC">
        <w:rPr>
          <w:rFonts w:eastAsia="SimSun"/>
          <w:bCs/>
        </w:rPr>
        <w:t xml:space="preserve"> waarborgt dat het bedrijfscontinuïteitsplan ten minste de volgende elementen </w:t>
      </w:r>
      <w:r w:rsidR="005254C7">
        <w:rPr>
          <w:rFonts w:eastAsia="SimSun"/>
          <w:bCs/>
        </w:rPr>
        <w:t>bevat:</w:t>
      </w:r>
    </w:p>
    <w:p w14:paraId="140BE70F" w14:textId="77777777" w:rsidR="008B4BA3" w:rsidRPr="00CB3BDC" w:rsidRDefault="008B4BA3" w:rsidP="008B4BA3">
      <w:pPr>
        <w:pStyle w:val="Lijstalinea"/>
        <w:suppressAutoHyphens/>
        <w:autoSpaceDN w:val="0"/>
        <w:spacing w:before="240" w:line="240" w:lineRule="auto"/>
        <w:jc w:val="both"/>
        <w:outlineLvl w:val="1"/>
        <w:rPr>
          <w:rFonts w:eastAsia="SimSun"/>
          <w:bCs/>
        </w:rPr>
      </w:pPr>
    </w:p>
    <w:p w14:paraId="27ABDDED" w14:textId="5C780F7E" w:rsidR="008B4BA3" w:rsidRPr="00116F10" w:rsidRDefault="008B4BA3" w:rsidP="00E73F44">
      <w:pPr>
        <w:pStyle w:val="Lijstalinea"/>
        <w:numPr>
          <w:ilvl w:val="0"/>
          <w:numId w:val="32"/>
        </w:numPr>
        <w:suppressAutoHyphens/>
        <w:autoSpaceDN w:val="0"/>
        <w:spacing w:before="240" w:line="240" w:lineRule="auto"/>
        <w:jc w:val="both"/>
        <w:outlineLvl w:val="1"/>
        <w:rPr>
          <w:rFonts w:eastAsia="SimSun"/>
        </w:rPr>
      </w:pPr>
      <w:r w:rsidRPr="00116F10">
        <w:rPr>
          <w:rFonts w:eastAsia="SimSun"/>
        </w:rPr>
        <w:t xml:space="preserve">een volledig overzicht van alle essentiële en relevante processen, systemen en voor </w:t>
      </w:r>
      <w:r w:rsidR="0055311D">
        <w:rPr>
          <w:rFonts w:eastAsia="SimSun"/>
        </w:rPr>
        <w:t>Wederpartij</w:t>
      </w:r>
      <w:r w:rsidRPr="00116F10">
        <w:rPr>
          <w:rFonts w:eastAsia="SimSun"/>
        </w:rPr>
        <w:t xml:space="preserve"> relevante Derde(n) in de toeleveringsketen, hun rol en de mate van afhankelijkheid binnen de uitvoering van de Hoofdovereenkomst jegens Enexis en jegens onder verantwoordelijk van Enexis betrokken derden;</w:t>
      </w:r>
    </w:p>
    <w:p w14:paraId="076D9EC6" w14:textId="19A75001"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83183B">
        <w:rPr>
          <w:rFonts w:eastAsia="SimSun"/>
        </w:rPr>
        <w:t xml:space="preserve">de kritieke raakvlakken tussen </w:t>
      </w:r>
      <w:r w:rsidR="0055311D">
        <w:rPr>
          <w:rFonts w:eastAsia="SimSun"/>
        </w:rPr>
        <w:t>Wederpartij</w:t>
      </w:r>
      <w:r w:rsidRPr="0083183B">
        <w:rPr>
          <w:rFonts w:eastAsia="SimSun"/>
        </w:rPr>
        <w:t xml:space="preserve"> </w:t>
      </w:r>
      <w:r w:rsidRPr="0083183B">
        <w:rPr>
          <w:rFonts w:eastAsia="SimSun"/>
          <w:bCs/>
        </w:rPr>
        <w:t>en alle Derde(n) in de toeleveringsketen;</w:t>
      </w:r>
    </w:p>
    <w:p w14:paraId="1370C4F5" w14:textId="31D7AAA4"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116F10">
        <w:rPr>
          <w:rFonts w:eastAsia="SimSun"/>
          <w:bCs/>
        </w:rPr>
        <w:t xml:space="preserve">de maatregelen die </w:t>
      </w:r>
      <w:r w:rsidR="0055311D">
        <w:rPr>
          <w:rFonts w:eastAsia="SimSun"/>
          <w:bCs/>
        </w:rPr>
        <w:t>Wederpartij</w:t>
      </w:r>
      <w:r w:rsidRPr="00116F10">
        <w:rPr>
          <w:rFonts w:eastAsia="SimSun"/>
          <w:bCs/>
        </w:rPr>
        <w:t xml:space="preserve"> treft om de beschikbaarheid, vertrouwelijkheid en integriteit van Informatie en de continuïteit te waarborgen bij uitval van bijvoorbeeld een relevante Derde; </w:t>
      </w:r>
    </w:p>
    <w:p w14:paraId="6840B93A" w14:textId="3424CB4A"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 xml:space="preserve">de maximale termijn waarbinnen in geval van uitval van bijvoorbeeld een relevante Derde door </w:t>
      </w:r>
      <w:r w:rsidR="0055311D">
        <w:rPr>
          <w:rFonts w:eastAsia="SimSun"/>
          <w:bCs/>
        </w:rPr>
        <w:t>Wederpartij</w:t>
      </w:r>
      <w:r w:rsidRPr="00A46CC7">
        <w:rPr>
          <w:rFonts w:eastAsia="SimSun"/>
          <w:bCs/>
        </w:rPr>
        <w:t xml:space="preserve"> een vervangende oplossing </w:t>
      </w:r>
      <w:r w:rsidR="005254C7">
        <w:rPr>
          <w:rFonts w:eastAsia="SimSun"/>
          <w:bCs/>
        </w:rPr>
        <w:t>is</w:t>
      </w:r>
      <w:r w:rsidRPr="00A46CC7">
        <w:rPr>
          <w:rFonts w:eastAsia="SimSun"/>
          <w:bCs/>
        </w:rPr>
        <w:t xml:space="preserve"> gerealiseerd, al dan niet in de vorm van alternatieve leveranciers of interne capaciteit; en</w:t>
      </w:r>
    </w:p>
    <w:p w14:paraId="160ED830"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 xml:space="preserve">procedures voor het implementeren van redundantie en regelmatige back-ups om de beschikbaarheid en vertrouwelijkheid van de back-ups te garanderen, waaronder het toepassen van versleuteling en het dupliceren van de back-ups naar verschillende gescheiden fysieke locaties; </w:t>
      </w:r>
    </w:p>
    <w:p w14:paraId="5288756A"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procedures voor het herstel van systemen en data na een incident, inclusief regelmatige tests van</w:t>
      </w:r>
      <w:r>
        <w:rPr>
          <w:rFonts w:eastAsia="SimSun"/>
          <w:bCs/>
        </w:rPr>
        <w:t xml:space="preserve"> het </w:t>
      </w:r>
      <w:r w:rsidRPr="00CB3BDC">
        <w:rPr>
          <w:rFonts w:eastAsia="SimSun"/>
          <w:bCs/>
        </w:rPr>
        <w:t>bedrijfscontinuïteitsplan</w:t>
      </w:r>
      <w:r>
        <w:rPr>
          <w:rFonts w:eastAsia="SimSun"/>
          <w:bCs/>
        </w:rPr>
        <w:t xml:space="preserve">; en </w:t>
      </w:r>
    </w:p>
    <w:p w14:paraId="580D4464"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procedures en escalatiemechanismen voor communicatie met Enexis bij calamiteiten.</w:t>
      </w:r>
    </w:p>
    <w:p w14:paraId="100584DA" w14:textId="77777777" w:rsidR="008B4BA3" w:rsidRPr="00A46CC7" w:rsidRDefault="008B4BA3" w:rsidP="008B4BA3">
      <w:pPr>
        <w:pStyle w:val="Lijstalinea"/>
        <w:suppressAutoHyphens/>
        <w:autoSpaceDN w:val="0"/>
        <w:spacing w:before="240" w:line="240" w:lineRule="auto"/>
        <w:ind w:left="1440"/>
        <w:jc w:val="both"/>
        <w:outlineLvl w:val="1"/>
        <w:rPr>
          <w:rFonts w:eastAsia="SimSun"/>
          <w:bCs/>
        </w:rPr>
      </w:pPr>
    </w:p>
    <w:p w14:paraId="3EC64E7A" w14:textId="0E859C97" w:rsidR="008B4BA3"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bCs/>
        </w:rPr>
        <w:t>Wederpartij</w:t>
      </w:r>
      <w:r w:rsidR="008B4BA3" w:rsidRPr="0083183B">
        <w:rPr>
          <w:rFonts w:eastAsia="SimSun"/>
          <w:bCs/>
        </w:rPr>
        <w:t xml:space="preserve"> is verplicht het bedrijfscontinuïteitsplan periodiek te </w:t>
      </w:r>
      <w:r w:rsidR="00B06478">
        <w:rPr>
          <w:rFonts w:eastAsia="SimSun"/>
          <w:bCs/>
        </w:rPr>
        <w:t xml:space="preserve">testen op geschiktheid </w:t>
      </w:r>
      <w:r w:rsidR="008B4BA3" w:rsidRPr="0083183B">
        <w:rPr>
          <w:rFonts w:eastAsia="SimSun"/>
          <w:bCs/>
        </w:rPr>
        <w:t xml:space="preserve">en minimaal één (1) keer per jaar te herzien en bij wijzigingen </w:t>
      </w:r>
      <w:r w:rsidR="004069C1">
        <w:rPr>
          <w:rFonts w:eastAsia="SimSun"/>
          <w:bCs/>
        </w:rPr>
        <w:t xml:space="preserve">meteen </w:t>
      </w:r>
      <w:r w:rsidR="008B4BA3" w:rsidRPr="0083183B">
        <w:rPr>
          <w:rFonts w:eastAsia="SimSun"/>
          <w:bCs/>
        </w:rPr>
        <w:t xml:space="preserve">een bijgewerkte versie ter goedkeuring aan Enexis voor te leggen. </w:t>
      </w:r>
      <w:r>
        <w:rPr>
          <w:rFonts w:eastAsia="SimSun"/>
          <w:bCs/>
        </w:rPr>
        <w:t>Wederpartij</w:t>
      </w:r>
      <w:r w:rsidR="008B4BA3" w:rsidRPr="0083183B">
        <w:rPr>
          <w:rFonts w:eastAsia="SimSun"/>
          <w:bCs/>
        </w:rPr>
        <w:t xml:space="preserve"> </w:t>
      </w:r>
      <w:r w:rsidR="005254C7">
        <w:rPr>
          <w:rFonts w:eastAsia="SimSun"/>
          <w:bCs/>
        </w:rPr>
        <w:t>actualiseert</w:t>
      </w:r>
      <w:r w:rsidR="008B4BA3" w:rsidRPr="0083183B">
        <w:rPr>
          <w:rFonts w:eastAsia="SimSun"/>
          <w:bCs/>
        </w:rPr>
        <w:t xml:space="preserve"> in ieder geval dit bedrijfscontinuïteitsplan op het moment dat sprake </w:t>
      </w:r>
      <w:r w:rsidR="005254C7">
        <w:rPr>
          <w:rFonts w:eastAsia="SimSun"/>
          <w:bCs/>
        </w:rPr>
        <w:t xml:space="preserve">is </w:t>
      </w:r>
      <w:r w:rsidR="008B4BA3" w:rsidRPr="0083183B">
        <w:rPr>
          <w:rFonts w:eastAsia="SimSun"/>
          <w:bCs/>
        </w:rPr>
        <w:t xml:space="preserve">van een wijziging of aanvulling van relevante wet- of regelgeving, </w:t>
      </w:r>
      <w:r w:rsidR="002742D9">
        <w:rPr>
          <w:rFonts w:eastAsia="SimSun"/>
          <w:bCs/>
        </w:rPr>
        <w:t xml:space="preserve">met </w:t>
      </w:r>
      <w:r w:rsidR="004263EF">
        <w:rPr>
          <w:rFonts w:eastAsia="SimSun"/>
          <w:bCs/>
        </w:rPr>
        <w:t>inbegrip van</w:t>
      </w:r>
      <w:r w:rsidR="008B4BA3" w:rsidRPr="0083183B">
        <w:rPr>
          <w:rFonts w:eastAsia="SimSun"/>
          <w:bCs/>
        </w:rPr>
        <w:t xml:space="preserve"> enige relevante uitvoeringshandeling van de Europese Commissie en relevante guidance van toezichthoudende autoriteiten.</w:t>
      </w:r>
    </w:p>
    <w:p w14:paraId="58BD6966" w14:textId="77777777" w:rsidR="008B4BA3" w:rsidRDefault="008B4BA3" w:rsidP="008B4BA3">
      <w:pPr>
        <w:pStyle w:val="Lijstalinea"/>
        <w:suppressAutoHyphens/>
        <w:autoSpaceDN w:val="0"/>
        <w:spacing w:before="240" w:line="240" w:lineRule="auto"/>
        <w:jc w:val="both"/>
        <w:outlineLvl w:val="1"/>
        <w:rPr>
          <w:rFonts w:eastAsia="SimSun"/>
          <w:bCs/>
        </w:rPr>
      </w:pPr>
    </w:p>
    <w:p w14:paraId="7581480A" w14:textId="31B3B64E" w:rsidR="008B4BA3" w:rsidRDefault="008B4BA3" w:rsidP="00E73F44">
      <w:pPr>
        <w:pStyle w:val="Lijstalinea"/>
        <w:numPr>
          <w:ilvl w:val="0"/>
          <w:numId w:val="31"/>
        </w:numPr>
        <w:suppressAutoHyphens/>
        <w:autoSpaceDN w:val="0"/>
        <w:spacing w:before="240" w:line="240" w:lineRule="auto"/>
        <w:jc w:val="both"/>
        <w:outlineLvl w:val="1"/>
        <w:rPr>
          <w:rFonts w:eastAsia="SimSun"/>
          <w:bCs/>
        </w:rPr>
      </w:pPr>
      <w:r w:rsidRPr="00ED5118">
        <w:rPr>
          <w:rFonts w:eastAsia="SimSun"/>
          <w:bCs/>
        </w:rPr>
        <w:t xml:space="preserve">Op verzoek van één </w:t>
      </w:r>
      <w:r w:rsidR="005254C7">
        <w:rPr>
          <w:rFonts w:eastAsia="SimSun"/>
          <w:bCs/>
        </w:rPr>
        <w:t>van de</w:t>
      </w:r>
      <w:r w:rsidRPr="00ED5118">
        <w:rPr>
          <w:rFonts w:eastAsia="SimSun"/>
          <w:bCs/>
        </w:rPr>
        <w:t xml:space="preserve"> Partijen </w:t>
      </w:r>
      <w:r w:rsidR="005254C7">
        <w:rPr>
          <w:rFonts w:eastAsia="SimSun"/>
          <w:bCs/>
        </w:rPr>
        <w:t>vindt</w:t>
      </w:r>
      <w:r w:rsidRPr="00ED5118">
        <w:rPr>
          <w:rFonts w:eastAsia="SimSun"/>
          <w:bCs/>
        </w:rPr>
        <w:t xml:space="preserve"> met bekwame spoed een coördinatie-overleg plaats, waarbij vertegenwoordigers van Enexis, </w:t>
      </w:r>
      <w:r w:rsidR="0055311D">
        <w:rPr>
          <w:rFonts w:eastAsia="SimSun"/>
          <w:bCs/>
        </w:rPr>
        <w:t>Wederpartij</w:t>
      </w:r>
      <w:r w:rsidRPr="00ED5118">
        <w:rPr>
          <w:rFonts w:eastAsia="SimSun"/>
          <w:bCs/>
        </w:rPr>
        <w:t xml:space="preserve"> en voor de bespreking relevante Derde</w:t>
      </w:r>
      <w:r>
        <w:rPr>
          <w:rFonts w:eastAsia="SimSun"/>
          <w:bCs/>
        </w:rPr>
        <w:t>(n)</w:t>
      </w:r>
      <w:r w:rsidRPr="00ED5118">
        <w:rPr>
          <w:rFonts w:eastAsia="SimSun"/>
          <w:bCs/>
        </w:rPr>
        <w:t xml:space="preserve"> aanwezig</w:t>
      </w:r>
      <w:r w:rsidR="002741A7">
        <w:rPr>
          <w:rFonts w:eastAsia="SimSun"/>
          <w:bCs/>
        </w:rPr>
        <w:t xml:space="preserve"> </w:t>
      </w:r>
      <w:r w:rsidRPr="00ED5118">
        <w:rPr>
          <w:rFonts w:eastAsia="SimSun"/>
          <w:bCs/>
        </w:rPr>
        <w:t xml:space="preserve">zijn. Tijdens dit overleg </w:t>
      </w:r>
      <w:r w:rsidR="005254C7">
        <w:rPr>
          <w:rFonts w:eastAsia="SimSun"/>
          <w:bCs/>
        </w:rPr>
        <w:t>wordt</w:t>
      </w:r>
      <w:r w:rsidRPr="00ED5118">
        <w:rPr>
          <w:rFonts w:eastAsia="SimSun"/>
          <w:bCs/>
        </w:rPr>
        <w:t xml:space="preserve"> de voortgang, eventuele Incidenten en verbetermaatregelen besproken.</w:t>
      </w:r>
    </w:p>
    <w:p w14:paraId="7BB5AD9A" w14:textId="77777777" w:rsidR="008B4BA3" w:rsidRPr="00ED5118" w:rsidRDefault="008B4BA3" w:rsidP="008B4BA3">
      <w:pPr>
        <w:pStyle w:val="Lijstalinea"/>
        <w:rPr>
          <w:rFonts w:eastAsia="SimSun" w:cs="Times New Roman"/>
        </w:rPr>
      </w:pPr>
    </w:p>
    <w:p w14:paraId="03D1E476" w14:textId="4E761F77" w:rsidR="008B4BA3" w:rsidRPr="00ED5118"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cs="Times New Roman"/>
        </w:rPr>
        <w:t>Wederpartij</w:t>
      </w:r>
      <w:r w:rsidR="008B4BA3" w:rsidRPr="00ED5118">
        <w:rPr>
          <w:rFonts w:eastAsia="SimSun" w:cs="Times New Roman"/>
        </w:rPr>
        <w:t xml:space="preserve"> heeft specifieke maatregelen geïmplementeerd om de risico's van ransomware te beheersen en aanvallen tegen te gaan, waaronder regelmatige back-ups van kritieke gegevens die op veilige, geïsoleerde locaties worden opgeslagen en installatie van anti-malware en andere beveiligingssoftware. In geval van een ransomware-aanval </w:t>
      </w:r>
      <w:r w:rsidR="005254C7">
        <w:rPr>
          <w:rFonts w:eastAsia="SimSun" w:cs="Times New Roman"/>
        </w:rPr>
        <w:t>activeert</w:t>
      </w:r>
      <w:r w:rsidR="008B4BA3" w:rsidRPr="00ED5118">
        <w:rPr>
          <w:rFonts w:eastAsia="SimSun" w:cs="Times New Roman"/>
        </w:rPr>
        <w:t xml:space="preserve"> </w:t>
      </w:r>
      <w:r>
        <w:rPr>
          <w:rFonts w:eastAsia="SimSun" w:cs="Times New Roman"/>
        </w:rPr>
        <w:t>Wederpartij</w:t>
      </w:r>
      <w:r w:rsidR="008B4BA3" w:rsidRPr="00ED5118">
        <w:rPr>
          <w:rFonts w:eastAsia="SimSun" w:cs="Times New Roman"/>
        </w:rPr>
        <w:t xml:space="preserve"> de continuïteitsplannen en </w:t>
      </w:r>
      <w:r w:rsidR="005254C7">
        <w:rPr>
          <w:rFonts w:eastAsia="SimSun" w:cs="Times New Roman"/>
        </w:rPr>
        <w:t xml:space="preserve">stelt </w:t>
      </w:r>
      <w:r w:rsidR="008B4BA3" w:rsidRPr="00ED5118">
        <w:rPr>
          <w:rFonts w:eastAsia="SimSun" w:cs="Times New Roman"/>
        </w:rPr>
        <w:t xml:space="preserve">een incident respons team samen om de aanval te beoordelen en te beheersen. </w:t>
      </w:r>
    </w:p>
    <w:p w14:paraId="26362B8E" w14:textId="77777777" w:rsidR="008B4BA3" w:rsidRPr="0083183B" w:rsidRDefault="008B4BA3" w:rsidP="008B4BA3">
      <w:r w:rsidRPr="0083183B">
        <w:br w:type="page"/>
      </w:r>
    </w:p>
    <w:p w14:paraId="0731B244" w14:textId="3B59C5C7" w:rsidR="008B4BA3" w:rsidRPr="00A64131" w:rsidRDefault="008B4BA3" w:rsidP="008B4BA3">
      <w:pPr>
        <w:keepNext/>
        <w:suppressAutoHyphens/>
        <w:autoSpaceDN w:val="0"/>
        <w:spacing w:before="240" w:line="240" w:lineRule="auto"/>
        <w:jc w:val="both"/>
        <w:outlineLvl w:val="0"/>
        <w:rPr>
          <w:rFonts w:ascii="Trebuchet MS" w:hAnsi="Trebuchet MS"/>
          <w:b/>
          <w:bCs/>
          <w:color w:val="04286C"/>
          <w:sz w:val="28"/>
          <w:szCs w:val="28"/>
        </w:rPr>
      </w:pPr>
      <w:bookmarkStart w:id="39" w:name="_Toc197953394"/>
      <w:bookmarkStart w:id="40" w:name="_Toc199338663"/>
      <w:r w:rsidRPr="00A64131">
        <w:rPr>
          <w:rFonts w:ascii="Trebuchet MS" w:hAnsi="Trebuchet MS"/>
          <w:b/>
          <w:bCs/>
          <w:color w:val="04286C"/>
          <w:sz w:val="28"/>
          <w:szCs w:val="28"/>
        </w:rPr>
        <w:lastRenderedPageBreak/>
        <w:t>B</w:t>
      </w:r>
      <w:r w:rsidR="00A64131">
        <w:rPr>
          <w:rFonts w:ascii="Trebuchet MS" w:hAnsi="Trebuchet MS"/>
          <w:b/>
          <w:bCs/>
          <w:color w:val="04286C"/>
          <w:sz w:val="28"/>
          <w:szCs w:val="28"/>
        </w:rPr>
        <w:t>IJLAGE 11 - SOFTWAREONTWIKKELING</w:t>
      </w:r>
      <w:bookmarkEnd w:id="39"/>
      <w:bookmarkEnd w:id="40"/>
    </w:p>
    <w:p w14:paraId="18909FB7" w14:textId="77777777" w:rsidR="008B4BA3" w:rsidRPr="0083183B" w:rsidRDefault="008B4BA3" w:rsidP="008B4BA3">
      <w:pPr>
        <w:numPr>
          <w:ilvl w:val="1"/>
          <w:numId w:val="0"/>
        </w:numPr>
        <w:suppressAutoHyphens/>
        <w:autoSpaceDN w:val="0"/>
        <w:spacing w:before="240" w:line="260" w:lineRule="atLeast"/>
        <w:ind w:left="12" w:hanging="12"/>
        <w:jc w:val="both"/>
        <w:outlineLvl w:val="1"/>
        <w:rPr>
          <w:rFonts w:eastAsia="SimSun" w:cs="Times New Roman"/>
        </w:rPr>
      </w:pPr>
      <w:r w:rsidRPr="0083183B">
        <w:rPr>
          <w:rFonts w:eastAsia="SimSun" w:cs="Times New Roman"/>
        </w:rPr>
        <w:t>Voor zover de uitvoering van de Hoofdovereenkomst door Wederpartij ziet op de ontwikkeling van Software, z</w:t>
      </w:r>
      <w:r>
        <w:rPr>
          <w:rFonts w:eastAsia="SimSun" w:cs="Times New Roman"/>
        </w:rPr>
        <w:t xml:space="preserve">ijn Partijen het volgende overeengekomen: </w:t>
      </w:r>
    </w:p>
    <w:p w14:paraId="7F4BEE1E" w14:textId="73E76D2C"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E12088">
        <w:rPr>
          <w:rFonts w:eastAsia="SimSun" w:cs="Times New Roman"/>
        </w:rPr>
        <w:t xml:space="preserve"> </w:t>
      </w:r>
      <w:r w:rsidR="005254C7">
        <w:rPr>
          <w:rFonts w:eastAsia="SimSun" w:cs="Times New Roman"/>
        </w:rPr>
        <w:t>implementeert</w:t>
      </w:r>
      <w:r w:rsidR="008B4BA3" w:rsidRPr="00E12088">
        <w:rPr>
          <w:rFonts w:eastAsia="SimSun" w:cs="Times New Roman"/>
        </w:rPr>
        <w:t xml:space="preserve"> beleid en procedures voor de beveiliging van software gedurende de hele ontwikkelcyclus (Software Development Life Cycle). </w:t>
      </w:r>
    </w:p>
    <w:p w14:paraId="1EFAEF69" w14:textId="77777777" w:rsidR="008B4BA3" w:rsidRPr="00E12088" w:rsidRDefault="008B4BA3" w:rsidP="008B4BA3">
      <w:pPr>
        <w:pStyle w:val="Lijstalinea"/>
        <w:suppressAutoHyphens/>
        <w:autoSpaceDN w:val="0"/>
        <w:spacing w:before="240" w:line="240" w:lineRule="auto"/>
        <w:jc w:val="both"/>
        <w:outlineLvl w:val="1"/>
        <w:rPr>
          <w:rFonts w:eastAsia="SimSun" w:cs="Times New Roman"/>
        </w:rPr>
      </w:pPr>
    </w:p>
    <w:p w14:paraId="1BBF4206" w14:textId="09AD87A7"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940AE8">
        <w:rPr>
          <w:rFonts w:eastAsia="SimSun" w:cs="Times New Roman"/>
        </w:rPr>
        <w:t xml:space="preserve"> richt een beveiligde ontwikkelomgeving in waarin de ontwikkel</w:t>
      </w:r>
      <w:r w:rsidR="008B4BA3">
        <w:rPr>
          <w:rFonts w:eastAsia="SimSun" w:cs="Times New Roman"/>
        </w:rPr>
        <w:t>-</w:t>
      </w:r>
      <w:r w:rsidR="008B4BA3" w:rsidRPr="00940AE8">
        <w:rPr>
          <w:rFonts w:eastAsia="SimSun" w:cs="Times New Roman"/>
        </w:rPr>
        <w:t>, test-, acceptatie- en productieomgevingen van elkaar gescheiden zijn en de toegang tot broncode en testdata wordt beperkt tot de bij de ontwikkeling betrokken medewerkers en/of contractanten en actief wordt beheerd. Testdata bevat geen Persoonsgegevens en/of Vertrouwelijke Informatie maar geanonimiseerde of gefingeerde gegevens.</w:t>
      </w:r>
    </w:p>
    <w:p w14:paraId="1354A079" w14:textId="77777777" w:rsidR="008B4BA3" w:rsidRPr="00E12088" w:rsidRDefault="008B4BA3" w:rsidP="008B4BA3">
      <w:pPr>
        <w:pStyle w:val="Lijstalinea"/>
        <w:rPr>
          <w:rFonts w:eastAsia="SimSun" w:cs="Times New Roman"/>
        </w:rPr>
      </w:pPr>
    </w:p>
    <w:p w14:paraId="309CEF97" w14:textId="00C2C8D1"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E12088">
        <w:rPr>
          <w:rFonts w:eastAsia="SimSun" w:cs="Times New Roman"/>
        </w:rPr>
        <w:t xml:space="preserve"> voorziet de ontwikkelde software uitsluitend van vormen van toegang die door Enexis zijn voorgeschreven of anderszins zijn overeengekomen en brengt geen heimelijke voorzieningen aan ten behoeve van toegang tot de Informatie en/of systemen van Enexis.</w:t>
      </w:r>
    </w:p>
    <w:p w14:paraId="0FA03F16" w14:textId="77777777" w:rsidR="008B4BA3" w:rsidRPr="00E12088" w:rsidRDefault="008B4BA3" w:rsidP="008B4BA3">
      <w:pPr>
        <w:pStyle w:val="Lijstalinea"/>
        <w:rPr>
          <w:rFonts w:eastAsia="SimSun" w:cs="Times New Roman"/>
        </w:rPr>
      </w:pPr>
    </w:p>
    <w:p w14:paraId="11A0F08F" w14:textId="77777777" w:rsidR="008B4BA3" w:rsidRPr="00E12088" w:rsidRDefault="008B4BA3" w:rsidP="00E73F44">
      <w:pPr>
        <w:pStyle w:val="Lijstalinea"/>
        <w:numPr>
          <w:ilvl w:val="0"/>
          <w:numId w:val="33"/>
        </w:numPr>
        <w:suppressAutoHyphens/>
        <w:autoSpaceDN w:val="0"/>
        <w:spacing w:before="240" w:line="240" w:lineRule="auto"/>
        <w:jc w:val="both"/>
        <w:outlineLvl w:val="1"/>
        <w:rPr>
          <w:rFonts w:eastAsia="SimSun" w:cs="Times New Roman"/>
        </w:rPr>
      </w:pPr>
      <w:r w:rsidRPr="00E12088">
        <w:rPr>
          <w:rFonts w:eastAsia="SimSun" w:cs="Times New Roman"/>
        </w:rPr>
        <w:t>Software voor webapplicaties die voor de verwerking van informatie van Enexis en/of derden wordt aangewend, is ontworpen, ontwikkeld, getest en geconfigureerd op basis van gangbare normen voor veilige webapplicaties, waaronder OWASP Top Ten en de Infosheet ICT Beveiligingsrichtlijn voor Webapplicaties van het Nationaal Cyber Security Centrum, of vergelijkbare openbaar beschikbare standaarden.</w:t>
      </w:r>
      <w:r w:rsidRPr="00940AE8">
        <w:rPr>
          <w:rFonts w:eastAsia="SimSun" w:cs="Times New Roman"/>
        </w:rPr>
        <w:t xml:space="preserve"> </w:t>
      </w:r>
    </w:p>
    <w:p w14:paraId="66394EF3" w14:textId="77777777" w:rsidR="008B4BA3" w:rsidRPr="00E12088" w:rsidRDefault="008B4BA3" w:rsidP="008B4BA3">
      <w:pPr>
        <w:pStyle w:val="Lijstalinea"/>
        <w:rPr>
          <w:rFonts w:eastAsia="SimSun" w:cs="Times New Roman"/>
        </w:rPr>
      </w:pPr>
    </w:p>
    <w:p w14:paraId="3F96B88A" w14:textId="40EBB4AD"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5254C7">
        <w:rPr>
          <w:rFonts w:eastAsia="SimSun" w:cs="Times New Roman"/>
        </w:rPr>
        <w:t xml:space="preserve"> controleert regelmatig</w:t>
      </w:r>
      <w:r w:rsidR="008B4BA3" w:rsidRPr="00E12088">
        <w:rPr>
          <w:rFonts w:eastAsia="SimSun" w:cs="Times New Roman"/>
        </w:rPr>
        <w:t xml:space="preserve"> de broncode van de ontwikkelde software handmatig en</w:t>
      </w:r>
      <w:r w:rsidR="00A50E9D">
        <w:rPr>
          <w:rFonts w:eastAsia="SimSun" w:cs="Times New Roman"/>
        </w:rPr>
        <w:t>/of</w:t>
      </w:r>
      <w:r w:rsidR="008B4BA3" w:rsidRPr="00E12088">
        <w:rPr>
          <w:rFonts w:eastAsia="SimSun" w:cs="Times New Roman"/>
        </w:rPr>
        <w:t xml:space="preserve"> met behulp van geautomatiseerde tools (code review) op zwakke plekken, fouten en eventuele risico’s. </w:t>
      </w:r>
    </w:p>
    <w:p w14:paraId="14324E11" w14:textId="77777777" w:rsidR="008B4BA3" w:rsidRPr="00940AE8" w:rsidRDefault="008B4BA3" w:rsidP="008B4BA3">
      <w:pPr>
        <w:pStyle w:val="Lijstalinea"/>
        <w:rPr>
          <w:rFonts w:eastAsia="SimSun" w:cs="Times New Roman"/>
        </w:rPr>
      </w:pPr>
    </w:p>
    <w:p w14:paraId="0588C6CC" w14:textId="77777777" w:rsidR="008B4BA3" w:rsidRPr="0083183B" w:rsidRDefault="008B4BA3" w:rsidP="008B4BA3">
      <w:r w:rsidRPr="0083183B">
        <w:br w:type="page"/>
      </w:r>
    </w:p>
    <w:p w14:paraId="6B3F33E2" w14:textId="1ACE88DB" w:rsidR="008B4BA3" w:rsidRPr="00A64131" w:rsidDel="00FB2E9F" w:rsidRDefault="008B4BA3" w:rsidP="008B4BA3">
      <w:pPr>
        <w:keepNext/>
        <w:suppressAutoHyphens/>
        <w:autoSpaceDN w:val="0"/>
        <w:spacing w:before="240" w:line="240" w:lineRule="auto"/>
        <w:ind w:left="720" w:hanging="720"/>
        <w:jc w:val="both"/>
        <w:outlineLvl w:val="0"/>
        <w:rPr>
          <w:rFonts w:ascii="Trebuchet MS" w:hAnsi="Trebuchet MS"/>
          <w:b/>
          <w:bCs/>
          <w:color w:val="04286C"/>
          <w:sz w:val="28"/>
          <w:szCs w:val="28"/>
        </w:rPr>
      </w:pPr>
      <w:bookmarkStart w:id="41" w:name="_Hlk193376579"/>
      <w:bookmarkStart w:id="42" w:name="_Toc197953395"/>
      <w:bookmarkStart w:id="43" w:name="_Toc199338664"/>
      <w:r w:rsidRPr="00A64131">
        <w:rPr>
          <w:rFonts w:ascii="Trebuchet MS" w:hAnsi="Trebuchet MS"/>
          <w:b/>
          <w:bCs/>
          <w:color w:val="04286C"/>
          <w:sz w:val="28"/>
          <w:szCs w:val="28"/>
        </w:rPr>
        <w:lastRenderedPageBreak/>
        <w:t>B</w:t>
      </w:r>
      <w:r w:rsidR="00E12088">
        <w:rPr>
          <w:rFonts w:ascii="Trebuchet MS" w:hAnsi="Trebuchet MS"/>
          <w:b/>
          <w:bCs/>
          <w:color w:val="04286C"/>
          <w:sz w:val="28"/>
          <w:szCs w:val="28"/>
        </w:rPr>
        <w:t>IJLAGE</w:t>
      </w:r>
      <w:r w:rsidRPr="00A64131">
        <w:rPr>
          <w:rFonts w:ascii="Trebuchet MS" w:hAnsi="Trebuchet MS"/>
          <w:b/>
          <w:bCs/>
          <w:color w:val="04286C"/>
          <w:sz w:val="28"/>
          <w:szCs w:val="28"/>
        </w:rPr>
        <w:t xml:space="preserve"> 12 </w:t>
      </w:r>
      <w:r w:rsidR="00E12088">
        <w:rPr>
          <w:rFonts w:ascii="Trebuchet MS" w:hAnsi="Trebuchet MS"/>
          <w:b/>
          <w:bCs/>
          <w:color w:val="04286C"/>
          <w:sz w:val="28"/>
          <w:szCs w:val="28"/>
        </w:rPr>
        <w:t>–</w:t>
      </w:r>
      <w:r w:rsidRPr="00A64131">
        <w:rPr>
          <w:rFonts w:ascii="Trebuchet MS" w:hAnsi="Trebuchet MS"/>
          <w:b/>
          <w:bCs/>
          <w:color w:val="04286C"/>
          <w:sz w:val="28"/>
          <w:szCs w:val="28"/>
        </w:rPr>
        <w:t xml:space="preserve"> </w:t>
      </w:r>
      <w:r w:rsidRPr="00A64131" w:rsidDel="00FB2E9F">
        <w:rPr>
          <w:rFonts w:ascii="Trebuchet MS" w:hAnsi="Trebuchet MS"/>
          <w:b/>
          <w:bCs/>
          <w:color w:val="04286C"/>
          <w:sz w:val="28"/>
          <w:szCs w:val="28"/>
        </w:rPr>
        <w:t>L</w:t>
      </w:r>
      <w:bookmarkEnd w:id="41"/>
      <w:r w:rsidR="00E12088">
        <w:rPr>
          <w:rFonts w:ascii="Trebuchet MS" w:hAnsi="Trebuchet MS"/>
          <w:b/>
          <w:bCs/>
          <w:color w:val="04286C"/>
          <w:sz w:val="28"/>
          <w:szCs w:val="28"/>
        </w:rPr>
        <w:t xml:space="preserve">OGGING </w:t>
      </w:r>
      <w:r w:rsidR="000C4BBD">
        <w:rPr>
          <w:rFonts w:ascii="Trebuchet MS" w:hAnsi="Trebuchet MS"/>
          <w:b/>
          <w:bCs/>
          <w:color w:val="04286C"/>
          <w:sz w:val="28"/>
          <w:szCs w:val="28"/>
        </w:rPr>
        <w:t>&amp;</w:t>
      </w:r>
      <w:r w:rsidR="00E12088">
        <w:rPr>
          <w:rFonts w:ascii="Trebuchet MS" w:hAnsi="Trebuchet MS"/>
          <w:b/>
          <w:bCs/>
          <w:color w:val="04286C"/>
          <w:sz w:val="28"/>
          <w:szCs w:val="28"/>
        </w:rPr>
        <w:t xml:space="preserve"> BEVEILIGINGSCO</w:t>
      </w:r>
      <w:bookmarkEnd w:id="42"/>
      <w:r w:rsidR="006C3DC9">
        <w:rPr>
          <w:rFonts w:ascii="Trebuchet MS" w:hAnsi="Trebuchet MS"/>
          <w:b/>
          <w:bCs/>
          <w:color w:val="04286C"/>
          <w:sz w:val="28"/>
          <w:szCs w:val="28"/>
        </w:rPr>
        <w:t>NTROLES</w:t>
      </w:r>
      <w:bookmarkEnd w:id="43"/>
    </w:p>
    <w:p w14:paraId="578D735C" w14:textId="6908B910" w:rsidR="008B4BA3" w:rsidRDefault="0055311D" w:rsidP="00E73F44">
      <w:pPr>
        <w:pStyle w:val="Lijstalinea"/>
        <w:numPr>
          <w:ilvl w:val="0"/>
          <w:numId w:val="34"/>
        </w:numPr>
        <w:suppressAutoHyphens/>
        <w:autoSpaceDN w:val="0"/>
        <w:spacing w:before="240" w:line="260" w:lineRule="atLeast"/>
        <w:jc w:val="both"/>
        <w:outlineLvl w:val="1"/>
      </w:pPr>
      <w:r>
        <w:t>Wederpartij</w:t>
      </w:r>
      <w:r w:rsidR="008B4BA3" w:rsidRPr="000B4372" w:rsidDel="00FB2E9F">
        <w:t xml:space="preserve"> </w:t>
      </w:r>
      <w:r w:rsidR="005254C7">
        <w:t>legt</w:t>
      </w:r>
      <w:r w:rsidR="008B4BA3" w:rsidRPr="000B4372" w:rsidDel="00FB2E9F">
        <w:t xml:space="preserve"> (security) activiteiten en gebeurtenissen vast die invloed kunnen hebben op de integriteit, beschikbaarheid en vertrouwelijkheid </w:t>
      </w:r>
      <w:r w:rsidR="008B4BA3" w:rsidRPr="000B4372" w:rsidDel="00FB2E9F">
        <w:rPr>
          <w:rFonts w:eastAsia="SimSun"/>
        </w:rPr>
        <w:t xml:space="preserve">van alle vormen van Informatie, processen, </w:t>
      </w:r>
      <w:r w:rsidR="008B4BA3">
        <w:rPr>
          <w:rFonts w:eastAsia="SimSun"/>
        </w:rPr>
        <w:t>goederen</w:t>
      </w:r>
      <w:r w:rsidR="008B4BA3" w:rsidRPr="000B4372" w:rsidDel="00FB2E9F">
        <w:rPr>
          <w:rFonts w:eastAsia="SimSun"/>
        </w:rPr>
        <w:t xml:space="preserve"> en/of diensten van Enexis en van </w:t>
      </w:r>
      <w:r>
        <w:rPr>
          <w:rFonts w:eastAsia="SimSun"/>
        </w:rPr>
        <w:t>Wederpartij</w:t>
      </w:r>
      <w:r w:rsidR="008B4BA3" w:rsidRPr="000B4372" w:rsidDel="00FB2E9F">
        <w:rPr>
          <w:rFonts w:eastAsia="SimSun"/>
        </w:rPr>
        <w:t xml:space="preserve"> voor zover relevant. </w:t>
      </w:r>
      <w:r w:rsidR="008B4BA3" w:rsidRPr="000B4372" w:rsidDel="00FB2E9F">
        <w:t>Minimaal de volgende activiteiten en gebeurtenissen worden vastgelegd in security logs:</w:t>
      </w:r>
    </w:p>
    <w:p w14:paraId="688F6E28" w14:textId="77777777" w:rsidR="008B4BA3" w:rsidRPr="000B4372" w:rsidDel="00FB2E9F" w:rsidRDefault="008B4BA3" w:rsidP="008B4BA3">
      <w:pPr>
        <w:pStyle w:val="Lijstalinea"/>
        <w:suppressAutoHyphens/>
        <w:autoSpaceDN w:val="0"/>
        <w:spacing w:before="240" w:line="260" w:lineRule="atLeast"/>
        <w:jc w:val="both"/>
        <w:outlineLvl w:val="1"/>
      </w:pPr>
    </w:p>
    <w:p w14:paraId="6181D749" w14:textId="77777777" w:rsidR="008B4BA3"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SimSun"/>
        </w:rPr>
        <w:t xml:space="preserve">pogingen tot systeemtoegang (geslaagde en mislukte inlogpogingen); </w:t>
      </w:r>
    </w:p>
    <w:p w14:paraId="4D2CF4CB" w14:textId="77777777" w:rsidR="008B4BA3" w:rsidRPr="00F21216"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 xml:space="preserve">wijzigingen in systeemconfiguraties en instellingen; </w:t>
      </w:r>
    </w:p>
    <w:p w14:paraId="50B7F174" w14:textId="77777777" w:rsidR="008B4BA3" w:rsidRPr="00F21216"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 xml:space="preserve">acties die zijn ondernomen door gebruikers met verhoogde rechten; </w:t>
      </w:r>
    </w:p>
    <w:p w14:paraId="3BB6C396" w14:textId="77777777" w:rsidR="008B4BA3" w:rsidRPr="00DE4F09"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incidenten die de beveiliging van systemen en informatie aantasten; en</w:t>
      </w:r>
    </w:p>
    <w:p w14:paraId="6D7A202A" w14:textId="20195E3D" w:rsidR="008B4BA3" w:rsidRPr="00323082" w:rsidRDefault="008B4BA3" w:rsidP="00E73F44">
      <w:pPr>
        <w:pStyle w:val="Lijstalinea"/>
        <w:numPr>
          <w:ilvl w:val="0"/>
          <w:numId w:val="35"/>
        </w:numPr>
        <w:suppressAutoHyphens/>
        <w:autoSpaceDN w:val="0"/>
        <w:spacing w:before="240" w:line="240" w:lineRule="auto"/>
        <w:jc w:val="both"/>
        <w:outlineLvl w:val="1"/>
        <w:rPr>
          <w:rFonts w:eastAsia="SimSun"/>
        </w:rPr>
      </w:pPr>
      <w:r w:rsidRPr="00DE4F09" w:rsidDel="00FB2E9F">
        <w:rPr>
          <w:rFonts w:eastAsia="Aptos"/>
        </w:rPr>
        <w:t xml:space="preserve">de wijze waarop herhaling </w:t>
      </w:r>
      <w:r w:rsidR="005254C7">
        <w:rPr>
          <w:rFonts w:eastAsia="Aptos"/>
        </w:rPr>
        <w:t xml:space="preserve">wordt </w:t>
      </w:r>
      <w:r w:rsidRPr="00DE4F09" w:rsidDel="00FB2E9F">
        <w:rPr>
          <w:rFonts w:eastAsia="Aptos"/>
        </w:rPr>
        <w:t>voorkomen</w:t>
      </w:r>
      <w:r w:rsidRPr="00DE4F09" w:rsidDel="00FB2E9F">
        <w:t xml:space="preserve">. </w:t>
      </w:r>
    </w:p>
    <w:p w14:paraId="0130E0D3" w14:textId="77777777" w:rsidR="008B4BA3" w:rsidRPr="00DE4F09" w:rsidDel="00FB2E9F" w:rsidRDefault="008B4BA3" w:rsidP="008B4BA3">
      <w:pPr>
        <w:pStyle w:val="Lijstalinea"/>
        <w:suppressAutoHyphens/>
        <w:autoSpaceDN w:val="0"/>
        <w:spacing w:before="240" w:line="240" w:lineRule="auto"/>
        <w:ind w:left="1440"/>
        <w:jc w:val="both"/>
        <w:outlineLvl w:val="1"/>
        <w:rPr>
          <w:rFonts w:eastAsia="SimSun"/>
        </w:rPr>
      </w:pPr>
    </w:p>
    <w:p w14:paraId="4B2DB1FA" w14:textId="25BF5694" w:rsidR="008B4BA3" w:rsidRDefault="0055311D" w:rsidP="00E73F44">
      <w:pPr>
        <w:pStyle w:val="Lijstalinea"/>
        <w:numPr>
          <w:ilvl w:val="0"/>
          <w:numId w:val="34"/>
        </w:numPr>
        <w:suppressAutoHyphens/>
        <w:autoSpaceDN w:val="0"/>
        <w:spacing w:before="240" w:line="260" w:lineRule="atLeast"/>
        <w:jc w:val="both"/>
        <w:outlineLvl w:val="1"/>
      </w:pPr>
      <w:r>
        <w:t>Wederpartij</w:t>
      </w:r>
      <w:r w:rsidR="008B4BA3" w:rsidRPr="0083183B" w:rsidDel="00FB2E9F">
        <w:t xml:space="preserve"> verplicht zich om de security logs te beveiligen tegen ongeautoriseerde toegang, wijzigingen, verlies of vernietiging en regelmatig onderhoud te plegen aan de logging-infrastructuur voor optimale prestaties en betrouwbaarheid.</w:t>
      </w:r>
    </w:p>
    <w:p w14:paraId="3311ADEC" w14:textId="77777777" w:rsidR="008B4BA3" w:rsidRDefault="008B4BA3" w:rsidP="008B4BA3">
      <w:pPr>
        <w:pStyle w:val="Lijstalinea"/>
        <w:suppressAutoHyphens/>
        <w:autoSpaceDN w:val="0"/>
        <w:spacing w:before="240" w:line="260" w:lineRule="atLeast"/>
        <w:jc w:val="both"/>
        <w:outlineLvl w:val="1"/>
      </w:pPr>
    </w:p>
    <w:p w14:paraId="4849FD77" w14:textId="5ABA99A8" w:rsidR="008B4BA3" w:rsidRPr="00DE4C54" w:rsidRDefault="008B4BA3" w:rsidP="00E73F44">
      <w:pPr>
        <w:pStyle w:val="Lijstalinea"/>
        <w:numPr>
          <w:ilvl w:val="0"/>
          <w:numId w:val="34"/>
        </w:numPr>
        <w:suppressAutoHyphens/>
        <w:autoSpaceDN w:val="0"/>
        <w:spacing w:before="240" w:line="260" w:lineRule="atLeast"/>
        <w:jc w:val="both"/>
        <w:outlineLvl w:val="1"/>
      </w:pPr>
      <w:r w:rsidRPr="00323082" w:rsidDel="00FB2E9F">
        <w:rPr>
          <w:rFonts w:eastAsia="Aptos"/>
        </w:rPr>
        <w:t xml:space="preserve">Security logs </w:t>
      </w:r>
      <w:r w:rsidR="008607BB">
        <w:rPr>
          <w:rFonts w:eastAsia="Aptos"/>
        </w:rPr>
        <w:t>worden</w:t>
      </w:r>
      <w:r w:rsidRPr="00323082" w:rsidDel="00FB2E9F">
        <w:rPr>
          <w:rFonts w:eastAsia="Aptos"/>
        </w:rPr>
        <w:t xml:space="preserve"> voor een minimale periode van zes (6) maanden bewaard, tenzij een verlengde bewaarperiode wettelijk vereist is of noodzakelijk voor lopende onderzoeken. Na afloop van de bewaarperiode </w:t>
      </w:r>
      <w:r w:rsidR="008607BB">
        <w:rPr>
          <w:rFonts w:eastAsia="Aptos"/>
        </w:rPr>
        <w:t xml:space="preserve">worden </w:t>
      </w:r>
      <w:r w:rsidRPr="00DE4C54" w:rsidDel="00FB2E9F">
        <w:rPr>
          <w:rFonts w:eastAsia="Aptos"/>
        </w:rPr>
        <w:t>de gegevens op een veilige en verantwoorde wijze verwijderd.</w:t>
      </w:r>
    </w:p>
    <w:p w14:paraId="598DAA0D" w14:textId="77777777" w:rsidR="008B4BA3" w:rsidRPr="00DE4C54" w:rsidRDefault="008B4BA3" w:rsidP="008B4BA3">
      <w:pPr>
        <w:pStyle w:val="Lijstalinea"/>
        <w:rPr>
          <w:rFonts w:eastAsia="SimSun"/>
        </w:rPr>
      </w:pPr>
    </w:p>
    <w:p w14:paraId="2AC19D2D" w14:textId="37727612" w:rsidR="008B4BA3" w:rsidRPr="00DE4C54" w:rsidRDefault="0055311D" w:rsidP="00E73F44">
      <w:pPr>
        <w:pStyle w:val="Lijstalinea"/>
        <w:numPr>
          <w:ilvl w:val="0"/>
          <w:numId w:val="34"/>
        </w:numPr>
        <w:suppressAutoHyphens/>
        <w:autoSpaceDN w:val="0"/>
        <w:spacing w:before="240" w:line="260" w:lineRule="atLeast"/>
        <w:jc w:val="both"/>
        <w:outlineLvl w:val="1"/>
      </w:pPr>
      <w:r>
        <w:rPr>
          <w:rFonts w:eastAsia="SimSun"/>
        </w:rPr>
        <w:t>Wederpartij</w:t>
      </w:r>
      <w:r w:rsidR="008B4BA3" w:rsidRPr="00DE4C54" w:rsidDel="00FB2E9F">
        <w:rPr>
          <w:rFonts w:eastAsia="SimSun"/>
        </w:rPr>
        <w:t xml:space="preserve"> dient periodiek de effectiviteit van de getroffen Beveiligingsmaatregelen en de mogelijkheid tot herstel van Incidenten te toetsen middels (interne en externe) audits en reviews. Externe audits worden uitgevoerd door onafhankelijke en gekwalificeerde auditeurs. Deze beveiligingscontroles </w:t>
      </w:r>
      <w:r w:rsidR="008607BB">
        <w:rPr>
          <w:rFonts w:eastAsia="SimSun"/>
        </w:rPr>
        <w:t xml:space="preserve">nemen </w:t>
      </w:r>
      <w:r w:rsidR="008B4BA3" w:rsidRPr="00DE4C54" w:rsidDel="00FB2E9F">
        <w:rPr>
          <w:rFonts w:eastAsia="SimSun"/>
        </w:rPr>
        <w:t xml:space="preserve">verschillende vormen aan, waaronder kwetsbaarheidsscans van netwerken en systemen, penetratietests, fysieke beveiligingscontroles en toegangscontrolebeheer. De frequentie en aard van deze beveiligingscontroles worden bepaald op basis van de gevoeligheid van de Informatie en de continuïteitsrisico’s, waar dit ten minste één (1) keer per jaar </w:t>
      </w:r>
      <w:r w:rsidR="005254C7">
        <w:rPr>
          <w:rFonts w:eastAsia="SimSun"/>
        </w:rPr>
        <w:t xml:space="preserve">plaatsvindt. </w:t>
      </w:r>
    </w:p>
    <w:p w14:paraId="60B782C4" w14:textId="77777777" w:rsidR="008B4BA3" w:rsidRPr="00DE4C54" w:rsidRDefault="008B4BA3" w:rsidP="008B4BA3">
      <w:pPr>
        <w:pStyle w:val="Lijstalinea"/>
        <w:rPr>
          <w:rFonts w:eastAsia="SimSun"/>
        </w:rPr>
      </w:pPr>
    </w:p>
    <w:p w14:paraId="7B20749D" w14:textId="32CA85A7" w:rsidR="008B4BA3" w:rsidRPr="00DE4C54" w:rsidRDefault="008B4BA3" w:rsidP="00E73F44">
      <w:pPr>
        <w:pStyle w:val="Lijstalinea"/>
        <w:numPr>
          <w:ilvl w:val="0"/>
          <w:numId w:val="34"/>
        </w:numPr>
        <w:suppressAutoHyphens/>
        <w:autoSpaceDN w:val="0"/>
        <w:spacing w:before="240" w:line="260" w:lineRule="atLeast"/>
        <w:jc w:val="both"/>
        <w:outlineLvl w:val="1"/>
      </w:pPr>
      <w:r w:rsidRPr="00DE4C54" w:rsidDel="00FB2E9F">
        <w:rPr>
          <w:rFonts w:eastAsia="SimSun"/>
        </w:rPr>
        <w:t xml:space="preserve">Indien eventuele verbeterpunten en/of tekortkomingen worden geïdentificeerd, zal </w:t>
      </w:r>
      <w:r w:rsidR="0055311D">
        <w:rPr>
          <w:rFonts w:eastAsia="SimSun"/>
        </w:rPr>
        <w:t>Wederpartij</w:t>
      </w:r>
      <w:r w:rsidRPr="00DE4C54" w:rsidDel="00FB2E9F">
        <w:rPr>
          <w:rFonts w:eastAsia="SimSun"/>
        </w:rPr>
        <w:t xml:space="preserve"> deze documenteren en de noodzakelijke correctieve- en preventieve maatregelen treffen. Indien eventuele verbeterpunten en/of tekortkoming een (in)direct risico voor Enexis introduceren,</w:t>
      </w:r>
      <w:r w:rsidR="005254C7">
        <w:rPr>
          <w:rFonts w:eastAsia="SimSun"/>
        </w:rPr>
        <w:t xml:space="preserve"> treft</w:t>
      </w:r>
      <w:r w:rsidRPr="00DE4C54" w:rsidDel="00FB2E9F">
        <w:rPr>
          <w:rFonts w:eastAsia="SimSun"/>
        </w:rPr>
        <w:t xml:space="preserve"> </w:t>
      </w:r>
      <w:r w:rsidR="0055311D">
        <w:rPr>
          <w:rFonts w:eastAsia="SimSun"/>
        </w:rPr>
        <w:t>Wederpartij</w:t>
      </w:r>
      <w:r w:rsidRPr="00DE4C54" w:rsidDel="00FB2E9F">
        <w:rPr>
          <w:rFonts w:eastAsia="SimSun"/>
        </w:rPr>
        <w:t xml:space="preserve"> uiterlijk binnen </w:t>
      </w:r>
      <w:r w:rsidRPr="00DE4C54" w:rsidDel="00FB2E9F">
        <w:rPr>
          <w:rFonts w:eastAsia="Aptos"/>
        </w:rPr>
        <w:t xml:space="preserve">één (1) </w:t>
      </w:r>
      <w:r w:rsidRPr="00DE4C54" w:rsidDel="00FB2E9F">
        <w:rPr>
          <w:rFonts w:eastAsia="SimSun"/>
        </w:rPr>
        <w:t>maand de noodzakelijke correctieve- en preventieve maatregelen.</w:t>
      </w:r>
    </w:p>
    <w:p w14:paraId="27269BF4" w14:textId="77777777" w:rsidR="008B4BA3" w:rsidRPr="00DE4C54" w:rsidRDefault="008B4BA3" w:rsidP="008B4BA3">
      <w:pPr>
        <w:pStyle w:val="Lijstalinea"/>
        <w:rPr>
          <w:rFonts w:eastAsia="SimSun"/>
        </w:rPr>
      </w:pPr>
    </w:p>
    <w:p w14:paraId="0F39AF4B" w14:textId="35ACAD0A" w:rsidR="008B4BA3" w:rsidRPr="00DE4C54" w:rsidDel="00FB2E9F" w:rsidRDefault="008B4BA3" w:rsidP="00E73F44">
      <w:pPr>
        <w:pStyle w:val="Lijstalinea"/>
        <w:numPr>
          <w:ilvl w:val="0"/>
          <w:numId w:val="34"/>
        </w:numPr>
        <w:suppressAutoHyphens/>
        <w:autoSpaceDN w:val="0"/>
        <w:spacing w:before="240" w:line="260" w:lineRule="atLeast"/>
        <w:jc w:val="both"/>
        <w:outlineLvl w:val="1"/>
      </w:pPr>
      <w:r w:rsidRPr="00DE4C54" w:rsidDel="00FB2E9F">
        <w:rPr>
          <w:rFonts w:eastAsia="SimSun"/>
        </w:rPr>
        <w:t xml:space="preserve">Lessons learned uit beveiligingscontroles en externe audits </w:t>
      </w:r>
      <w:r w:rsidR="005254C7">
        <w:rPr>
          <w:rFonts w:eastAsia="SimSun"/>
        </w:rPr>
        <w:t xml:space="preserve">gebruikt </w:t>
      </w:r>
      <w:r w:rsidR="0055311D">
        <w:rPr>
          <w:rFonts w:eastAsia="SimSun"/>
        </w:rPr>
        <w:t>Wederpartij</w:t>
      </w:r>
      <w:r w:rsidRPr="00DE4C54" w:rsidDel="00FB2E9F">
        <w:rPr>
          <w:rFonts w:eastAsia="SimSun"/>
        </w:rPr>
        <w:t xml:space="preserve"> om de Beveiligingsprocedures en -praktijken continu te verbeteren.</w:t>
      </w:r>
    </w:p>
    <w:p w14:paraId="330686F2" w14:textId="77777777" w:rsidR="008B4BA3" w:rsidRPr="0083183B" w:rsidRDefault="008B4BA3" w:rsidP="008B4BA3">
      <w:pPr>
        <w:spacing w:line="240" w:lineRule="auto"/>
        <w:jc w:val="both"/>
      </w:pPr>
    </w:p>
    <w:p w14:paraId="1C73BC52" w14:textId="77777777" w:rsidR="008B4BA3" w:rsidRPr="00DC49E9" w:rsidRDefault="008B4BA3" w:rsidP="008B4BA3">
      <w:pPr>
        <w:spacing w:line="240" w:lineRule="auto"/>
      </w:pPr>
    </w:p>
    <w:p w14:paraId="3498461A" w14:textId="77777777" w:rsidR="008B4BA3" w:rsidRDefault="008B4BA3" w:rsidP="00C744DF"/>
    <w:sectPr w:rsidR="008B4BA3" w:rsidSect="000C64F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5874" w14:textId="77777777" w:rsidR="002A3CAB" w:rsidRDefault="002A3CAB" w:rsidP="00C744DF">
      <w:r>
        <w:separator/>
      </w:r>
    </w:p>
  </w:endnote>
  <w:endnote w:type="continuationSeparator" w:id="0">
    <w:p w14:paraId="0CC03805" w14:textId="77777777" w:rsidR="002A3CAB" w:rsidRDefault="002A3CAB" w:rsidP="00C744DF">
      <w:r>
        <w:continuationSeparator/>
      </w:r>
    </w:p>
  </w:endnote>
  <w:endnote w:type="continuationNotice" w:id="1">
    <w:p w14:paraId="230305E7" w14:textId="77777777" w:rsidR="002A3CAB" w:rsidRDefault="002A3C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93B5" w14:textId="77777777" w:rsidR="0071795E" w:rsidRDefault="00717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5ACB037" w:rsidR="00CA7131" w:rsidRPr="00CA7131" w:rsidRDefault="0015014E" w:rsidP="000C64F8">
    <w:pPr>
      <w:pStyle w:val="Voettekst"/>
      <w:jc w:val="right"/>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8243" behindDoc="0" locked="0" layoutInCell="1" allowOverlap="1" wp14:anchorId="2B457558" wp14:editId="53F08DF3">
              <wp:simplePos x="0" y="0"/>
              <wp:positionH relativeFrom="column">
                <wp:posOffset>-290195</wp:posOffset>
              </wp:positionH>
              <wp:positionV relativeFrom="paragraph">
                <wp:posOffset>-99793</wp:posOffset>
              </wp:positionV>
              <wp:extent cx="5600700" cy="404446"/>
              <wp:effectExtent l="0" t="0" r="19050" b="15240"/>
              <wp:wrapNone/>
              <wp:docPr id="24" name="Tekstvak 24"/>
              <wp:cNvGraphicFramePr/>
              <a:graphic xmlns:a="http://schemas.openxmlformats.org/drawingml/2006/main">
                <a:graphicData uri="http://schemas.microsoft.com/office/word/2010/wordprocessingShape">
                  <wps:wsp>
                    <wps:cNvSpPr txBox="1"/>
                    <wps:spPr>
                      <a:xfrm>
                        <a:off x="0" y="0"/>
                        <a:ext cx="5600700" cy="404446"/>
                      </a:xfrm>
                      <a:prstGeom prst="rect">
                        <a:avLst/>
                      </a:prstGeom>
                      <a:solidFill>
                        <a:srgbClr val="04286C"/>
                      </a:solidFill>
                      <a:ln w="6350">
                        <a:solidFill>
                          <a:srgbClr val="04286C"/>
                        </a:solidFill>
                      </a:ln>
                    </wps:spPr>
                    <wps:txbx>
                      <w:txbxContent>
                        <w:p w14:paraId="5638CC77" w14:textId="2D0934B6" w:rsidR="00CA7131" w:rsidRPr="0015014E" w:rsidRDefault="00655E7A">
                          <w:pPr>
                            <w:rPr>
                              <w:rStyle w:val="Subtielebenadrukking"/>
                              <w:sz w:val="24"/>
                              <w:szCs w:val="24"/>
                            </w:rPr>
                          </w:pPr>
                          <w:r w:rsidRPr="00655E7A">
                            <w:rPr>
                              <w:rStyle w:val="Subtielebenadrukking"/>
                              <w:sz w:val="24"/>
                              <w:szCs w:val="24"/>
                            </w:rPr>
                            <w:t xml:space="preserve">Addendum Digitale Veiligheid &amp; Privacy </w:t>
                          </w:r>
                        </w:p>
                        <w:p w14:paraId="271A9255" w14:textId="57764FC3" w:rsidR="0015014E" w:rsidRPr="0015014E" w:rsidRDefault="0015014E">
                          <w:pPr>
                            <w:rPr>
                              <w:rStyle w:val="Subtielebenadrukking"/>
                              <w:b w:val="0"/>
                              <w:bCs w:val="0"/>
                              <w:sz w:val="14"/>
                              <w:szCs w:val="14"/>
                            </w:rPr>
                          </w:pPr>
                          <w:r w:rsidRPr="0015014E">
                            <w:rPr>
                              <w:rStyle w:val="Subtielebenadrukking"/>
                              <w:b w:val="0"/>
                              <w:bCs w:val="0"/>
                              <w:sz w:val="14"/>
                              <w:szCs w:val="14"/>
                            </w:rPr>
                            <w:t>Versie</w:t>
                          </w:r>
                          <w:r>
                            <w:rPr>
                              <w:rStyle w:val="Subtielebenadrukking"/>
                              <w:b w:val="0"/>
                              <w:bCs w:val="0"/>
                              <w:sz w:val="14"/>
                              <w:szCs w:val="14"/>
                            </w:rPr>
                            <w:t>: 1.0 – (</w:t>
                          </w:r>
                          <w:r w:rsidR="00512A7B">
                            <w:rPr>
                              <w:rStyle w:val="Subtielebenadrukking"/>
                              <w:b w:val="0"/>
                              <w:bCs w:val="0"/>
                              <w:sz w:val="14"/>
                              <w:szCs w:val="14"/>
                            </w:rPr>
                            <w:t>Risicoclassificatie: H</w:t>
                          </w:r>
                          <w:r w:rsidR="00654813">
                            <w:rPr>
                              <w:rStyle w:val="Subtielebenadrukking"/>
                              <w:b w:val="0"/>
                              <w:bCs w:val="0"/>
                              <w:sz w:val="14"/>
                              <w:szCs w:val="14"/>
                            </w:rPr>
                            <w:t>oog – met AIV)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57558" id="_x0000_t202" coordsize="21600,21600" o:spt="202" path="m,l,21600r21600,l21600,xe">
              <v:stroke joinstyle="miter"/>
              <v:path gradientshapeok="t" o:connecttype="rect"/>
            </v:shapetype>
            <v:shape id="Tekstvak 24" o:spid="_x0000_s1026" type="#_x0000_t202" style="position:absolute;left:0;text-align:left;margin-left:-22.85pt;margin-top:-7.85pt;width:441pt;height:31.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" fillcolor="#04286c" strokecolor="#04286c" strokeweight=".5pt">
              <v:textbox>
                <w:txbxContent>
                  <w:p w14:paraId="5638CC77" w14:textId="2D0934B6" w:rsidR="00CA7131" w:rsidRPr="0015014E" w:rsidRDefault="00655E7A">
                    <w:pPr>
                      <w:rPr>
                        <w:rStyle w:val="Subtielebenadrukking"/>
                        <w:sz w:val="24"/>
                        <w:szCs w:val="24"/>
                      </w:rPr>
                    </w:pPr>
                    <w:r w:rsidRPr="00655E7A">
                      <w:rPr>
                        <w:rStyle w:val="Subtielebenadrukking"/>
                        <w:sz w:val="24"/>
                        <w:szCs w:val="24"/>
                      </w:rPr>
                      <w:t xml:space="preserve">Addendum Digitale Veiligheid &amp; Privacy </w:t>
                    </w:r>
                  </w:p>
                  <w:p w14:paraId="271A9255" w14:textId="57764FC3" w:rsidR="0015014E" w:rsidRPr="0015014E" w:rsidRDefault="0015014E">
                    <w:pPr>
                      <w:rPr>
                        <w:rStyle w:val="Subtielebenadrukking"/>
                        <w:b w:val="0"/>
                        <w:bCs w:val="0"/>
                        <w:sz w:val="14"/>
                        <w:szCs w:val="14"/>
                      </w:rPr>
                    </w:pPr>
                    <w:r w:rsidRPr="0015014E">
                      <w:rPr>
                        <w:rStyle w:val="Subtielebenadrukking"/>
                        <w:b w:val="0"/>
                        <w:bCs w:val="0"/>
                        <w:sz w:val="14"/>
                        <w:szCs w:val="14"/>
                      </w:rPr>
                      <w:t>Versie</w:t>
                    </w:r>
                    <w:r>
                      <w:rPr>
                        <w:rStyle w:val="Subtielebenadrukking"/>
                        <w:b w:val="0"/>
                        <w:bCs w:val="0"/>
                        <w:sz w:val="14"/>
                        <w:szCs w:val="14"/>
                      </w:rPr>
                      <w:t>: 1.0 – (</w:t>
                    </w:r>
                    <w:r w:rsidR="00512A7B">
                      <w:rPr>
                        <w:rStyle w:val="Subtielebenadrukking"/>
                        <w:b w:val="0"/>
                        <w:bCs w:val="0"/>
                        <w:sz w:val="14"/>
                        <w:szCs w:val="14"/>
                      </w:rPr>
                      <w:t>Risicoclassificatie: H</w:t>
                    </w:r>
                    <w:r w:rsidR="00654813">
                      <w:rPr>
                        <w:rStyle w:val="Subtielebenadrukking"/>
                        <w:b w:val="0"/>
                        <w:bCs w:val="0"/>
                        <w:sz w:val="14"/>
                        <w:szCs w:val="14"/>
                      </w:rPr>
                      <w:t>oog – met AIV)</w:t>
                    </w:r>
                  </w:p>
                </w:txbxContent>
              </v:textbox>
            </v:shape>
          </w:pict>
        </mc:Fallback>
      </mc:AlternateContent>
    </w:r>
    <w:r w:rsidR="000C64F8">
      <w:rPr>
        <w:noProof/>
      </w:rPr>
      <mc:AlternateContent>
        <mc:Choice Requires="wps">
          <w:drawing>
            <wp:anchor distT="45720" distB="45720" distL="114300" distR="114300" simplePos="0" relativeHeight="251658244" behindDoc="0" locked="0" layoutInCell="1" allowOverlap="1" wp14:anchorId="4B8B67AE" wp14:editId="013C49D5">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B67AE" id="Tekstvak 217" o:spid="_x0000_s1027"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2"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9D1F6"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3841D" id="Ruit 216" o:spid="_x0000_s1026" type="#_x0000_t4" style="position:absolute;margin-left:459.2pt;margin-top:-28.25pt;width:45.2pt;height:45.2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92747" id="Rechthoek 218" o:spid="_x0000_s1026" style="position:absolute;margin-left:-70.15pt;margin-top:-8.35pt;width:594.75pt;height:51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14BF" w14:textId="77777777" w:rsidR="0071795E" w:rsidRDefault="00717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B826" w14:textId="77777777" w:rsidR="002A3CAB" w:rsidRDefault="002A3CAB" w:rsidP="00C744DF">
      <w:r>
        <w:separator/>
      </w:r>
    </w:p>
  </w:footnote>
  <w:footnote w:type="continuationSeparator" w:id="0">
    <w:p w14:paraId="4F2536EB" w14:textId="77777777" w:rsidR="002A3CAB" w:rsidRDefault="002A3CAB" w:rsidP="00C744DF">
      <w:r>
        <w:continuationSeparator/>
      </w:r>
    </w:p>
  </w:footnote>
  <w:footnote w:type="continuationNotice" w:id="1">
    <w:p w14:paraId="044EE5FE" w14:textId="77777777" w:rsidR="002A3CAB" w:rsidRDefault="002A3C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71A9" w14:textId="49AD1374" w:rsidR="0071795E" w:rsidRDefault="002A3CAB">
    <w:pPr>
      <w:pStyle w:val="Koptekst"/>
    </w:pPr>
    <w:r>
      <w:rPr>
        <w:noProof/>
      </w:rPr>
      <w:pict w14:anchorId="7AF9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5235" o:spid="_x0000_s1026" type="#_x0000_t136" style="position:absolute;margin-left:0;margin-top:0;width:511.6pt;height:127.9pt;rotation:315;z-index:-25165823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5BB83B72" w:rsidR="00C744DF" w:rsidRDefault="002A3CAB" w:rsidP="00C744DF">
    <w:pPr>
      <w:pStyle w:val="Koptekst"/>
    </w:pPr>
    <w:r>
      <w:rPr>
        <w:noProof/>
      </w:rPr>
      <w:pict w14:anchorId="5465A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5236" o:spid="_x0000_s1027" type="#_x0000_t136" style="position:absolute;margin-left:0;margin-top:0;width:511.6pt;height:127.9pt;rotation:315;z-index:-251658231;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C744DF" w:rsidRPr="00C744DF">
      <w:rPr>
        <w:noProof/>
      </w:rPr>
      <w:drawing>
        <wp:anchor distT="0" distB="0" distL="114300" distR="114300" simplePos="0" relativeHeight="251658241" behindDoc="0" locked="0" layoutInCell="1" allowOverlap="1" wp14:anchorId="00251127" wp14:editId="301CCBD8">
          <wp:simplePos x="0" y="0"/>
          <wp:positionH relativeFrom="column">
            <wp:posOffset>4854575</wp:posOffset>
          </wp:positionH>
          <wp:positionV relativeFrom="paragraph">
            <wp:posOffset>-275590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122E" w14:textId="2F986C2F" w:rsidR="0071795E" w:rsidRDefault="002A3CAB">
    <w:pPr>
      <w:pStyle w:val="Koptekst"/>
    </w:pPr>
    <w:r>
      <w:rPr>
        <w:noProof/>
      </w:rPr>
      <w:pict w14:anchorId="4A18A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5234" o:spid="_x0000_s1025" type="#_x0000_t136" style="position:absolute;margin-left:0;margin-top:0;width:511.6pt;height:127.9pt;rotation:315;z-index:-251658233;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F67"/>
    <w:multiLevelType w:val="hybridMultilevel"/>
    <w:tmpl w:val="E8549202"/>
    <w:lvl w:ilvl="0" w:tplc="FFFFFFFF">
      <w:start w:val="1"/>
      <w:numFmt w:val="upp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 w15:restartNumberingAfterBreak="0">
    <w:nsid w:val="07B37FC8"/>
    <w:multiLevelType w:val="hybridMultilevel"/>
    <w:tmpl w:val="C0F4D68E"/>
    <w:lvl w:ilvl="0" w:tplc="3496C8C2">
      <w:start w:val="2"/>
      <w:numFmt w:val="upperRoman"/>
      <w:lvlText w:val="%1."/>
      <w:lvlJc w:val="left"/>
      <w:pPr>
        <w:ind w:left="1080" w:hanging="720"/>
      </w:pPr>
      <w:rPr>
        <w:rFonts w:hint="default"/>
      </w:rPr>
    </w:lvl>
    <w:lvl w:ilvl="1" w:tplc="A9083840">
      <w:start w:val="1"/>
      <w:numFmt w:val="upperRoman"/>
      <w:lvlText w:val="%2."/>
      <w:lvlJc w:val="left"/>
      <w:pPr>
        <w:ind w:left="1440" w:hanging="360"/>
      </w:pPr>
      <w:rPr>
        <w:rFonts w:ascii="Arial" w:eastAsia="SimSun" w:hAnsi="Arial" w:cs="Aria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62D43"/>
    <w:multiLevelType w:val="hybridMultilevel"/>
    <w:tmpl w:val="2D0A2CB8"/>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CA3017"/>
    <w:multiLevelType w:val="hybridMultilevel"/>
    <w:tmpl w:val="86D65D3E"/>
    <w:lvl w:ilvl="0" w:tplc="85F20E04">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E6AC2"/>
    <w:multiLevelType w:val="hybridMultilevel"/>
    <w:tmpl w:val="E1089722"/>
    <w:lvl w:ilvl="0" w:tplc="EFBEE9B6">
      <w:start w:val="1"/>
      <w:numFmt w:val="bullet"/>
      <w:lvlText w:val="-"/>
      <w:lvlJc w:val="left"/>
      <w:pPr>
        <w:ind w:left="1440" w:hanging="360"/>
      </w:pPr>
      <w:rPr>
        <w:rFonts w:ascii="Calibri"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16020B4E"/>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1B291786"/>
    <w:multiLevelType w:val="hybridMultilevel"/>
    <w:tmpl w:val="9E8CF9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77307D"/>
    <w:multiLevelType w:val="hybridMultilevel"/>
    <w:tmpl w:val="D13444E0"/>
    <w:lvl w:ilvl="0" w:tplc="C522256A">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19807F1"/>
    <w:multiLevelType w:val="hybridMultilevel"/>
    <w:tmpl w:val="D5A23DDC"/>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24126F3B"/>
    <w:multiLevelType w:val="hybridMultilevel"/>
    <w:tmpl w:val="D32251DC"/>
    <w:lvl w:ilvl="0" w:tplc="A66AA558">
      <w:start w:val="2"/>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C17EF9"/>
    <w:multiLevelType w:val="hybridMultilevel"/>
    <w:tmpl w:val="F4423C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A12E41"/>
    <w:multiLevelType w:val="hybridMultilevel"/>
    <w:tmpl w:val="6262C88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2A403EC"/>
    <w:multiLevelType w:val="hybridMultilevel"/>
    <w:tmpl w:val="6A768B2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32E958DC"/>
    <w:multiLevelType w:val="hybridMultilevel"/>
    <w:tmpl w:val="5D3E9DA6"/>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41FB0990"/>
    <w:multiLevelType w:val="hybridMultilevel"/>
    <w:tmpl w:val="FE4EA4D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44E36DF2"/>
    <w:multiLevelType w:val="hybridMultilevel"/>
    <w:tmpl w:val="AC1C45D2"/>
    <w:lvl w:ilvl="0" w:tplc="FFFFFFFF">
      <w:start w:val="1"/>
      <w:numFmt w:val="upperRoman"/>
      <w:lvlText w:val="%1."/>
      <w:lvlJc w:val="right"/>
      <w:pPr>
        <w:ind w:left="709" w:hanging="360"/>
      </w:pPr>
    </w:lvl>
    <w:lvl w:ilvl="1" w:tplc="04130017">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7" w15:restartNumberingAfterBreak="0">
    <w:nsid w:val="45534934"/>
    <w:multiLevelType w:val="hybridMultilevel"/>
    <w:tmpl w:val="4410A988"/>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4FC5768A"/>
    <w:multiLevelType w:val="hybridMultilevel"/>
    <w:tmpl w:val="CC3EF38A"/>
    <w:lvl w:ilvl="0" w:tplc="04130017">
      <w:start w:val="1"/>
      <w:numFmt w:val="lowerLetter"/>
      <w:lvlText w:val="%1)"/>
      <w:lvlJc w:val="left"/>
      <w:pPr>
        <w:ind w:left="1352" w:hanging="360"/>
      </w:p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9" w15:restartNumberingAfterBreak="0">
    <w:nsid w:val="52345C43"/>
    <w:multiLevelType w:val="hybridMultilevel"/>
    <w:tmpl w:val="6F9AE922"/>
    <w:lvl w:ilvl="0" w:tplc="790AD7C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663B4"/>
    <w:multiLevelType w:val="hybridMultilevel"/>
    <w:tmpl w:val="5EC8994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6CF10E3"/>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9652DD2"/>
    <w:multiLevelType w:val="hybridMultilevel"/>
    <w:tmpl w:val="2C668E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436437"/>
    <w:multiLevelType w:val="hybridMultilevel"/>
    <w:tmpl w:val="DB8E57C6"/>
    <w:lvl w:ilvl="0" w:tplc="B0264502">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D0F00"/>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3E64AF8"/>
    <w:multiLevelType w:val="multilevel"/>
    <w:tmpl w:val="03A67044"/>
    <w:styleLink w:val="WWOutlineListStyle5"/>
    <w:lvl w:ilvl="0">
      <w:start w:val="1"/>
      <w:numFmt w:val="decimal"/>
      <w:pStyle w:val="HVGHead1"/>
      <w:lvlText w:val="%1."/>
      <w:lvlJc w:val="left"/>
      <w:pPr>
        <w:ind w:left="720" w:hanging="720"/>
      </w:pPr>
      <w:rPr>
        <w:rFonts w:ascii="Arial" w:hAnsi="Arial"/>
        <w:b/>
        <w:i w:val="0"/>
        <w:sz w:val="24"/>
        <w:szCs w:val="24"/>
      </w:rPr>
    </w:lvl>
    <w:lvl w:ilvl="1">
      <w:start w:val="1"/>
      <w:numFmt w:val="decimal"/>
      <w:pStyle w:val="HVGHead2"/>
      <w:lvlText w:val="%1.%2"/>
      <w:lvlJc w:val="left"/>
      <w:pPr>
        <w:ind w:left="720" w:hanging="720"/>
      </w:pPr>
      <w:rPr>
        <w:rFonts w:ascii="Arial" w:hAnsi="Arial"/>
        <w:b w:val="0"/>
        <w:i w:val="0"/>
        <w:sz w:val="24"/>
        <w:szCs w:val="24"/>
      </w:rPr>
    </w:lvl>
    <w:lvl w:ilvl="2">
      <w:start w:val="1"/>
      <w:numFmt w:val="lowerLetter"/>
      <w:pStyle w:val="HVGHead3"/>
      <w:lvlText w:val="%3)"/>
      <w:lvlJc w:val="left"/>
      <w:pPr>
        <w:ind w:left="1080" w:hanging="360"/>
      </w:pPr>
    </w:lvl>
    <w:lvl w:ilvl="3">
      <w:start w:val="1"/>
      <w:numFmt w:val="lowerRoman"/>
      <w:pStyle w:val="HVGHead4"/>
      <w:lvlText w:val="()"/>
      <w:lvlJc w:val="left"/>
      <w:pPr>
        <w:ind w:left="2160" w:hanging="720"/>
      </w:pPr>
    </w:lvl>
    <w:lvl w:ilvl="4">
      <w:start w:val="1"/>
      <w:numFmt w:val="upperLetter"/>
      <w:pStyle w:val="HVGHead5"/>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2E0FD1"/>
    <w:multiLevelType w:val="hybridMultilevel"/>
    <w:tmpl w:val="FB5C8D4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8" w15:restartNumberingAfterBreak="0">
    <w:nsid w:val="6E8C4058"/>
    <w:multiLevelType w:val="multilevel"/>
    <w:tmpl w:val="A0CC39FA"/>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12E53F8"/>
    <w:multiLevelType w:val="hybridMultilevel"/>
    <w:tmpl w:val="E8549202"/>
    <w:lvl w:ilvl="0" w:tplc="48F45054">
      <w:start w:val="1"/>
      <w:numFmt w:val="upperRoman"/>
      <w:lvlText w:val="%1."/>
      <w:lvlJc w:val="right"/>
      <w:pPr>
        <w:ind w:left="709" w:hanging="360"/>
      </w:pPr>
    </w:lvl>
    <w:lvl w:ilvl="1" w:tplc="04130019">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0"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51712F"/>
    <w:multiLevelType w:val="hybridMultilevel"/>
    <w:tmpl w:val="19BA5A6C"/>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A22989"/>
    <w:multiLevelType w:val="hybridMultilevel"/>
    <w:tmpl w:val="3F8A07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8E2044"/>
    <w:multiLevelType w:val="hybridMultilevel"/>
    <w:tmpl w:val="13B2094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6D45B7"/>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5" w15:restartNumberingAfterBreak="0">
    <w:nsid w:val="7DA73D84"/>
    <w:multiLevelType w:val="hybridMultilevel"/>
    <w:tmpl w:val="5E1CC2A8"/>
    <w:lvl w:ilvl="0" w:tplc="FFFFFFFF">
      <w:start w:val="1"/>
      <w:numFmt w:val="decimal"/>
      <w:lvlText w:val="%1)"/>
      <w:lvlJc w:val="left"/>
      <w:pPr>
        <w:ind w:left="710" w:hanging="71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0177783">
    <w:abstractNumId w:val="31"/>
  </w:num>
  <w:num w:numId="2" w16cid:durableId="593631242">
    <w:abstractNumId w:val="30"/>
  </w:num>
  <w:num w:numId="3" w16cid:durableId="1578905662">
    <w:abstractNumId w:val="28"/>
  </w:num>
  <w:num w:numId="4" w16cid:durableId="1153567881">
    <w:abstractNumId w:val="11"/>
  </w:num>
  <w:num w:numId="5" w16cid:durableId="564948096">
    <w:abstractNumId w:val="23"/>
  </w:num>
  <w:num w:numId="6" w16cid:durableId="2095514832">
    <w:abstractNumId w:val="15"/>
  </w:num>
  <w:num w:numId="7" w16cid:durableId="1723089448">
    <w:abstractNumId w:val="5"/>
  </w:num>
  <w:num w:numId="8" w16cid:durableId="1023673977">
    <w:abstractNumId w:val="26"/>
    <w:lvlOverride w:ilvl="0">
      <w:lvl w:ilvl="0">
        <w:start w:val="1"/>
        <w:numFmt w:val="decimal"/>
        <w:pStyle w:val="HVGHead1"/>
        <w:lvlText w:val="%1."/>
        <w:lvlJc w:val="left"/>
        <w:pPr>
          <w:ind w:left="720" w:hanging="720"/>
        </w:pPr>
        <w:rPr>
          <w:rFonts w:ascii="Arial" w:hAnsi="Arial"/>
          <w:b/>
          <w:i w:val="0"/>
          <w:sz w:val="24"/>
          <w:szCs w:val="24"/>
        </w:rPr>
      </w:lvl>
    </w:lvlOverride>
    <w:lvlOverride w:ilvl="1">
      <w:lvl w:ilvl="1">
        <w:start w:val="1"/>
        <w:numFmt w:val="decimal"/>
        <w:pStyle w:val="HVGHead2"/>
        <w:lvlText w:val="%1.%2"/>
        <w:lvlJc w:val="left"/>
        <w:pPr>
          <w:ind w:left="720" w:hanging="720"/>
        </w:pPr>
        <w:rPr>
          <w:rFonts w:ascii="Arial" w:hAnsi="Arial"/>
          <w:b w:val="0"/>
          <w:i w:val="0"/>
          <w:sz w:val="24"/>
          <w:szCs w:val="24"/>
        </w:rPr>
      </w:lvl>
    </w:lvlOverride>
    <w:lvlOverride w:ilvl="2">
      <w:lvl w:ilvl="2">
        <w:start w:val="1"/>
        <w:numFmt w:val="lowerLetter"/>
        <w:pStyle w:val="HVGHead3"/>
        <w:lvlText w:val="%3)"/>
        <w:lvlJc w:val="left"/>
        <w:pPr>
          <w:ind w:left="1080" w:hanging="360"/>
        </w:pPr>
      </w:lvl>
    </w:lvlOverride>
    <w:lvlOverride w:ilvl="3">
      <w:lvl w:ilvl="3">
        <w:start w:val="1"/>
        <w:numFmt w:val="lowerRoman"/>
        <w:pStyle w:val="HVGHead4"/>
        <w:lvlText w:val="()"/>
        <w:lvlJc w:val="left"/>
        <w:pPr>
          <w:ind w:left="2160" w:hanging="720"/>
        </w:pPr>
      </w:lvl>
    </w:lvlOverride>
    <w:lvlOverride w:ilvl="4">
      <w:lvl w:ilvl="4">
        <w:start w:val="1"/>
        <w:numFmt w:val="upperLetter"/>
        <w:pStyle w:val="HVGHead5"/>
        <w:lvlText w:val="()"/>
        <w:lvlJc w:val="left"/>
        <w:pPr>
          <w:ind w:left="2880" w:hanging="720"/>
        </w:pPr>
      </w:lvl>
    </w:lvlOverride>
    <w:lvlOverride w:ilvl="5">
      <w:lvl w:ilvl="5">
        <w:start w:val="1"/>
        <w:numFmt w:val="none"/>
        <w:lvlText w:val=""/>
        <w:lvlJc w:val="left"/>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9" w16cid:durableId="1005744698">
    <w:abstractNumId w:val="34"/>
  </w:num>
  <w:num w:numId="10" w16cid:durableId="1012144336">
    <w:abstractNumId w:val="26"/>
  </w:num>
  <w:num w:numId="11" w16cid:durableId="931280592">
    <w:abstractNumId w:val="2"/>
  </w:num>
  <w:num w:numId="12" w16cid:durableId="1967466562">
    <w:abstractNumId w:val="14"/>
  </w:num>
  <w:num w:numId="13" w16cid:durableId="1082725376">
    <w:abstractNumId w:val="27"/>
  </w:num>
  <w:num w:numId="14" w16cid:durableId="1427505719">
    <w:abstractNumId w:val="8"/>
  </w:num>
  <w:num w:numId="15" w16cid:durableId="763040613">
    <w:abstractNumId w:val="17"/>
  </w:num>
  <w:num w:numId="16" w16cid:durableId="1313368113">
    <w:abstractNumId w:val="29"/>
  </w:num>
  <w:num w:numId="17" w16cid:durableId="485247689">
    <w:abstractNumId w:val="16"/>
  </w:num>
  <w:num w:numId="18" w16cid:durableId="1886289111">
    <w:abstractNumId w:val="0"/>
  </w:num>
  <w:num w:numId="19" w16cid:durableId="1685210970">
    <w:abstractNumId w:val="3"/>
  </w:num>
  <w:num w:numId="20" w16cid:durableId="1804885270">
    <w:abstractNumId w:val="20"/>
  </w:num>
  <w:num w:numId="21" w16cid:durableId="2049139613">
    <w:abstractNumId w:val="9"/>
  </w:num>
  <w:num w:numId="22" w16cid:durableId="968781430">
    <w:abstractNumId w:val="33"/>
  </w:num>
  <w:num w:numId="23" w16cid:durableId="1718049953">
    <w:abstractNumId w:val="18"/>
  </w:num>
  <w:num w:numId="24" w16cid:durableId="1789473906">
    <w:abstractNumId w:val="13"/>
  </w:num>
  <w:num w:numId="25" w16cid:durableId="945423697">
    <w:abstractNumId w:val="1"/>
  </w:num>
  <w:num w:numId="26" w16cid:durableId="2146385217">
    <w:abstractNumId w:val="6"/>
  </w:num>
  <w:num w:numId="27" w16cid:durableId="1070352453">
    <w:abstractNumId w:val="12"/>
  </w:num>
  <w:num w:numId="28" w16cid:durableId="1417285982">
    <w:abstractNumId w:val="24"/>
  </w:num>
  <w:num w:numId="29" w16cid:durableId="677315330">
    <w:abstractNumId w:val="7"/>
  </w:num>
  <w:num w:numId="30" w16cid:durableId="1326737857">
    <w:abstractNumId w:val="19"/>
  </w:num>
  <w:num w:numId="31" w16cid:durableId="256062232">
    <w:abstractNumId w:val="22"/>
  </w:num>
  <w:num w:numId="32" w16cid:durableId="896428728">
    <w:abstractNumId w:val="25"/>
  </w:num>
  <w:num w:numId="33" w16cid:durableId="748695704">
    <w:abstractNumId w:val="32"/>
  </w:num>
  <w:num w:numId="34" w16cid:durableId="1882933326">
    <w:abstractNumId w:val="10"/>
  </w:num>
  <w:num w:numId="35" w16cid:durableId="401101079">
    <w:abstractNumId w:val="21"/>
  </w:num>
  <w:num w:numId="36" w16cid:durableId="434636524">
    <w:abstractNumId w:val="4"/>
  </w:num>
  <w:num w:numId="37" w16cid:durableId="438915808">
    <w:abstractNumId w:val="2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645072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24C6"/>
    <w:rsid w:val="00004323"/>
    <w:rsid w:val="00004B7A"/>
    <w:rsid w:val="000059AA"/>
    <w:rsid w:val="000061D1"/>
    <w:rsid w:val="0001339E"/>
    <w:rsid w:val="000138B0"/>
    <w:rsid w:val="0002554F"/>
    <w:rsid w:val="000261A6"/>
    <w:rsid w:val="0003124E"/>
    <w:rsid w:val="00032ECA"/>
    <w:rsid w:val="00035863"/>
    <w:rsid w:val="000363FC"/>
    <w:rsid w:val="000405D1"/>
    <w:rsid w:val="00041B2F"/>
    <w:rsid w:val="000449EB"/>
    <w:rsid w:val="000456B8"/>
    <w:rsid w:val="00051361"/>
    <w:rsid w:val="000537E8"/>
    <w:rsid w:val="00054A2F"/>
    <w:rsid w:val="00055DDE"/>
    <w:rsid w:val="00057273"/>
    <w:rsid w:val="00057336"/>
    <w:rsid w:val="000643AC"/>
    <w:rsid w:val="00064420"/>
    <w:rsid w:val="000650A0"/>
    <w:rsid w:val="00067F54"/>
    <w:rsid w:val="00070361"/>
    <w:rsid w:val="00070506"/>
    <w:rsid w:val="00070E31"/>
    <w:rsid w:val="00072399"/>
    <w:rsid w:val="00072C43"/>
    <w:rsid w:val="000774C4"/>
    <w:rsid w:val="00083FA0"/>
    <w:rsid w:val="00087A21"/>
    <w:rsid w:val="00090676"/>
    <w:rsid w:val="000933A4"/>
    <w:rsid w:val="000943CD"/>
    <w:rsid w:val="00097CDF"/>
    <w:rsid w:val="000A4F9B"/>
    <w:rsid w:val="000A7191"/>
    <w:rsid w:val="000A74CA"/>
    <w:rsid w:val="000C29D6"/>
    <w:rsid w:val="000C4BBD"/>
    <w:rsid w:val="000C581A"/>
    <w:rsid w:val="000C64F8"/>
    <w:rsid w:val="000D1CCF"/>
    <w:rsid w:val="000D26F2"/>
    <w:rsid w:val="000D393B"/>
    <w:rsid w:val="000D3B67"/>
    <w:rsid w:val="000D4A3E"/>
    <w:rsid w:val="000E065D"/>
    <w:rsid w:val="000E1ED2"/>
    <w:rsid w:val="000E2B74"/>
    <w:rsid w:val="000E5725"/>
    <w:rsid w:val="000F1E38"/>
    <w:rsid w:val="000F4998"/>
    <w:rsid w:val="000F5080"/>
    <w:rsid w:val="001008E6"/>
    <w:rsid w:val="00103CF0"/>
    <w:rsid w:val="001065F5"/>
    <w:rsid w:val="00107E97"/>
    <w:rsid w:val="001102A6"/>
    <w:rsid w:val="001131BA"/>
    <w:rsid w:val="001134D3"/>
    <w:rsid w:val="0011661D"/>
    <w:rsid w:val="001258E7"/>
    <w:rsid w:val="00132593"/>
    <w:rsid w:val="00133C63"/>
    <w:rsid w:val="0013476B"/>
    <w:rsid w:val="00141EB6"/>
    <w:rsid w:val="00143DDE"/>
    <w:rsid w:val="0014409F"/>
    <w:rsid w:val="00147AD6"/>
    <w:rsid w:val="0015014E"/>
    <w:rsid w:val="001503EE"/>
    <w:rsid w:val="00151473"/>
    <w:rsid w:val="00162071"/>
    <w:rsid w:val="00165A9A"/>
    <w:rsid w:val="00167F7E"/>
    <w:rsid w:val="001707D8"/>
    <w:rsid w:val="001721ED"/>
    <w:rsid w:val="001768F1"/>
    <w:rsid w:val="00183320"/>
    <w:rsid w:val="0018514F"/>
    <w:rsid w:val="00190CFA"/>
    <w:rsid w:val="00196E73"/>
    <w:rsid w:val="001A192E"/>
    <w:rsid w:val="001A5049"/>
    <w:rsid w:val="001A63D1"/>
    <w:rsid w:val="001B0E65"/>
    <w:rsid w:val="001B28B9"/>
    <w:rsid w:val="001B2D87"/>
    <w:rsid w:val="001B324B"/>
    <w:rsid w:val="001B485F"/>
    <w:rsid w:val="001C07DC"/>
    <w:rsid w:val="001C1B79"/>
    <w:rsid w:val="001C2FC0"/>
    <w:rsid w:val="001C7C43"/>
    <w:rsid w:val="001D2940"/>
    <w:rsid w:val="001D3AC4"/>
    <w:rsid w:val="001D3F2B"/>
    <w:rsid w:val="001D5B0C"/>
    <w:rsid w:val="001D7DB9"/>
    <w:rsid w:val="001E548D"/>
    <w:rsid w:val="001E7118"/>
    <w:rsid w:val="001F1808"/>
    <w:rsid w:val="001F2D21"/>
    <w:rsid w:val="001F4462"/>
    <w:rsid w:val="001F57AC"/>
    <w:rsid w:val="001F5FC8"/>
    <w:rsid w:val="00200451"/>
    <w:rsid w:val="002008D3"/>
    <w:rsid w:val="00204EB5"/>
    <w:rsid w:val="00205228"/>
    <w:rsid w:val="00206028"/>
    <w:rsid w:val="002062B1"/>
    <w:rsid w:val="00207196"/>
    <w:rsid w:val="00207630"/>
    <w:rsid w:val="00214217"/>
    <w:rsid w:val="002212E6"/>
    <w:rsid w:val="002229E8"/>
    <w:rsid w:val="002233FE"/>
    <w:rsid w:val="002246B5"/>
    <w:rsid w:val="002273E7"/>
    <w:rsid w:val="0023059D"/>
    <w:rsid w:val="00230879"/>
    <w:rsid w:val="002318E5"/>
    <w:rsid w:val="00233F9A"/>
    <w:rsid w:val="002347FD"/>
    <w:rsid w:val="0023638B"/>
    <w:rsid w:val="00237EBC"/>
    <w:rsid w:val="00243DD1"/>
    <w:rsid w:val="002441DC"/>
    <w:rsid w:val="00244BD5"/>
    <w:rsid w:val="002456B5"/>
    <w:rsid w:val="002458FA"/>
    <w:rsid w:val="00252C72"/>
    <w:rsid w:val="002538EF"/>
    <w:rsid w:val="00253BCD"/>
    <w:rsid w:val="00256171"/>
    <w:rsid w:val="0025684D"/>
    <w:rsid w:val="00257D68"/>
    <w:rsid w:val="00257ED7"/>
    <w:rsid w:val="0026090D"/>
    <w:rsid w:val="00261853"/>
    <w:rsid w:val="00265521"/>
    <w:rsid w:val="00272061"/>
    <w:rsid w:val="0027315B"/>
    <w:rsid w:val="002741A7"/>
    <w:rsid w:val="002742D9"/>
    <w:rsid w:val="0028036C"/>
    <w:rsid w:val="002855F2"/>
    <w:rsid w:val="00290A0B"/>
    <w:rsid w:val="002A1B42"/>
    <w:rsid w:val="002A22A4"/>
    <w:rsid w:val="002A3CAB"/>
    <w:rsid w:val="002B0D01"/>
    <w:rsid w:val="002B31FF"/>
    <w:rsid w:val="002B6C54"/>
    <w:rsid w:val="002C431C"/>
    <w:rsid w:val="002C5070"/>
    <w:rsid w:val="002C5C75"/>
    <w:rsid w:val="002C742A"/>
    <w:rsid w:val="002D0857"/>
    <w:rsid w:val="002D2157"/>
    <w:rsid w:val="002D309E"/>
    <w:rsid w:val="002D31ED"/>
    <w:rsid w:val="002D4CB4"/>
    <w:rsid w:val="002D7E6C"/>
    <w:rsid w:val="002E31EF"/>
    <w:rsid w:val="002E3B55"/>
    <w:rsid w:val="002E5290"/>
    <w:rsid w:val="002F10D2"/>
    <w:rsid w:val="002F1AAC"/>
    <w:rsid w:val="002F36D6"/>
    <w:rsid w:val="002F4EEE"/>
    <w:rsid w:val="002F64A7"/>
    <w:rsid w:val="002F7D85"/>
    <w:rsid w:val="00300B95"/>
    <w:rsid w:val="00302F1E"/>
    <w:rsid w:val="00304A46"/>
    <w:rsid w:val="003104B2"/>
    <w:rsid w:val="00310630"/>
    <w:rsid w:val="00317250"/>
    <w:rsid w:val="00317DF0"/>
    <w:rsid w:val="00320352"/>
    <w:rsid w:val="0032191D"/>
    <w:rsid w:val="00323DAE"/>
    <w:rsid w:val="00331BBD"/>
    <w:rsid w:val="003405CD"/>
    <w:rsid w:val="00350F03"/>
    <w:rsid w:val="00351386"/>
    <w:rsid w:val="00362584"/>
    <w:rsid w:val="003666FB"/>
    <w:rsid w:val="00372D39"/>
    <w:rsid w:val="0037352F"/>
    <w:rsid w:val="00375E4A"/>
    <w:rsid w:val="00382B27"/>
    <w:rsid w:val="003842F5"/>
    <w:rsid w:val="0038512D"/>
    <w:rsid w:val="00390C10"/>
    <w:rsid w:val="00391D78"/>
    <w:rsid w:val="003A4239"/>
    <w:rsid w:val="003B31E2"/>
    <w:rsid w:val="003B5107"/>
    <w:rsid w:val="003C0F18"/>
    <w:rsid w:val="003C72CC"/>
    <w:rsid w:val="003D4C17"/>
    <w:rsid w:val="003D790C"/>
    <w:rsid w:val="003E54CD"/>
    <w:rsid w:val="003E6BD1"/>
    <w:rsid w:val="003F1A47"/>
    <w:rsid w:val="003F4EB5"/>
    <w:rsid w:val="003F7D14"/>
    <w:rsid w:val="004017A4"/>
    <w:rsid w:val="00401CDF"/>
    <w:rsid w:val="00401EC2"/>
    <w:rsid w:val="004023FB"/>
    <w:rsid w:val="00402C58"/>
    <w:rsid w:val="00404B1F"/>
    <w:rsid w:val="00405A3C"/>
    <w:rsid w:val="004069C1"/>
    <w:rsid w:val="00406FDE"/>
    <w:rsid w:val="004075BF"/>
    <w:rsid w:val="00412A1E"/>
    <w:rsid w:val="00412D5E"/>
    <w:rsid w:val="004155FA"/>
    <w:rsid w:val="00416E02"/>
    <w:rsid w:val="00422336"/>
    <w:rsid w:val="00422492"/>
    <w:rsid w:val="00422C2B"/>
    <w:rsid w:val="00422D4E"/>
    <w:rsid w:val="004263EF"/>
    <w:rsid w:val="00430C62"/>
    <w:rsid w:val="004311F8"/>
    <w:rsid w:val="00431250"/>
    <w:rsid w:val="00433312"/>
    <w:rsid w:val="00433C8B"/>
    <w:rsid w:val="00433DFE"/>
    <w:rsid w:val="004371F5"/>
    <w:rsid w:val="00440837"/>
    <w:rsid w:val="00440FE1"/>
    <w:rsid w:val="00445F95"/>
    <w:rsid w:val="00451941"/>
    <w:rsid w:val="00452212"/>
    <w:rsid w:val="00452A49"/>
    <w:rsid w:val="00454058"/>
    <w:rsid w:val="00455267"/>
    <w:rsid w:val="00455F82"/>
    <w:rsid w:val="004657EE"/>
    <w:rsid w:val="00470D3B"/>
    <w:rsid w:val="004712C4"/>
    <w:rsid w:val="0048518E"/>
    <w:rsid w:val="0049356C"/>
    <w:rsid w:val="00493782"/>
    <w:rsid w:val="004A11E5"/>
    <w:rsid w:val="004A16FC"/>
    <w:rsid w:val="004A1F9D"/>
    <w:rsid w:val="004A7022"/>
    <w:rsid w:val="004B0A3F"/>
    <w:rsid w:val="004B0A98"/>
    <w:rsid w:val="004B2165"/>
    <w:rsid w:val="004B229B"/>
    <w:rsid w:val="004B3DF8"/>
    <w:rsid w:val="004B5D60"/>
    <w:rsid w:val="004B78AD"/>
    <w:rsid w:val="004C51FF"/>
    <w:rsid w:val="004C5D68"/>
    <w:rsid w:val="004D07A9"/>
    <w:rsid w:val="004D3FC7"/>
    <w:rsid w:val="004E55F3"/>
    <w:rsid w:val="004E5631"/>
    <w:rsid w:val="004E66F8"/>
    <w:rsid w:val="004F09F0"/>
    <w:rsid w:val="004F2358"/>
    <w:rsid w:val="00501F96"/>
    <w:rsid w:val="005026A9"/>
    <w:rsid w:val="005057E2"/>
    <w:rsid w:val="00506099"/>
    <w:rsid w:val="00511ACB"/>
    <w:rsid w:val="00511D82"/>
    <w:rsid w:val="00512A7B"/>
    <w:rsid w:val="00516616"/>
    <w:rsid w:val="00517006"/>
    <w:rsid w:val="0052111B"/>
    <w:rsid w:val="0052147F"/>
    <w:rsid w:val="005228E8"/>
    <w:rsid w:val="00522AC8"/>
    <w:rsid w:val="00523A18"/>
    <w:rsid w:val="005254C7"/>
    <w:rsid w:val="00531514"/>
    <w:rsid w:val="00531E65"/>
    <w:rsid w:val="00533BC5"/>
    <w:rsid w:val="00540EC3"/>
    <w:rsid w:val="00541047"/>
    <w:rsid w:val="00544A86"/>
    <w:rsid w:val="00546826"/>
    <w:rsid w:val="00547CFA"/>
    <w:rsid w:val="0055311D"/>
    <w:rsid w:val="00553DF6"/>
    <w:rsid w:val="00557059"/>
    <w:rsid w:val="00560024"/>
    <w:rsid w:val="00560A4D"/>
    <w:rsid w:val="005621C2"/>
    <w:rsid w:val="00564DFB"/>
    <w:rsid w:val="00567DF8"/>
    <w:rsid w:val="005733BA"/>
    <w:rsid w:val="00574A10"/>
    <w:rsid w:val="00574F9E"/>
    <w:rsid w:val="0057587C"/>
    <w:rsid w:val="00584CA1"/>
    <w:rsid w:val="005861C5"/>
    <w:rsid w:val="00586E94"/>
    <w:rsid w:val="0059114E"/>
    <w:rsid w:val="005924C2"/>
    <w:rsid w:val="0059559E"/>
    <w:rsid w:val="00596F4B"/>
    <w:rsid w:val="0059729F"/>
    <w:rsid w:val="005979A8"/>
    <w:rsid w:val="005A070D"/>
    <w:rsid w:val="005A30B6"/>
    <w:rsid w:val="005A71E9"/>
    <w:rsid w:val="005B0F7C"/>
    <w:rsid w:val="005B2171"/>
    <w:rsid w:val="005B3152"/>
    <w:rsid w:val="005B341C"/>
    <w:rsid w:val="005B3AE0"/>
    <w:rsid w:val="005C4E4D"/>
    <w:rsid w:val="005C6A49"/>
    <w:rsid w:val="005D08CC"/>
    <w:rsid w:val="005D1CA1"/>
    <w:rsid w:val="005D380F"/>
    <w:rsid w:val="005D3E36"/>
    <w:rsid w:val="005D5F63"/>
    <w:rsid w:val="005E0D36"/>
    <w:rsid w:val="005E17F9"/>
    <w:rsid w:val="005E3F89"/>
    <w:rsid w:val="005E4699"/>
    <w:rsid w:val="005E5BE1"/>
    <w:rsid w:val="005F149B"/>
    <w:rsid w:val="005F26F3"/>
    <w:rsid w:val="006021D7"/>
    <w:rsid w:val="0060421E"/>
    <w:rsid w:val="00604A71"/>
    <w:rsid w:val="00610673"/>
    <w:rsid w:val="0061198C"/>
    <w:rsid w:val="00611E91"/>
    <w:rsid w:val="00614D23"/>
    <w:rsid w:val="00615D5C"/>
    <w:rsid w:val="00617C8B"/>
    <w:rsid w:val="00617DF0"/>
    <w:rsid w:val="006207C4"/>
    <w:rsid w:val="0062172A"/>
    <w:rsid w:val="006233B4"/>
    <w:rsid w:val="0063238A"/>
    <w:rsid w:val="006324A0"/>
    <w:rsid w:val="00633627"/>
    <w:rsid w:val="00633B7E"/>
    <w:rsid w:val="00636B56"/>
    <w:rsid w:val="00637C4D"/>
    <w:rsid w:val="006453D1"/>
    <w:rsid w:val="006468CE"/>
    <w:rsid w:val="00647770"/>
    <w:rsid w:val="00651A54"/>
    <w:rsid w:val="00652795"/>
    <w:rsid w:val="00654813"/>
    <w:rsid w:val="00655D88"/>
    <w:rsid w:val="00655E7A"/>
    <w:rsid w:val="00657DB4"/>
    <w:rsid w:val="0066298F"/>
    <w:rsid w:val="00662B90"/>
    <w:rsid w:val="006630F9"/>
    <w:rsid w:val="0066510F"/>
    <w:rsid w:val="00672322"/>
    <w:rsid w:val="00677C96"/>
    <w:rsid w:val="00680F4A"/>
    <w:rsid w:val="00681BFA"/>
    <w:rsid w:val="00683EDC"/>
    <w:rsid w:val="006863E8"/>
    <w:rsid w:val="006875F2"/>
    <w:rsid w:val="00694F84"/>
    <w:rsid w:val="00695F83"/>
    <w:rsid w:val="006A6CDB"/>
    <w:rsid w:val="006A7D87"/>
    <w:rsid w:val="006B0B78"/>
    <w:rsid w:val="006B16F7"/>
    <w:rsid w:val="006B2359"/>
    <w:rsid w:val="006B2592"/>
    <w:rsid w:val="006B325E"/>
    <w:rsid w:val="006B3D3A"/>
    <w:rsid w:val="006C21C1"/>
    <w:rsid w:val="006C21D9"/>
    <w:rsid w:val="006C2C7A"/>
    <w:rsid w:val="006C3DC9"/>
    <w:rsid w:val="006C5EE4"/>
    <w:rsid w:val="006C6724"/>
    <w:rsid w:val="006C6D2A"/>
    <w:rsid w:val="006D08F1"/>
    <w:rsid w:val="006D0B21"/>
    <w:rsid w:val="006D3326"/>
    <w:rsid w:val="006D42E9"/>
    <w:rsid w:val="006D4908"/>
    <w:rsid w:val="006D5E2A"/>
    <w:rsid w:val="006D60F3"/>
    <w:rsid w:val="006E1F37"/>
    <w:rsid w:val="006F1BCC"/>
    <w:rsid w:val="006F200D"/>
    <w:rsid w:val="006F452A"/>
    <w:rsid w:val="006F6D03"/>
    <w:rsid w:val="006F7A77"/>
    <w:rsid w:val="00705120"/>
    <w:rsid w:val="00705A47"/>
    <w:rsid w:val="00713D69"/>
    <w:rsid w:val="0071795E"/>
    <w:rsid w:val="0072286F"/>
    <w:rsid w:val="00730856"/>
    <w:rsid w:val="00731D63"/>
    <w:rsid w:val="00732DC7"/>
    <w:rsid w:val="00734680"/>
    <w:rsid w:val="00740E14"/>
    <w:rsid w:val="00745692"/>
    <w:rsid w:val="00746916"/>
    <w:rsid w:val="00750406"/>
    <w:rsid w:val="0075081B"/>
    <w:rsid w:val="00750921"/>
    <w:rsid w:val="0075183C"/>
    <w:rsid w:val="007563FB"/>
    <w:rsid w:val="00760EC8"/>
    <w:rsid w:val="0076417F"/>
    <w:rsid w:val="00766A5D"/>
    <w:rsid w:val="00766F01"/>
    <w:rsid w:val="0076727C"/>
    <w:rsid w:val="007675B7"/>
    <w:rsid w:val="00770041"/>
    <w:rsid w:val="00770261"/>
    <w:rsid w:val="00770841"/>
    <w:rsid w:val="00770847"/>
    <w:rsid w:val="00771C53"/>
    <w:rsid w:val="0077252C"/>
    <w:rsid w:val="00772C0B"/>
    <w:rsid w:val="00780057"/>
    <w:rsid w:val="0078028B"/>
    <w:rsid w:val="00782BA5"/>
    <w:rsid w:val="00782CF3"/>
    <w:rsid w:val="007944AA"/>
    <w:rsid w:val="007A2C7D"/>
    <w:rsid w:val="007A459E"/>
    <w:rsid w:val="007A5E29"/>
    <w:rsid w:val="007B2790"/>
    <w:rsid w:val="007B43FF"/>
    <w:rsid w:val="007B4B00"/>
    <w:rsid w:val="007B5414"/>
    <w:rsid w:val="007B592D"/>
    <w:rsid w:val="007B6B56"/>
    <w:rsid w:val="007C0617"/>
    <w:rsid w:val="007C3676"/>
    <w:rsid w:val="007C6AD4"/>
    <w:rsid w:val="007D1131"/>
    <w:rsid w:val="007D3B39"/>
    <w:rsid w:val="007D502C"/>
    <w:rsid w:val="007D6808"/>
    <w:rsid w:val="007D7463"/>
    <w:rsid w:val="007E21D5"/>
    <w:rsid w:val="007E259E"/>
    <w:rsid w:val="007E2BE9"/>
    <w:rsid w:val="007E3A52"/>
    <w:rsid w:val="007E574C"/>
    <w:rsid w:val="007F0F48"/>
    <w:rsid w:val="007F3362"/>
    <w:rsid w:val="007F4695"/>
    <w:rsid w:val="007F7620"/>
    <w:rsid w:val="008001FB"/>
    <w:rsid w:val="00800B4E"/>
    <w:rsid w:val="00801406"/>
    <w:rsid w:val="00802D50"/>
    <w:rsid w:val="00803C3D"/>
    <w:rsid w:val="008048A0"/>
    <w:rsid w:val="008115C8"/>
    <w:rsid w:val="008116B2"/>
    <w:rsid w:val="00811E92"/>
    <w:rsid w:val="00815855"/>
    <w:rsid w:val="00816383"/>
    <w:rsid w:val="00820B4E"/>
    <w:rsid w:val="00821E68"/>
    <w:rsid w:val="008220D5"/>
    <w:rsid w:val="00824353"/>
    <w:rsid w:val="00824974"/>
    <w:rsid w:val="0082616A"/>
    <w:rsid w:val="00826D71"/>
    <w:rsid w:val="008301D1"/>
    <w:rsid w:val="00831EC6"/>
    <w:rsid w:val="008354F5"/>
    <w:rsid w:val="0083563A"/>
    <w:rsid w:val="00837FA0"/>
    <w:rsid w:val="00840050"/>
    <w:rsid w:val="00840344"/>
    <w:rsid w:val="00841066"/>
    <w:rsid w:val="008521A0"/>
    <w:rsid w:val="008528C6"/>
    <w:rsid w:val="00852A57"/>
    <w:rsid w:val="008607BB"/>
    <w:rsid w:val="00862522"/>
    <w:rsid w:val="00866616"/>
    <w:rsid w:val="0087080F"/>
    <w:rsid w:val="00872770"/>
    <w:rsid w:val="0087309F"/>
    <w:rsid w:val="0087359C"/>
    <w:rsid w:val="008763A0"/>
    <w:rsid w:val="00876E21"/>
    <w:rsid w:val="00877669"/>
    <w:rsid w:val="008841F6"/>
    <w:rsid w:val="00885B8E"/>
    <w:rsid w:val="00885DC3"/>
    <w:rsid w:val="0088614D"/>
    <w:rsid w:val="008869A0"/>
    <w:rsid w:val="00890098"/>
    <w:rsid w:val="0089257B"/>
    <w:rsid w:val="00892D61"/>
    <w:rsid w:val="00897AE9"/>
    <w:rsid w:val="008A14CB"/>
    <w:rsid w:val="008B1830"/>
    <w:rsid w:val="008B373B"/>
    <w:rsid w:val="008B4BA3"/>
    <w:rsid w:val="008B6B8B"/>
    <w:rsid w:val="008C0EFE"/>
    <w:rsid w:val="008C18EA"/>
    <w:rsid w:val="008C1FB0"/>
    <w:rsid w:val="008C2AD6"/>
    <w:rsid w:val="008C5154"/>
    <w:rsid w:val="008C74AD"/>
    <w:rsid w:val="008C7A05"/>
    <w:rsid w:val="008D13B0"/>
    <w:rsid w:val="008D38FF"/>
    <w:rsid w:val="008D422C"/>
    <w:rsid w:val="008D4B69"/>
    <w:rsid w:val="008D68E6"/>
    <w:rsid w:val="008E0A86"/>
    <w:rsid w:val="008E1DA0"/>
    <w:rsid w:val="008E5016"/>
    <w:rsid w:val="008E5A48"/>
    <w:rsid w:val="008F0486"/>
    <w:rsid w:val="008F6663"/>
    <w:rsid w:val="008F6AC2"/>
    <w:rsid w:val="00902247"/>
    <w:rsid w:val="009032F5"/>
    <w:rsid w:val="00903B15"/>
    <w:rsid w:val="009053A2"/>
    <w:rsid w:val="00905DC1"/>
    <w:rsid w:val="00906551"/>
    <w:rsid w:val="00911F82"/>
    <w:rsid w:val="0091203E"/>
    <w:rsid w:val="00917FCD"/>
    <w:rsid w:val="00922661"/>
    <w:rsid w:val="0092451D"/>
    <w:rsid w:val="0092477E"/>
    <w:rsid w:val="0092724F"/>
    <w:rsid w:val="00933613"/>
    <w:rsid w:val="00946C94"/>
    <w:rsid w:val="00951DD2"/>
    <w:rsid w:val="00951FED"/>
    <w:rsid w:val="00955F4B"/>
    <w:rsid w:val="00957949"/>
    <w:rsid w:val="00960CE2"/>
    <w:rsid w:val="00960E2E"/>
    <w:rsid w:val="009621B4"/>
    <w:rsid w:val="0096357D"/>
    <w:rsid w:val="009637C4"/>
    <w:rsid w:val="009738E3"/>
    <w:rsid w:val="00975437"/>
    <w:rsid w:val="009801B1"/>
    <w:rsid w:val="0098049B"/>
    <w:rsid w:val="00980537"/>
    <w:rsid w:val="009826CE"/>
    <w:rsid w:val="00983822"/>
    <w:rsid w:val="009842CB"/>
    <w:rsid w:val="00984353"/>
    <w:rsid w:val="00986105"/>
    <w:rsid w:val="00987B5D"/>
    <w:rsid w:val="0099224B"/>
    <w:rsid w:val="009925A3"/>
    <w:rsid w:val="00994230"/>
    <w:rsid w:val="009974E2"/>
    <w:rsid w:val="00997FF2"/>
    <w:rsid w:val="009A06AD"/>
    <w:rsid w:val="009A53B7"/>
    <w:rsid w:val="009A5B8A"/>
    <w:rsid w:val="009A6985"/>
    <w:rsid w:val="009B2C3F"/>
    <w:rsid w:val="009C0974"/>
    <w:rsid w:val="009C263C"/>
    <w:rsid w:val="009C27A7"/>
    <w:rsid w:val="009C2811"/>
    <w:rsid w:val="009C6087"/>
    <w:rsid w:val="009C6D09"/>
    <w:rsid w:val="009C7F77"/>
    <w:rsid w:val="009D168F"/>
    <w:rsid w:val="009D26D6"/>
    <w:rsid w:val="009D34CE"/>
    <w:rsid w:val="009D3E81"/>
    <w:rsid w:val="009D4775"/>
    <w:rsid w:val="009D4BD2"/>
    <w:rsid w:val="009E0A71"/>
    <w:rsid w:val="009E1E9C"/>
    <w:rsid w:val="009E3670"/>
    <w:rsid w:val="009E48FA"/>
    <w:rsid w:val="009E4BFE"/>
    <w:rsid w:val="009E54D4"/>
    <w:rsid w:val="009E586D"/>
    <w:rsid w:val="009E63F0"/>
    <w:rsid w:val="009E7BBF"/>
    <w:rsid w:val="009F0DC9"/>
    <w:rsid w:val="009F4C5B"/>
    <w:rsid w:val="009F6C0D"/>
    <w:rsid w:val="00A0080F"/>
    <w:rsid w:val="00A00ED5"/>
    <w:rsid w:val="00A02931"/>
    <w:rsid w:val="00A02AD0"/>
    <w:rsid w:val="00A03299"/>
    <w:rsid w:val="00A04418"/>
    <w:rsid w:val="00A05C5B"/>
    <w:rsid w:val="00A073D4"/>
    <w:rsid w:val="00A12213"/>
    <w:rsid w:val="00A1252C"/>
    <w:rsid w:val="00A12A96"/>
    <w:rsid w:val="00A14586"/>
    <w:rsid w:val="00A159D9"/>
    <w:rsid w:val="00A1640D"/>
    <w:rsid w:val="00A16D17"/>
    <w:rsid w:val="00A17851"/>
    <w:rsid w:val="00A25705"/>
    <w:rsid w:val="00A304B9"/>
    <w:rsid w:val="00A30C1D"/>
    <w:rsid w:val="00A313F2"/>
    <w:rsid w:val="00A32B7A"/>
    <w:rsid w:val="00A3555B"/>
    <w:rsid w:val="00A40965"/>
    <w:rsid w:val="00A40E1E"/>
    <w:rsid w:val="00A43BC9"/>
    <w:rsid w:val="00A44714"/>
    <w:rsid w:val="00A44B7E"/>
    <w:rsid w:val="00A46B7F"/>
    <w:rsid w:val="00A50E9D"/>
    <w:rsid w:val="00A519EF"/>
    <w:rsid w:val="00A52BAC"/>
    <w:rsid w:val="00A53A72"/>
    <w:rsid w:val="00A57016"/>
    <w:rsid w:val="00A60C98"/>
    <w:rsid w:val="00A60F35"/>
    <w:rsid w:val="00A61117"/>
    <w:rsid w:val="00A64131"/>
    <w:rsid w:val="00A6643F"/>
    <w:rsid w:val="00A75EDA"/>
    <w:rsid w:val="00A76652"/>
    <w:rsid w:val="00A77566"/>
    <w:rsid w:val="00A8305A"/>
    <w:rsid w:val="00A83B12"/>
    <w:rsid w:val="00A91A19"/>
    <w:rsid w:val="00A9229A"/>
    <w:rsid w:val="00A9275D"/>
    <w:rsid w:val="00A93FDB"/>
    <w:rsid w:val="00A97B25"/>
    <w:rsid w:val="00AA26A0"/>
    <w:rsid w:val="00AA6AD2"/>
    <w:rsid w:val="00AB06A3"/>
    <w:rsid w:val="00AB45D2"/>
    <w:rsid w:val="00AC3385"/>
    <w:rsid w:val="00AC4A25"/>
    <w:rsid w:val="00AC4AD0"/>
    <w:rsid w:val="00AD69E6"/>
    <w:rsid w:val="00AE1282"/>
    <w:rsid w:val="00AE12ED"/>
    <w:rsid w:val="00AE686E"/>
    <w:rsid w:val="00AE7F68"/>
    <w:rsid w:val="00AF2587"/>
    <w:rsid w:val="00AF7B6D"/>
    <w:rsid w:val="00B0051A"/>
    <w:rsid w:val="00B006C4"/>
    <w:rsid w:val="00B01FC7"/>
    <w:rsid w:val="00B02330"/>
    <w:rsid w:val="00B02540"/>
    <w:rsid w:val="00B02694"/>
    <w:rsid w:val="00B038ED"/>
    <w:rsid w:val="00B05031"/>
    <w:rsid w:val="00B05152"/>
    <w:rsid w:val="00B06478"/>
    <w:rsid w:val="00B0659D"/>
    <w:rsid w:val="00B10344"/>
    <w:rsid w:val="00B10A5E"/>
    <w:rsid w:val="00B13EB5"/>
    <w:rsid w:val="00B15F8A"/>
    <w:rsid w:val="00B16140"/>
    <w:rsid w:val="00B16AE0"/>
    <w:rsid w:val="00B216BC"/>
    <w:rsid w:val="00B21F0C"/>
    <w:rsid w:val="00B22442"/>
    <w:rsid w:val="00B26526"/>
    <w:rsid w:val="00B2691E"/>
    <w:rsid w:val="00B33A5D"/>
    <w:rsid w:val="00B33BEB"/>
    <w:rsid w:val="00B35824"/>
    <w:rsid w:val="00B3585B"/>
    <w:rsid w:val="00B37F00"/>
    <w:rsid w:val="00B4780E"/>
    <w:rsid w:val="00B55344"/>
    <w:rsid w:val="00B607C4"/>
    <w:rsid w:val="00B62B67"/>
    <w:rsid w:val="00B63EB4"/>
    <w:rsid w:val="00B671AC"/>
    <w:rsid w:val="00B67224"/>
    <w:rsid w:val="00B67F54"/>
    <w:rsid w:val="00B735AF"/>
    <w:rsid w:val="00B73960"/>
    <w:rsid w:val="00B73D01"/>
    <w:rsid w:val="00B81DAA"/>
    <w:rsid w:val="00B8239A"/>
    <w:rsid w:val="00B834F9"/>
    <w:rsid w:val="00B860E5"/>
    <w:rsid w:val="00B879A8"/>
    <w:rsid w:val="00B90074"/>
    <w:rsid w:val="00B9041A"/>
    <w:rsid w:val="00BA08C2"/>
    <w:rsid w:val="00BA471D"/>
    <w:rsid w:val="00BA5020"/>
    <w:rsid w:val="00BA736A"/>
    <w:rsid w:val="00BA7F1A"/>
    <w:rsid w:val="00BB3AA9"/>
    <w:rsid w:val="00BB4DDD"/>
    <w:rsid w:val="00BB71A6"/>
    <w:rsid w:val="00BB74F5"/>
    <w:rsid w:val="00BC21A6"/>
    <w:rsid w:val="00BC5AB3"/>
    <w:rsid w:val="00BC7076"/>
    <w:rsid w:val="00BD0070"/>
    <w:rsid w:val="00BD0C91"/>
    <w:rsid w:val="00BD22C4"/>
    <w:rsid w:val="00BD43E6"/>
    <w:rsid w:val="00BD4833"/>
    <w:rsid w:val="00BF5DCC"/>
    <w:rsid w:val="00C00C57"/>
    <w:rsid w:val="00C02316"/>
    <w:rsid w:val="00C04797"/>
    <w:rsid w:val="00C07A8A"/>
    <w:rsid w:val="00C11D6C"/>
    <w:rsid w:val="00C1354F"/>
    <w:rsid w:val="00C13AE4"/>
    <w:rsid w:val="00C213CD"/>
    <w:rsid w:val="00C21657"/>
    <w:rsid w:val="00C22906"/>
    <w:rsid w:val="00C26EC3"/>
    <w:rsid w:val="00C28BF4"/>
    <w:rsid w:val="00C3248A"/>
    <w:rsid w:val="00C3283C"/>
    <w:rsid w:val="00C36D43"/>
    <w:rsid w:val="00C37829"/>
    <w:rsid w:val="00C403F8"/>
    <w:rsid w:val="00C41206"/>
    <w:rsid w:val="00C45058"/>
    <w:rsid w:val="00C460DD"/>
    <w:rsid w:val="00C47236"/>
    <w:rsid w:val="00C51B0D"/>
    <w:rsid w:val="00C553A2"/>
    <w:rsid w:val="00C5553E"/>
    <w:rsid w:val="00C55565"/>
    <w:rsid w:val="00C5601F"/>
    <w:rsid w:val="00C575B2"/>
    <w:rsid w:val="00C60A0F"/>
    <w:rsid w:val="00C6192E"/>
    <w:rsid w:val="00C6194A"/>
    <w:rsid w:val="00C63EE7"/>
    <w:rsid w:val="00C67BE9"/>
    <w:rsid w:val="00C70FE5"/>
    <w:rsid w:val="00C714DC"/>
    <w:rsid w:val="00C7226A"/>
    <w:rsid w:val="00C744DF"/>
    <w:rsid w:val="00C7516C"/>
    <w:rsid w:val="00C76F59"/>
    <w:rsid w:val="00C7788F"/>
    <w:rsid w:val="00C779ED"/>
    <w:rsid w:val="00C8090D"/>
    <w:rsid w:val="00C8629C"/>
    <w:rsid w:val="00C875C5"/>
    <w:rsid w:val="00C90BEB"/>
    <w:rsid w:val="00C90C7A"/>
    <w:rsid w:val="00C92332"/>
    <w:rsid w:val="00C9359D"/>
    <w:rsid w:val="00C9687F"/>
    <w:rsid w:val="00CA7131"/>
    <w:rsid w:val="00CB0794"/>
    <w:rsid w:val="00CB0B03"/>
    <w:rsid w:val="00CB13A6"/>
    <w:rsid w:val="00CB38C1"/>
    <w:rsid w:val="00CB428A"/>
    <w:rsid w:val="00CB511B"/>
    <w:rsid w:val="00CB549B"/>
    <w:rsid w:val="00CB5D5F"/>
    <w:rsid w:val="00CB6534"/>
    <w:rsid w:val="00CD2447"/>
    <w:rsid w:val="00CD2AA3"/>
    <w:rsid w:val="00CD38C0"/>
    <w:rsid w:val="00CE2904"/>
    <w:rsid w:val="00CE2A04"/>
    <w:rsid w:val="00CE3802"/>
    <w:rsid w:val="00CE79AF"/>
    <w:rsid w:val="00CF1DDC"/>
    <w:rsid w:val="00CF3289"/>
    <w:rsid w:val="00D01B80"/>
    <w:rsid w:val="00D02B21"/>
    <w:rsid w:val="00D07997"/>
    <w:rsid w:val="00D07F13"/>
    <w:rsid w:val="00D106EF"/>
    <w:rsid w:val="00D10D55"/>
    <w:rsid w:val="00D130F6"/>
    <w:rsid w:val="00D144D9"/>
    <w:rsid w:val="00D1691D"/>
    <w:rsid w:val="00D176C9"/>
    <w:rsid w:val="00D17E9F"/>
    <w:rsid w:val="00D20EB3"/>
    <w:rsid w:val="00D2131E"/>
    <w:rsid w:val="00D21DD4"/>
    <w:rsid w:val="00D251CC"/>
    <w:rsid w:val="00D253DA"/>
    <w:rsid w:val="00D270C2"/>
    <w:rsid w:val="00D3440F"/>
    <w:rsid w:val="00D35005"/>
    <w:rsid w:val="00D359F5"/>
    <w:rsid w:val="00D35ABC"/>
    <w:rsid w:val="00D3653A"/>
    <w:rsid w:val="00D4273A"/>
    <w:rsid w:val="00D42899"/>
    <w:rsid w:val="00D438FA"/>
    <w:rsid w:val="00D44D48"/>
    <w:rsid w:val="00D44EFD"/>
    <w:rsid w:val="00D501B3"/>
    <w:rsid w:val="00D50D30"/>
    <w:rsid w:val="00D53C24"/>
    <w:rsid w:val="00D53CBD"/>
    <w:rsid w:val="00D5410E"/>
    <w:rsid w:val="00D550EB"/>
    <w:rsid w:val="00D55460"/>
    <w:rsid w:val="00D56353"/>
    <w:rsid w:val="00D56555"/>
    <w:rsid w:val="00D57427"/>
    <w:rsid w:val="00D5776D"/>
    <w:rsid w:val="00D6023C"/>
    <w:rsid w:val="00D625EB"/>
    <w:rsid w:val="00D628B1"/>
    <w:rsid w:val="00D63255"/>
    <w:rsid w:val="00D655E7"/>
    <w:rsid w:val="00D712A4"/>
    <w:rsid w:val="00D725C3"/>
    <w:rsid w:val="00D74B43"/>
    <w:rsid w:val="00D762C0"/>
    <w:rsid w:val="00D818FB"/>
    <w:rsid w:val="00D8421E"/>
    <w:rsid w:val="00D94CE0"/>
    <w:rsid w:val="00DA1E2C"/>
    <w:rsid w:val="00DA20C0"/>
    <w:rsid w:val="00DA7B14"/>
    <w:rsid w:val="00DB0514"/>
    <w:rsid w:val="00DB1E7E"/>
    <w:rsid w:val="00DB3BC1"/>
    <w:rsid w:val="00DB7E0F"/>
    <w:rsid w:val="00DC01FF"/>
    <w:rsid w:val="00DC2A8F"/>
    <w:rsid w:val="00DC65BA"/>
    <w:rsid w:val="00DC6824"/>
    <w:rsid w:val="00DC7B59"/>
    <w:rsid w:val="00DD2D63"/>
    <w:rsid w:val="00DD67A8"/>
    <w:rsid w:val="00DE37D2"/>
    <w:rsid w:val="00DE37EB"/>
    <w:rsid w:val="00DE387F"/>
    <w:rsid w:val="00DE3F3C"/>
    <w:rsid w:val="00DE6565"/>
    <w:rsid w:val="00DF09DD"/>
    <w:rsid w:val="00DF41D3"/>
    <w:rsid w:val="00E00459"/>
    <w:rsid w:val="00E0051A"/>
    <w:rsid w:val="00E011D8"/>
    <w:rsid w:val="00E03BF6"/>
    <w:rsid w:val="00E06D50"/>
    <w:rsid w:val="00E0738C"/>
    <w:rsid w:val="00E0780C"/>
    <w:rsid w:val="00E12088"/>
    <w:rsid w:val="00E130DF"/>
    <w:rsid w:val="00E1331E"/>
    <w:rsid w:val="00E2151B"/>
    <w:rsid w:val="00E275C3"/>
    <w:rsid w:val="00E30323"/>
    <w:rsid w:val="00E33919"/>
    <w:rsid w:val="00E347A7"/>
    <w:rsid w:val="00E34FF0"/>
    <w:rsid w:val="00E36C14"/>
    <w:rsid w:val="00E42C64"/>
    <w:rsid w:val="00E43340"/>
    <w:rsid w:val="00E44FE8"/>
    <w:rsid w:val="00E5036D"/>
    <w:rsid w:val="00E523EC"/>
    <w:rsid w:val="00E52EC7"/>
    <w:rsid w:val="00E52F7A"/>
    <w:rsid w:val="00E53D17"/>
    <w:rsid w:val="00E54ECA"/>
    <w:rsid w:val="00E55A48"/>
    <w:rsid w:val="00E55C28"/>
    <w:rsid w:val="00E55CBE"/>
    <w:rsid w:val="00E55EB8"/>
    <w:rsid w:val="00E56B9D"/>
    <w:rsid w:val="00E573E4"/>
    <w:rsid w:val="00E61323"/>
    <w:rsid w:val="00E626C5"/>
    <w:rsid w:val="00E62FCD"/>
    <w:rsid w:val="00E635DF"/>
    <w:rsid w:val="00E666E5"/>
    <w:rsid w:val="00E703D2"/>
    <w:rsid w:val="00E703D4"/>
    <w:rsid w:val="00E72384"/>
    <w:rsid w:val="00E73F44"/>
    <w:rsid w:val="00E75DFF"/>
    <w:rsid w:val="00E76C7D"/>
    <w:rsid w:val="00E81684"/>
    <w:rsid w:val="00E8320C"/>
    <w:rsid w:val="00E847A5"/>
    <w:rsid w:val="00E867F7"/>
    <w:rsid w:val="00E868FF"/>
    <w:rsid w:val="00E93C45"/>
    <w:rsid w:val="00E94EE3"/>
    <w:rsid w:val="00EA1CA8"/>
    <w:rsid w:val="00EA27FB"/>
    <w:rsid w:val="00EA38B4"/>
    <w:rsid w:val="00EA4447"/>
    <w:rsid w:val="00EA445B"/>
    <w:rsid w:val="00EA5FAA"/>
    <w:rsid w:val="00EB1B13"/>
    <w:rsid w:val="00EB29DE"/>
    <w:rsid w:val="00EB783F"/>
    <w:rsid w:val="00EC29C7"/>
    <w:rsid w:val="00ED0FCE"/>
    <w:rsid w:val="00ED629B"/>
    <w:rsid w:val="00ED79FB"/>
    <w:rsid w:val="00EE24AC"/>
    <w:rsid w:val="00EE2892"/>
    <w:rsid w:val="00EE6CA6"/>
    <w:rsid w:val="00EF003D"/>
    <w:rsid w:val="00EF20A7"/>
    <w:rsid w:val="00EF25E1"/>
    <w:rsid w:val="00EF4182"/>
    <w:rsid w:val="00EF4BA9"/>
    <w:rsid w:val="00EF4CA2"/>
    <w:rsid w:val="00EF589F"/>
    <w:rsid w:val="00F00952"/>
    <w:rsid w:val="00F04F46"/>
    <w:rsid w:val="00F06426"/>
    <w:rsid w:val="00F108B9"/>
    <w:rsid w:val="00F10C85"/>
    <w:rsid w:val="00F113D6"/>
    <w:rsid w:val="00F11A55"/>
    <w:rsid w:val="00F14606"/>
    <w:rsid w:val="00F15115"/>
    <w:rsid w:val="00F20841"/>
    <w:rsid w:val="00F239CF"/>
    <w:rsid w:val="00F2424F"/>
    <w:rsid w:val="00F25C0C"/>
    <w:rsid w:val="00F2695E"/>
    <w:rsid w:val="00F26FB5"/>
    <w:rsid w:val="00F30DC7"/>
    <w:rsid w:val="00F31048"/>
    <w:rsid w:val="00F32644"/>
    <w:rsid w:val="00F35B31"/>
    <w:rsid w:val="00F41163"/>
    <w:rsid w:val="00F423DC"/>
    <w:rsid w:val="00F46A9E"/>
    <w:rsid w:val="00F51071"/>
    <w:rsid w:val="00F53A79"/>
    <w:rsid w:val="00F53D64"/>
    <w:rsid w:val="00F57A22"/>
    <w:rsid w:val="00F64B97"/>
    <w:rsid w:val="00F66102"/>
    <w:rsid w:val="00F6728F"/>
    <w:rsid w:val="00F6780C"/>
    <w:rsid w:val="00F70C1D"/>
    <w:rsid w:val="00F7187E"/>
    <w:rsid w:val="00F71C5B"/>
    <w:rsid w:val="00F75D69"/>
    <w:rsid w:val="00F75F34"/>
    <w:rsid w:val="00F775C9"/>
    <w:rsid w:val="00F832FF"/>
    <w:rsid w:val="00F845E8"/>
    <w:rsid w:val="00F84E3F"/>
    <w:rsid w:val="00F91298"/>
    <w:rsid w:val="00F9329E"/>
    <w:rsid w:val="00F936FA"/>
    <w:rsid w:val="00F96318"/>
    <w:rsid w:val="00FA1DCE"/>
    <w:rsid w:val="00FA3A25"/>
    <w:rsid w:val="00FA59A5"/>
    <w:rsid w:val="00FB06CD"/>
    <w:rsid w:val="00FB2B7A"/>
    <w:rsid w:val="00FB3F5D"/>
    <w:rsid w:val="00FB5A8E"/>
    <w:rsid w:val="00FB608C"/>
    <w:rsid w:val="00FB6988"/>
    <w:rsid w:val="00FC03EA"/>
    <w:rsid w:val="00FC07D4"/>
    <w:rsid w:val="00FC201D"/>
    <w:rsid w:val="00FC43BB"/>
    <w:rsid w:val="00FC4A44"/>
    <w:rsid w:val="00FC7EDB"/>
    <w:rsid w:val="00FD0D28"/>
    <w:rsid w:val="00FD1E22"/>
    <w:rsid w:val="00FD3BCC"/>
    <w:rsid w:val="00FD4ADC"/>
    <w:rsid w:val="00FE0B0E"/>
    <w:rsid w:val="00FF3D2B"/>
    <w:rsid w:val="00FF519A"/>
    <w:rsid w:val="0F2B8C21"/>
    <w:rsid w:val="33D6D0F7"/>
    <w:rsid w:val="3A2359BC"/>
    <w:rsid w:val="4DF55966"/>
    <w:rsid w:val="510CC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FD4CAAA7-B927-4837-AF59-56E4D6E4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3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rsid w:val="00A02AD0"/>
    <w:rPr>
      <w:rFonts w:ascii="Arial" w:hAnsi="Arial" w:cs="Arial"/>
      <w:color w:val="635D63"/>
      <w:sz w:val="20"/>
      <w:szCs w:val="20"/>
    </w:rPr>
  </w:style>
  <w:style w:type="numbering" w:customStyle="1" w:styleId="WWOutlineListStyle5">
    <w:name w:val="WW_OutlineListStyle_5"/>
    <w:basedOn w:val="Geenlijst"/>
    <w:rsid w:val="00133C63"/>
    <w:pPr>
      <w:numPr>
        <w:numId w:val="10"/>
      </w:numPr>
    </w:pPr>
  </w:style>
  <w:style w:type="paragraph" w:customStyle="1" w:styleId="HVGHead1">
    <w:name w:val="HVGHead1"/>
    <w:basedOn w:val="Standaard"/>
    <w:next w:val="HVGHead2"/>
    <w:rsid w:val="00133C63"/>
    <w:pPr>
      <w:keepNext/>
      <w:numPr>
        <w:numId w:val="8"/>
      </w:numPr>
      <w:suppressAutoHyphens/>
      <w:autoSpaceDN w:val="0"/>
      <w:spacing w:before="240" w:line="260" w:lineRule="atLeast"/>
      <w:jc w:val="both"/>
      <w:outlineLvl w:val="0"/>
    </w:pPr>
    <w:rPr>
      <w:rFonts w:eastAsia="SimSun" w:cs="Times New Roman"/>
      <w:b/>
      <w:caps/>
      <w:color w:val="auto"/>
      <w:kern w:val="3"/>
      <w:szCs w:val="22"/>
      <w:lang w:val="en-GB"/>
    </w:rPr>
  </w:style>
  <w:style w:type="paragraph" w:customStyle="1" w:styleId="HVGHead2">
    <w:name w:val="HVGHead2"/>
    <w:basedOn w:val="Standaard"/>
    <w:rsid w:val="00133C63"/>
    <w:pPr>
      <w:numPr>
        <w:ilvl w:val="1"/>
        <w:numId w:val="8"/>
      </w:numPr>
      <w:suppressAutoHyphens/>
      <w:autoSpaceDN w:val="0"/>
      <w:spacing w:before="240" w:line="260" w:lineRule="atLeast"/>
      <w:jc w:val="both"/>
      <w:outlineLvl w:val="1"/>
    </w:pPr>
    <w:rPr>
      <w:rFonts w:eastAsia="SimSun" w:cs="Times New Roman"/>
      <w:color w:val="auto"/>
      <w:szCs w:val="22"/>
      <w:lang w:val="en-GB"/>
    </w:rPr>
  </w:style>
  <w:style w:type="paragraph" w:customStyle="1" w:styleId="HVGHead3">
    <w:name w:val="HVGHead3"/>
    <w:basedOn w:val="Standaard"/>
    <w:rsid w:val="00133C63"/>
    <w:pPr>
      <w:numPr>
        <w:ilvl w:val="2"/>
        <w:numId w:val="8"/>
      </w:numPr>
      <w:suppressAutoHyphens/>
      <w:autoSpaceDN w:val="0"/>
      <w:spacing w:before="240" w:line="260" w:lineRule="atLeast"/>
      <w:jc w:val="both"/>
      <w:outlineLvl w:val="2"/>
    </w:pPr>
    <w:rPr>
      <w:rFonts w:eastAsia="SimSun" w:cs="Times New Roman"/>
      <w:color w:val="auto"/>
      <w:szCs w:val="22"/>
      <w:lang w:val="en-GB"/>
    </w:rPr>
  </w:style>
  <w:style w:type="paragraph" w:customStyle="1" w:styleId="HVGHead4">
    <w:name w:val="HVGHead4"/>
    <w:basedOn w:val="Standaard"/>
    <w:rsid w:val="00133C63"/>
    <w:pPr>
      <w:numPr>
        <w:ilvl w:val="3"/>
        <w:numId w:val="8"/>
      </w:numPr>
      <w:tabs>
        <w:tab w:val="num" w:pos="360"/>
      </w:tabs>
      <w:suppressAutoHyphens/>
      <w:autoSpaceDN w:val="0"/>
      <w:spacing w:before="240" w:line="260" w:lineRule="atLeast"/>
      <w:ind w:left="0" w:firstLine="0"/>
      <w:jc w:val="both"/>
      <w:outlineLvl w:val="3"/>
    </w:pPr>
    <w:rPr>
      <w:rFonts w:eastAsia="SimSun" w:cs="Times New Roman"/>
      <w:color w:val="auto"/>
      <w:szCs w:val="22"/>
      <w:lang w:val="en-GB"/>
    </w:rPr>
  </w:style>
  <w:style w:type="paragraph" w:customStyle="1" w:styleId="HVGHead5">
    <w:name w:val="HVGHead5"/>
    <w:basedOn w:val="Standaard"/>
    <w:rsid w:val="00133C63"/>
    <w:pPr>
      <w:numPr>
        <w:ilvl w:val="4"/>
        <w:numId w:val="8"/>
      </w:numPr>
      <w:tabs>
        <w:tab w:val="num" w:pos="360"/>
      </w:tabs>
      <w:suppressAutoHyphens/>
      <w:autoSpaceDN w:val="0"/>
      <w:spacing w:before="240" w:line="260" w:lineRule="atLeast"/>
      <w:ind w:left="0" w:firstLine="0"/>
      <w:jc w:val="both"/>
      <w:outlineLvl w:val="4"/>
    </w:pPr>
    <w:rPr>
      <w:rFonts w:eastAsia="SimSun" w:cs="Times New Roman"/>
      <w:color w:val="auto"/>
      <w:szCs w:val="22"/>
      <w:lang w:val="en-GB"/>
    </w:rPr>
  </w:style>
  <w:style w:type="paragraph" w:styleId="Voetnoottekst">
    <w:name w:val="footnote text"/>
    <w:basedOn w:val="Standaard"/>
    <w:link w:val="VoetnoottekstChar"/>
    <w:uiPriority w:val="99"/>
    <w:semiHidden/>
    <w:unhideWhenUsed/>
    <w:rsid w:val="00780057"/>
    <w:pPr>
      <w:spacing w:line="240" w:lineRule="auto"/>
    </w:pPr>
  </w:style>
  <w:style w:type="character" w:customStyle="1" w:styleId="VoetnoottekstChar">
    <w:name w:val="Voetnoottekst Char"/>
    <w:basedOn w:val="Standaardalinea-lettertype"/>
    <w:link w:val="Voetnoottekst"/>
    <w:uiPriority w:val="99"/>
    <w:semiHidden/>
    <w:rsid w:val="00780057"/>
    <w:rPr>
      <w:rFonts w:ascii="Arial" w:hAnsi="Arial" w:cs="Arial"/>
      <w:color w:val="635D63"/>
      <w:sz w:val="20"/>
      <w:szCs w:val="20"/>
    </w:rPr>
  </w:style>
  <w:style w:type="character" w:styleId="Voetnootmarkering">
    <w:name w:val="footnote reference"/>
    <w:basedOn w:val="Standaardalinea-lettertype"/>
    <w:uiPriority w:val="99"/>
    <w:semiHidden/>
    <w:unhideWhenUsed/>
    <w:rsid w:val="00780057"/>
    <w:rPr>
      <w:vertAlign w:val="superscript"/>
    </w:rPr>
  </w:style>
  <w:style w:type="character" w:customStyle="1" w:styleId="cf01">
    <w:name w:val="cf01"/>
    <w:basedOn w:val="Standaardalinea-lettertype"/>
    <w:rsid w:val="00E868FF"/>
    <w:rPr>
      <w:rFonts w:ascii="Segoe UI" w:hAnsi="Segoe UI" w:cs="Segoe UI" w:hint="default"/>
      <w:color w:val="635D6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3262">
      <w:bodyDiv w:val="1"/>
      <w:marLeft w:val="0"/>
      <w:marRight w:val="0"/>
      <w:marTop w:val="0"/>
      <w:marBottom w:val="0"/>
      <w:divBdr>
        <w:top w:val="none" w:sz="0" w:space="0" w:color="auto"/>
        <w:left w:val="none" w:sz="0" w:space="0" w:color="auto"/>
        <w:bottom w:val="none" w:sz="0" w:space="0" w:color="auto"/>
        <w:right w:val="none" w:sz="0" w:space="0" w:color="auto"/>
      </w:divBdr>
    </w:div>
    <w:div w:id="10803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urity@enexis.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CEC7E9D6B62642AF163847C4C1DA1F" ma:contentTypeVersion="11" ma:contentTypeDescription="Een nieuw document maken." ma:contentTypeScope="" ma:versionID="3db4faac9897dc8e6cd75de7b756bbd5">
  <xsd:schema xmlns:xsd="http://www.w3.org/2001/XMLSchema" xmlns:xs="http://www.w3.org/2001/XMLSchema" xmlns:p="http://schemas.microsoft.com/office/2006/metadata/properties" xmlns:ns2="8438b1c0-70e3-4eb9-ac1c-4b3fda7d5b94" xmlns:ns3="53777070-56ec-4823-97ec-6be58360162f" targetNamespace="http://schemas.microsoft.com/office/2006/metadata/properties" ma:root="true" ma:fieldsID="5725f8d82d90c91e2b5a337a7070c2f4" ns2:_="" ns3:_="">
    <xsd:import namespace="8438b1c0-70e3-4eb9-ac1c-4b3fda7d5b94"/>
    <xsd:import namespace="53777070-56ec-4823-97ec-6be583601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b1c0-70e3-4eb9-ac1c-4b3fda7d5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77070-56ec-4823-97ec-6be5836016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3ea707-bde1-436e-b691-3a2c8631bc75}" ma:internalName="TaxCatchAll" ma:showField="CatchAllData" ma:web="53777070-56ec-4823-97ec-6be583601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777070-56ec-4823-97ec-6be58360162f" xsi:nil="true"/>
    <lcf76f155ced4ddcb4097134ff3c332f xmlns="8438b1c0-70e3-4eb9-ac1c-4b3fda7d5b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2.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3.xml><?xml version="1.0" encoding="utf-8"?>
<ds:datastoreItem xmlns:ds="http://schemas.openxmlformats.org/officeDocument/2006/customXml" ds:itemID="{5CC4FA85-9761-4B67-8ED9-46912E0D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b1c0-70e3-4eb9-ac1c-4b3fda7d5b94"/>
    <ds:schemaRef ds:uri="53777070-56ec-4823-97ec-6be58360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53777070-56ec-4823-97ec-6be58360162f"/>
    <ds:schemaRef ds:uri="8438b1c0-70e3-4eb9-ac1c-4b3fda7d5b94"/>
  </ds:schemaRefs>
</ds:datastoreItem>
</file>

<file path=docMetadata/LabelInfo.xml><?xml version="1.0" encoding="utf-8"?>
<clbl:labelList xmlns:clbl="http://schemas.microsoft.com/office/2020/mipLabelMetadata">
  <clbl:label id="{c77dc5d5-1840-4715-a0b4-893a2b371d80}" enabled="1" method="Standard" siteId="{ad89fa4f-e4a0-4ddb-9d18-f7eeec649ffc}"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7064</Words>
  <Characters>43022</Characters>
  <Application>Microsoft Office Word</Application>
  <DocSecurity>0</DocSecurity>
  <Lines>935</Lines>
  <Paragraphs>463</Paragraphs>
  <ScaleCrop>false</ScaleCrop>
  <Company/>
  <LinksUpToDate>false</LinksUpToDate>
  <CharactersWithSpaces>49623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dc:title>
  <dc:subject>Model Raamovereenkomst Diensten uit EIM met opm PWE 12-3-2025</dc:subject>
  <dc:creator>Blokx, Lenneke</dc:creator>
  <cp:keywords/>
  <dc:description/>
  <cp:lastModifiedBy>Tuinman, Rick</cp:lastModifiedBy>
  <cp:revision>2</cp:revision>
  <cp:lastPrinted>2025-05-28T22:31:00Z</cp:lastPrinted>
  <dcterms:created xsi:type="dcterms:W3CDTF">2026-07-07T07:54:00Z</dcterms:created>
  <dcterms:modified xsi:type="dcterms:W3CDTF">2026-07-07T07:54:00Z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0x01010060CEC7E9D6B62642AF163847C4C1DA1F</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docLang">
    <vt:lpwstr>nl</vt:lpwstr>
  </property>
  <property fmtid="{D5CDD505-2E9C-101B-9397-08002B2CF9AE}" pid="8" name="Onderwerp_xnet">
    <vt:lpwstr/>
  </property>
</Properties>
</file>