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B19600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F63B4F">
        <w:rPr>
          <w:rFonts w:asciiTheme="minorHAnsi" w:hAnsiTheme="minorHAnsi"/>
          <w:sz w:val="22"/>
          <w:szCs w:val="22"/>
        </w:rPr>
        <w:t xml:space="preserve"> C</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07864F94" w:rsidR="00CC1D2F" w:rsidRPr="008B10DA" w:rsidRDefault="00446BB2" w:rsidP="008B10DA">
            <w:pPr>
              <w:spacing w:line="276" w:lineRule="auto"/>
              <w:jc w:val="both"/>
              <w:rPr>
                <w:rFonts w:asciiTheme="minorHAnsi" w:hAnsiTheme="minorHAnsi" w:cs="Arial"/>
                <w:sz w:val="22"/>
                <w:szCs w:val="22"/>
              </w:rPr>
            </w:pPr>
            <w:r>
              <w:rPr>
                <w:rFonts w:asciiTheme="minorHAnsi" w:hAnsiTheme="minorHAnsi" w:cs="Arial"/>
                <w:sz w:val="22"/>
                <w:szCs w:val="22"/>
              </w:rPr>
              <w:t>AL2614</w:t>
            </w:r>
            <w:r w:rsidR="0090565C">
              <w:rPr>
                <w:rFonts w:asciiTheme="minorHAnsi" w:hAnsiTheme="minorHAnsi" w:cs="Arial"/>
                <w:sz w:val="22"/>
                <w:szCs w:val="22"/>
              </w:rPr>
              <w:t xml:space="preserve">6, </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281107A0"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w:t>
            </w:r>
            <w:r w:rsidR="00E86F76">
              <w:rPr>
                <w:rFonts w:asciiTheme="minorHAnsi" w:hAnsiTheme="minorHAnsi" w:cs="Arial"/>
                <w:sz w:val="22"/>
                <w:szCs w:val="22"/>
              </w:rPr>
              <w:t>1</w:t>
            </w:r>
            <w:r w:rsidRPr="00F71DA7">
              <w:rPr>
                <w:rFonts w:asciiTheme="minorHAnsi" w:hAnsiTheme="minorHAnsi" w:cs="Arial"/>
                <w:sz w:val="22"/>
                <w:szCs w:val="22"/>
              </w:rPr>
              <w:t xml:space="preserve"> </w:t>
            </w: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F71DA7"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2D01175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w:t>
            </w:r>
            <w:r w:rsidR="00E86F76">
              <w:rPr>
                <w:rFonts w:asciiTheme="minorHAnsi" w:hAnsiTheme="minorHAnsi" w:cs="Arial"/>
                <w:sz w:val="22"/>
                <w:szCs w:val="22"/>
              </w:rPr>
              <w:t>2</w:t>
            </w:r>
          </w:p>
          <w:p w14:paraId="77695236"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61377791"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Kerncompetentie </w:t>
            </w:r>
            <w:r w:rsidR="004021DE">
              <w:rPr>
                <w:rFonts w:asciiTheme="minorHAnsi" w:hAnsiTheme="minorHAnsi" w:cs="Arial"/>
                <w:sz w:val="22"/>
                <w:szCs w:val="22"/>
              </w:rPr>
              <w:t>3</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2AF596C5"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 xml:space="preserve">Kerncompetentie </w:t>
            </w:r>
            <w:r w:rsidR="004021DE">
              <w:rPr>
                <w:rFonts w:asciiTheme="minorHAnsi" w:hAnsiTheme="minorHAnsi" w:cs="Arial"/>
                <w:sz w:val="22"/>
                <w:szCs w:val="22"/>
              </w:rPr>
              <w:t>4</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02319"/>
    <w:rsid w:val="0031064B"/>
    <w:rsid w:val="003A5C96"/>
    <w:rsid w:val="004021DE"/>
    <w:rsid w:val="00446BB2"/>
    <w:rsid w:val="00476E3E"/>
    <w:rsid w:val="00634110"/>
    <w:rsid w:val="00654F7B"/>
    <w:rsid w:val="006A185B"/>
    <w:rsid w:val="008B10DA"/>
    <w:rsid w:val="0090565C"/>
    <w:rsid w:val="0091128A"/>
    <w:rsid w:val="00955454"/>
    <w:rsid w:val="009D2467"/>
    <w:rsid w:val="00A60762"/>
    <w:rsid w:val="00AC21AA"/>
    <w:rsid w:val="00AC66B7"/>
    <w:rsid w:val="00B745D2"/>
    <w:rsid w:val="00CC1D2F"/>
    <w:rsid w:val="00E86F76"/>
    <w:rsid w:val="00F211F4"/>
    <w:rsid w:val="00F275BF"/>
    <w:rsid w:val="00F63B4F"/>
    <w:rsid w:val="00F71D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4b67f7-38cf-4e59-a676-47b990a29515" xsi:nil="true"/>
    <lcf76f155ced4ddcb4097134ff3c332f xmlns="d91d5e72-1f03-4f73-a679-ecdeae3a8cd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1DE28456DFC46AB1A50BDBE9B2894" ma:contentTypeVersion="14" ma:contentTypeDescription="Create a new document." ma:contentTypeScope="" ma:versionID="89b1dc3f77b7a1d8ac6687c638aae129">
  <xsd:schema xmlns:xsd="http://www.w3.org/2001/XMLSchema" xmlns:xs="http://www.w3.org/2001/XMLSchema" xmlns:p="http://schemas.microsoft.com/office/2006/metadata/properties" xmlns:ns1="http://schemas.microsoft.com/sharepoint/v3" xmlns:ns2="d91d5e72-1f03-4f73-a679-ecdeae3a8cd1" xmlns:ns3="fa4b67f7-38cf-4e59-a676-47b990a29515" targetNamespace="http://schemas.microsoft.com/office/2006/metadata/properties" ma:root="true" ma:fieldsID="e2643a3fed72a9a22247853ffe831646" ns1:_="" ns2:_="" ns3:_="">
    <xsd:import namespace="http://schemas.microsoft.com/sharepoint/v3"/>
    <xsd:import namespace="d91d5e72-1f03-4f73-a679-ecdeae3a8cd1"/>
    <xsd:import namespace="fa4b67f7-38cf-4e59-a676-47b990a29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d5e72-1f03-4f73-a679-ecdeae3a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b67f7-38cf-4e59-a676-47b990a295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b7e962-d15f-4686-af7d-8042c9074474}" ma:internalName="TaxCatchAll" ma:showField="CatchAllData" ma:web="fa4b67f7-38cf-4e59-a676-47b990a29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http://schemas.microsoft.com/sharepoint/v3"/>
    <ds:schemaRef ds:uri="fa4b67f7-38cf-4e59-a676-47b990a29515"/>
    <ds:schemaRef ds:uri="d91d5e72-1f03-4f73-a679-ecdeae3a8cd1"/>
  </ds:schemaRefs>
</ds:datastoreItem>
</file>

<file path=customXml/itemProps2.xml><?xml version="1.0" encoding="utf-8"?>
<ds:datastoreItem xmlns:ds="http://schemas.openxmlformats.org/officeDocument/2006/customXml" ds:itemID="{C213B4D8-BDD0-424B-8061-FA5A3B0DFEA3}"/>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Marc Brinks</cp:lastModifiedBy>
  <cp:revision>4</cp:revision>
  <dcterms:created xsi:type="dcterms:W3CDTF">2026-06-22T08:36:00Z</dcterms:created>
  <dcterms:modified xsi:type="dcterms:W3CDTF">2026-07-08T07:22:00Z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0x010100DAD1DE28456DFC46AB1A50BDBE9B2894</vt:lpwstr>
  </property>
  <property fmtid="{D5CDD505-2E9C-101B-9397-08002B2CF9AE}" pid="40" name="Order">
    <vt:r8>383400</vt:r8>
  </property>
  <property fmtid="{D5CDD505-2E9C-101B-9397-08002B2CF9AE}" pid="41" name="xd_Signature">
    <vt:bool>false</vt:bool>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MSIP_Label_bfd2294e-4005-4687-af26-75cb69c0c802_Enabled">
    <vt:lpwstr>true</vt:lpwstr>
  </property>
  <property fmtid="{D5CDD505-2E9C-101B-9397-08002B2CF9AE}" pid="48" name="MSIP_Label_bfd2294e-4005-4687-af26-75cb69c0c802_SetDate">
    <vt:lpwstr>2026-06-14T15:58:23Z</vt:lpwstr>
  </property>
  <property fmtid="{D5CDD505-2E9C-101B-9397-08002B2CF9AE}" pid="49" name="MSIP_Label_bfd2294e-4005-4687-af26-75cb69c0c802_Method">
    <vt:lpwstr>Standard</vt:lpwstr>
  </property>
  <property fmtid="{D5CDD505-2E9C-101B-9397-08002B2CF9AE}" pid="50" name="MSIP_Label_bfd2294e-4005-4687-af26-75cb69c0c802_Name">
    <vt:lpwstr>Intern</vt:lpwstr>
  </property>
  <property fmtid="{D5CDD505-2E9C-101B-9397-08002B2CF9AE}" pid="51" name="MSIP_Label_bfd2294e-4005-4687-af26-75cb69c0c802_SiteId">
    <vt:lpwstr>183a353a-82e9-4abf-ac52-9b20cdc13211</vt:lpwstr>
  </property>
  <property fmtid="{D5CDD505-2E9C-101B-9397-08002B2CF9AE}" pid="52" name="MSIP_Label_bfd2294e-4005-4687-af26-75cb69c0c802_ActionId">
    <vt:lpwstr>6d18a84b-6c15-4c8b-9ced-37d491ef3576</vt:lpwstr>
  </property>
  <property fmtid="{D5CDD505-2E9C-101B-9397-08002B2CF9AE}" pid="53" name="MSIP_Label_bfd2294e-4005-4687-af26-75cb69c0c802_ContentBits">
    <vt:lpwstr>0</vt:lpwstr>
  </property>
  <property fmtid="{D5CDD505-2E9C-101B-9397-08002B2CF9AE}" pid="54" name="MSIP_Label_bfd2294e-4005-4687-af26-75cb69c0c802_Tag">
    <vt:lpwstr>10, 3, 0, 1</vt:lpwstr>
  </property>
  <property fmtid="{D5CDD505-2E9C-101B-9397-08002B2CF9AE}" pid="55" name="MediaServiceImageTags">
    <vt:lpwstr/>
  </property>
</Properties>
</file>