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8B38" w14:textId="6487B7DD" w:rsidR="00AC50E4" w:rsidRPr="00D90D14" w:rsidRDefault="00AC50E4" w:rsidP="00AC50E4">
      <w:pPr>
        <w:pStyle w:val="1-Kop1MemoCorversenBS"/>
        <w:numPr>
          <w:ilvl w:val="0"/>
          <w:numId w:val="0"/>
        </w:numPr>
        <w:ind w:left="425" w:hanging="425"/>
      </w:pPr>
      <w:bookmarkStart w:id="0" w:name="_Toc51168872"/>
      <w:bookmarkStart w:id="1" w:name="_Toc188624780"/>
      <w:r w:rsidRPr="00D90D14">
        <w:t xml:space="preserve">Bijlage </w:t>
      </w:r>
      <w:r w:rsidR="0036512C">
        <w:t>8</w:t>
      </w:r>
      <w:r w:rsidRPr="00D90D14">
        <w:t xml:space="preserve"> </w:t>
      </w:r>
      <w:r>
        <w:t xml:space="preserve">- </w:t>
      </w:r>
      <w:r w:rsidRPr="00D90D14">
        <w:t xml:space="preserve">Bouwblokken </w:t>
      </w:r>
      <w:proofErr w:type="spellStart"/>
      <w:r w:rsidRPr="00D90D14">
        <w:t>Social</w:t>
      </w:r>
      <w:proofErr w:type="spellEnd"/>
      <w:r w:rsidRPr="00D90D14">
        <w:t xml:space="preserve"> Return</w:t>
      </w:r>
      <w:bookmarkEnd w:id="0"/>
      <w:bookmarkEnd w:id="1"/>
    </w:p>
    <w:p w14:paraId="0899A113" w14:textId="77777777" w:rsidR="00AC50E4" w:rsidRPr="0054351F" w:rsidRDefault="00AC50E4" w:rsidP="00AC50E4">
      <w:pPr>
        <w:spacing w:line="280" w:lineRule="atLeast"/>
        <w:jc w:val="both"/>
        <w:rPr>
          <w:rFonts w:ascii="Trebuchet MS" w:hAnsi="Trebuchet MS" w:cs="Arial"/>
          <w:b/>
          <w:kern w:val="36"/>
        </w:rPr>
      </w:pPr>
      <w:proofErr w:type="spellStart"/>
      <w:r w:rsidRPr="0054351F">
        <w:rPr>
          <w:rFonts w:ascii="Trebuchet MS" w:hAnsi="Trebuchet MS" w:cs="Arial"/>
          <w:b/>
          <w:kern w:val="36"/>
        </w:rPr>
        <w:t>Social</w:t>
      </w:r>
      <w:proofErr w:type="spellEnd"/>
      <w:r w:rsidRPr="0054351F">
        <w:rPr>
          <w:rFonts w:ascii="Trebuchet MS" w:hAnsi="Trebuchet MS" w:cs="Arial"/>
          <w:b/>
          <w:kern w:val="36"/>
        </w:rPr>
        <w:t xml:space="preserve"> return bouwblokken</w:t>
      </w:r>
    </w:p>
    <w:p w14:paraId="08C50449"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 xml:space="preserve">De 11 gemeenten in de arbeidsregio Haaglanden en Zuid-Holland Centraal werken samen aan </w:t>
      </w:r>
      <w:proofErr w:type="spellStart"/>
      <w:r w:rsidRPr="0054351F">
        <w:rPr>
          <w:rFonts w:ascii="Trebuchet MS" w:hAnsi="Trebuchet MS" w:cs="Arial"/>
        </w:rPr>
        <w:t>Social</w:t>
      </w:r>
      <w:proofErr w:type="spellEnd"/>
      <w:r w:rsidRPr="0054351F">
        <w:rPr>
          <w:rFonts w:ascii="Trebuchet MS" w:hAnsi="Trebuchet MS" w:cs="Arial"/>
        </w:rPr>
        <w:t xml:space="preserve"> Return. De gemeenten gebruiken allemaal dezelfde bouwblokken.</w:t>
      </w:r>
    </w:p>
    <w:p w14:paraId="094228B5"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De 11 gemeenten zijn: Delft, Den Haag, Lansingerland, Leidschendam-Voorburg, Midden Delfland, Pijnacker-Nootdorp, Rijswijk, Voorschoten, Wassenaar, Westland en Zoetermeer. De gemeenten werken samen om de volgende 2 redenen:</w:t>
      </w:r>
    </w:p>
    <w:p w14:paraId="4A206678" w14:textId="77777777" w:rsidR="00AC50E4" w:rsidRPr="0054351F" w:rsidRDefault="00AC50E4" w:rsidP="00AC50E4">
      <w:pPr>
        <w:numPr>
          <w:ilvl w:val="0"/>
          <w:numId w:val="45"/>
        </w:numPr>
        <w:spacing w:line="280" w:lineRule="atLeast"/>
        <w:jc w:val="both"/>
        <w:rPr>
          <w:rFonts w:ascii="Trebuchet MS" w:hAnsi="Trebuchet MS" w:cs="Arial"/>
        </w:rPr>
      </w:pPr>
      <w:r w:rsidRPr="0054351F">
        <w:rPr>
          <w:rFonts w:ascii="Trebuchet MS" w:hAnsi="Trebuchet MS" w:cs="Arial"/>
        </w:rPr>
        <w:t>meer eenduidigheid voor werkgevers</w:t>
      </w:r>
    </w:p>
    <w:p w14:paraId="5807E4B5" w14:textId="77777777" w:rsidR="00AC50E4" w:rsidRPr="0054351F" w:rsidRDefault="00AC50E4" w:rsidP="00AC50E4">
      <w:pPr>
        <w:numPr>
          <w:ilvl w:val="0"/>
          <w:numId w:val="45"/>
        </w:numPr>
        <w:spacing w:line="280" w:lineRule="atLeast"/>
        <w:jc w:val="both"/>
        <w:rPr>
          <w:rFonts w:ascii="Trebuchet MS" w:hAnsi="Trebuchet MS" w:cs="Arial"/>
        </w:rPr>
      </w:pPr>
      <w:r w:rsidRPr="0054351F">
        <w:rPr>
          <w:rFonts w:ascii="Trebuchet MS" w:hAnsi="Trebuchet MS" w:cs="Arial"/>
        </w:rPr>
        <w:t>meer eenduidigheid bij gemeenschappelijke inkoop</w:t>
      </w:r>
    </w:p>
    <w:p w14:paraId="41DDC8CC"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 xml:space="preserve">Het bouwblokkenschema hieronder is van kracht op aanbestedingen met een </w:t>
      </w:r>
      <w:proofErr w:type="spellStart"/>
      <w:r w:rsidRPr="0054351F">
        <w:rPr>
          <w:rFonts w:ascii="Trebuchet MS" w:hAnsi="Trebuchet MS" w:cs="Arial"/>
        </w:rPr>
        <w:t>Social</w:t>
      </w:r>
      <w:proofErr w:type="spellEnd"/>
      <w:r w:rsidRPr="0054351F">
        <w:rPr>
          <w:rFonts w:ascii="Trebuchet MS" w:hAnsi="Trebuchet MS" w:cs="Arial"/>
        </w:rPr>
        <w:t xml:space="preserve"> Return verplichting.</w:t>
      </w:r>
    </w:p>
    <w:p w14:paraId="746D1A2A" w14:textId="77777777" w:rsidR="00AC50E4" w:rsidRPr="0054351F" w:rsidRDefault="00AC50E4" w:rsidP="00AC50E4">
      <w:pPr>
        <w:spacing w:line="280" w:lineRule="atLeast"/>
        <w:jc w:val="both"/>
        <w:rPr>
          <w:rFonts w:ascii="Trebuchet MS" w:hAnsi="Trebuchet MS" w:cs="Arial"/>
        </w:rPr>
      </w:pPr>
    </w:p>
    <w:p w14:paraId="1891B838" w14:textId="77777777" w:rsidR="00AC50E4" w:rsidRPr="0054351F" w:rsidRDefault="00AC50E4" w:rsidP="00AC50E4">
      <w:pPr>
        <w:spacing w:line="280" w:lineRule="atLeast"/>
        <w:jc w:val="both"/>
        <w:rPr>
          <w:rFonts w:ascii="Trebuchet MS" w:hAnsi="Trebuchet MS" w:cs="Arial"/>
        </w:rPr>
      </w:pPr>
    </w:p>
    <w:p w14:paraId="2954F2AB" w14:textId="77777777" w:rsidR="00AC50E4" w:rsidRPr="00861D44" w:rsidRDefault="00AC50E4" w:rsidP="00AC50E4">
      <w:pPr>
        <w:jc w:val="both"/>
        <w:rPr>
          <w:rFonts w:cs="Arial"/>
          <w:b/>
          <w:bCs/>
          <w:szCs w:val="19"/>
        </w:rPr>
      </w:pPr>
      <w:r w:rsidRPr="00861D44">
        <w:rPr>
          <w:rFonts w:cs="Arial"/>
          <w:b/>
          <w:bCs/>
          <w:szCs w:val="19"/>
        </w:rPr>
        <w:t>Bouwblokkenschema regio’s Haaglanden en Zuid-Holland Centraal</w:t>
      </w:r>
    </w:p>
    <w:p w14:paraId="3AEE580C" w14:textId="77777777" w:rsidR="00AC50E4" w:rsidRPr="00861D44" w:rsidRDefault="00AC50E4" w:rsidP="00AC50E4">
      <w:pPr>
        <w:jc w:val="both"/>
        <w:rPr>
          <w:rFonts w:cs="Arial"/>
          <w:b/>
          <w:bCs/>
          <w:szCs w:val="19"/>
        </w:rPr>
      </w:pPr>
    </w:p>
    <w:p w14:paraId="64B49A9A" w14:textId="77777777" w:rsidR="00AC50E4" w:rsidRPr="00861D44" w:rsidRDefault="00AC50E4" w:rsidP="00AC50E4">
      <w:pPr>
        <w:numPr>
          <w:ilvl w:val="0"/>
          <w:numId w:val="46"/>
        </w:numPr>
        <w:spacing w:line="260" w:lineRule="atLeast"/>
        <w:jc w:val="both"/>
        <w:rPr>
          <w:rFonts w:cs="Arial"/>
          <w:b/>
          <w:bCs/>
          <w:szCs w:val="19"/>
        </w:rPr>
      </w:pPr>
      <w:r w:rsidRPr="00861D44">
        <w:rPr>
          <w:rFonts w:cs="Arial"/>
          <w:b/>
          <w:bCs/>
          <w:szCs w:val="19"/>
        </w:rPr>
        <w:t>Creëren van banen</w:t>
      </w:r>
    </w:p>
    <w:tbl>
      <w:tblPr>
        <w:tblStyle w:val="TabelLansingerlandstandaard"/>
        <w:tblW w:w="0" w:type="auto"/>
        <w:tblLook w:val="04A0" w:firstRow="1" w:lastRow="0" w:firstColumn="1" w:lastColumn="0" w:noHBand="0" w:noVBand="1"/>
      </w:tblPr>
      <w:tblGrid>
        <w:gridCol w:w="2547"/>
        <w:gridCol w:w="3118"/>
        <w:gridCol w:w="3397"/>
      </w:tblGrid>
      <w:tr w:rsidR="00AC50E4" w:rsidRPr="00861D44" w14:paraId="6D2A797E" w14:textId="77777777" w:rsidTr="00BE6DD5">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9BE267" w14:textId="77777777" w:rsidR="00AC50E4" w:rsidRPr="00861D44" w:rsidRDefault="00AC50E4" w:rsidP="00BE6DD5">
            <w:pPr>
              <w:jc w:val="both"/>
              <w:rPr>
                <w:rFonts w:eastAsia="Calibri"/>
                <w:szCs w:val="19"/>
                <w:lang w:eastAsia="en-US"/>
              </w:rPr>
            </w:pPr>
            <w:r w:rsidRPr="00861D44">
              <w:rPr>
                <w:rFonts w:eastAsia="Calibri"/>
                <w:szCs w:val="19"/>
                <w:lang w:eastAsia="en-US"/>
              </w:rPr>
              <w:t>Bouwblok</w:t>
            </w: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498F2B" w14:textId="77777777" w:rsidR="00AC50E4" w:rsidRPr="00861D44" w:rsidRDefault="00AC50E4" w:rsidP="00BE6DD5">
            <w:pPr>
              <w:jc w:val="both"/>
              <w:rPr>
                <w:rFonts w:eastAsia="Calibri"/>
                <w:szCs w:val="19"/>
                <w:lang w:eastAsia="en-US"/>
              </w:rPr>
            </w:pPr>
            <w:r w:rsidRPr="00861D44">
              <w:rPr>
                <w:rFonts w:eastAsia="Calibri"/>
                <w:szCs w:val="19"/>
                <w:lang w:eastAsia="en-US"/>
              </w:rPr>
              <w:t>Invulling</w:t>
            </w:r>
          </w:p>
        </w:tc>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0620F1" w14:textId="77777777" w:rsidR="00AC50E4" w:rsidRPr="00861D44" w:rsidRDefault="00AC50E4" w:rsidP="00BE6DD5">
            <w:pPr>
              <w:jc w:val="both"/>
              <w:rPr>
                <w:rFonts w:eastAsia="Calibri"/>
                <w:szCs w:val="19"/>
                <w:lang w:eastAsia="en-US"/>
              </w:rPr>
            </w:pPr>
            <w:r w:rsidRPr="00861D44">
              <w:rPr>
                <w:rFonts w:eastAsia="Calibri"/>
                <w:szCs w:val="19"/>
                <w:lang w:eastAsia="en-US"/>
              </w:rPr>
              <w:t>Waarde per jaar op basis van 36 uur</w:t>
            </w:r>
          </w:p>
        </w:tc>
      </w:tr>
      <w:tr w:rsidR="00AC50E4" w:rsidRPr="00861D44" w14:paraId="7B19E0FF"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1183BC9B" w14:textId="77777777" w:rsidR="00AC50E4" w:rsidRPr="00861D44" w:rsidRDefault="00AC50E4" w:rsidP="00BE6DD5">
            <w:pPr>
              <w:jc w:val="both"/>
              <w:rPr>
                <w:rFonts w:eastAsia="Calibri"/>
                <w:szCs w:val="19"/>
                <w:lang w:eastAsia="en-US"/>
              </w:rPr>
            </w:pPr>
            <w:r w:rsidRPr="00861D44">
              <w:rPr>
                <w:rFonts w:eastAsia="Calibri"/>
                <w:szCs w:val="19"/>
                <w:lang w:eastAsia="en-US"/>
              </w:rPr>
              <w:t>Zonder uitkering</w:t>
            </w:r>
          </w:p>
        </w:tc>
        <w:tc>
          <w:tcPr>
            <w:tcW w:w="3118" w:type="dxa"/>
            <w:tcBorders>
              <w:top w:val="single" w:sz="4" w:space="0" w:color="auto"/>
              <w:left w:val="single" w:sz="4" w:space="0" w:color="auto"/>
              <w:bottom w:val="single" w:sz="4" w:space="0" w:color="auto"/>
              <w:right w:val="single" w:sz="4" w:space="0" w:color="auto"/>
            </w:tcBorders>
            <w:hideMark/>
          </w:tcPr>
          <w:p w14:paraId="05E73418" w14:textId="77777777" w:rsidR="00AC50E4" w:rsidRPr="00861D44" w:rsidRDefault="00AC50E4" w:rsidP="00BE6DD5">
            <w:pPr>
              <w:jc w:val="both"/>
              <w:rPr>
                <w:rFonts w:eastAsia="Calibri"/>
                <w:szCs w:val="19"/>
                <w:lang w:eastAsia="en-US"/>
              </w:rPr>
            </w:pPr>
            <w:r w:rsidRPr="00861D44">
              <w:rPr>
                <w:rFonts w:eastAsia="Calibri"/>
                <w:szCs w:val="19"/>
                <w:lang w:eastAsia="en-US"/>
              </w:rPr>
              <w:t>Werkzoekend zonder uitkering*</w:t>
            </w:r>
          </w:p>
        </w:tc>
        <w:tc>
          <w:tcPr>
            <w:tcW w:w="3397" w:type="dxa"/>
            <w:tcBorders>
              <w:top w:val="single" w:sz="4" w:space="0" w:color="auto"/>
              <w:left w:val="single" w:sz="4" w:space="0" w:color="auto"/>
              <w:bottom w:val="single" w:sz="4" w:space="0" w:color="auto"/>
              <w:right w:val="single" w:sz="4" w:space="0" w:color="auto"/>
            </w:tcBorders>
            <w:hideMark/>
          </w:tcPr>
          <w:p w14:paraId="11C62F86" w14:textId="77777777" w:rsidR="00AC50E4" w:rsidRPr="00861D44" w:rsidRDefault="00AC50E4" w:rsidP="00BE6DD5">
            <w:pPr>
              <w:jc w:val="both"/>
              <w:rPr>
                <w:rFonts w:eastAsia="Calibri"/>
                <w:szCs w:val="19"/>
                <w:lang w:eastAsia="en-US"/>
              </w:rPr>
            </w:pPr>
            <w:r w:rsidRPr="00861D44">
              <w:rPr>
                <w:rFonts w:eastAsia="Calibri"/>
                <w:szCs w:val="19"/>
                <w:lang w:eastAsia="en-US"/>
              </w:rPr>
              <w:t>€ 5.000</w:t>
            </w:r>
          </w:p>
        </w:tc>
      </w:tr>
      <w:tr w:rsidR="00AC50E4" w:rsidRPr="00861D44" w14:paraId="459EF149"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2AD9951E" w14:textId="77777777" w:rsidR="00AC50E4" w:rsidRPr="00861D44" w:rsidRDefault="00AC50E4" w:rsidP="00BE6DD5">
            <w:pPr>
              <w:jc w:val="both"/>
              <w:rPr>
                <w:rFonts w:eastAsia="Calibri"/>
                <w:szCs w:val="19"/>
                <w:lang w:eastAsia="en-US"/>
              </w:rPr>
            </w:pPr>
            <w:r w:rsidRPr="00861D44">
              <w:rPr>
                <w:rFonts w:eastAsia="Calibri"/>
                <w:szCs w:val="19"/>
                <w:lang w:eastAsia="en-US"/>
              </w:rPr>
              <w:t>Zonder uitkering</w:t>
            </w:r>
          </w:p>
        </w:tc>
        <w:tc>
          <w:tcPr>
            <w:tcW w:w="3118" w:type="dxa"/>
            <w:tcBorders>
              <w:top w:val="single" w:sz="4" w:space="0" w:color="auto"/>
              <w:left w:val="single" w:sz="4" w:space="0" w:color="auto"/>
              <w:bottom w:val="single" w:sz="4" w:space="0" w:color="auto"/>
              <w:right w:val="single" w:sz="4" w:space="0" w:color="auto"/>
            </w:tcBorders>
            <w:hideMark/>
          </w:tcPr>
          <w:p w14:paraId="783A6AC0" w14:textId="77777777" w:rsidR="00AC50E4" w:rsidRPr="00861D44" w:rsidRDefault="00AC50E4" w:rsidP="00BE6DD5">
            <w:pPr>
              <w:jc w:val="both"/>
              <w:rPr>
                <w:rFonts w:eastAsia="Calibri"/>
                <w:szCs w:val="19"/>
                <w:lang w:eastAsia="en-US"/>
              </w:rPr>
            </w:pPr>
            <w:r w:rsidRPr="00861D44">
              <w:rPr>
                <w:rFonts w:eastAsia="Calibri"/>
                <w:szCs w:val="19"/>
                <w:lang w:eastAsia="en-US"/>
              </w:rPr>
              <w:t>Jongeren zonder startkwalificatie</w:t>
            </w:r>
          </w:p>
        </w:tc>
        <w:tc>
          <w:tcPr>
            <w:tcW w:w="3397" w:type="dxa"/>
            <w:tcBorders>
              <w:top w:val="single" w:sz="4" w:space="0" w:color="auto"/>
              <w:left w:val="single" w:sz="4" w:space="0" w:color="auto"/>
              <w:bottom w:val="single" w:sz="4" w:space="0" w:color="auto"/>
              <w:right w:val="single" w:sz="4" w:space="0" w:color="auto"/>
            </w:tcBorders>
            <w:hideMark/>
          </w:tcPr>
          <w:p w14:paraId="741E3332" w14:textId="77777777" w:rsidR="00AC50E4" w:rsidRPr="00861D44" w:rsidRDefault="00AC50E4" w:rsidP="00BE6DD5">
            <w:pPr>
              <w:jc w:val="both"/>
              <w:rPr>
                <w:rFonts w:eastAsia="Calibri"/>
                <w:szCs w:val="19"/>
                <w:lang w:eastAsia="en-US"/>
              </w:rPr>
            </w:pPr>
            <w:r w:rsidRPr="00861D44">
              <w:rPr>
                <w:rFonts w:eastAsia="Calibri"/>
                <w:szCs w:val="19"/>
                <w:lang w:eastAsia="en-US"/>
              </w:rPr>
              <w:t>€ 10.000</w:t>
            </w:r>
          </w:p>
        </w:tc>
      </w:tr>
      <w:tr w:rsidR="00AC50E4" w:rsidRPr="00861D44" w14:paraId="30011B7F"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7D9B5B8D" w14:textId="77777777" w:rsidR="00AC50E4" w:rsidRPr="00861D44" w:rsidRDefault="00AC50E4" w:rsidP="00BE6DD5">
            <w:pPr>
              <w:jc w:val="both"/>
              <w:rPr>
                <w:rFonts w:eastAsia="Calibri"/>
                <w:szCs w:val="19"/>
                <w:lang w:eastAsia="en-US"/>
              </w:rPr>
            </w:pPr>
            <w:r w:rsidRPr="00861D44">
              <w:rPr>
                <w:rFonts w:eastAsia="Calibri"/>
                <w:szCs w:val="19"/>
                <w:lang w:eastAsia="en-US"/>
              </w:rPr>
              <w:t>Leerling / student stage</w:t>
            </w:r>
          </w:p>
        </w:tc>
        <w:tc>
          <w:tcPr>
            <w:tcW w:w="3118" w:type="dxa"/>
            <w:tcBorders>
              <w:top w:val="single" w:sz="4" w:space="0" w:color="auto"/>
              <w:left w:val="single" w:sz="4" w:space="0" w:color="auto"/>
              <w:bottom w:val="single" w:sz="4" w:space="0" w:color="auto"/>
              <w:right w:val="single" w:sz="4" w:space="0" w:color="auto"/>
            </w:tcBorders>
            <w:hideMark/>
          </w:tcPr>
          <w:p w14:paraId="4C142EDA" w14:textId="77777777" w:rsidR="00AC50E4" w:rsidRPr="00861D44" w:rsidRDefault="00AC50E4" w:rsidP="00BE6DD5">
            <w:pPr>
              <w:jc w:val="both"/>
              <w:rPr>
                <w:rFonts w:eastAsia="Calibri"/>
                <w:szCs w:val="19"/>
                <w:lang w:eastAsia="en-US"/>
              </w:rPr>
            </w:pPr>
            <w:r w:rsidRPr="00861D44">
              <w:rPr>
                <w:rFonts w:eastAsia="Calibri"/>
                <w:szCs w:val="19"/>
                <w:lang w:eastAsia="en-US"/>
              </w:rPr>
              <w:t>Stagiair mbo, hbo</w:t>
            </w:r>
          </w:p>
        </w:tc>
        <w:tc>
          <w:tcPr>
            <w:tcW w:w="3397" w:type="dxa"/>
            <w:tcBorders>
              <w:top w:val="single" w:sz="4" w:space="0" w:color="auto"/>
              <w:left w:val="single" w:sz="4" w:space="0" w:color="auto"/>
              <w:bottom w:val="single" w:sz="4" w:space="0" w:color="auto"/>
              <w:right w:val="single" w:sz="4" w:space="0" w:color="auto"/>
            </w:tcBorders>
            <w:hideMark/>
          </w:tcPr>
          <w:p w14:paraId="3D563A23" w14:textId="77777777" w:rsidR="00AC50E4" w:rsidRPr="00861D44" w:rsidRDefault="00AC50E4" w:rsidP="00BE6DD5">
            <w:pPr>
              <w:jc w:val="both"/>
              <w:rPr>
                <w:rFonts w:eastAsia="Calibri"/>
                <w:szCs w:val="19"/>
                <w:lang w:eastAsia="en-US"/>
              </w:rPr>
            </w:pPr>
            <w:r w:rsidRPr="00861D44">
              <w:rPr>
                <w:rFonts w:eastAsia="Calibri"/>
                <w:szCs w:val="19"/>
                <w:lang w:eastAsia="en-US"/>
              </w:rPr>
              <w:t>€ 5.000</w:t>
            </w:r>
          </w:p>
        </w:tc>
      </w:tr>
      <w:tr w:rsidR="00AC50E4" w:rsidRPr="00861D44" w14:paraId="7DDE1575"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35889541" w14:textId="77777777" w:rsidR="00AC50E4" w:rsidRPr="00861D44" w:rsidRDefault="00AC50E4" w:rsidP="00BE6DD5">
            <w:pPr>
              <w:jc w:val="both"/>
              <w:rPr>
                <w:rFonts w:eastAsia="Calibri"/>
                <w:szCs w:val="19"/>
                <w:lang w:eastAsia="en-US"/>
              </w:rPr>
            </w:pPr>
            <w:r w:rsidRPr="00861D44">
              <w:rPr>
                <w:rFonts w:eastAsia="Calibri"/>
                <w:szCs w:val="19"/>
                <w:lang w:eastAsia="en-US"/>
              </w:rPr>
              <w:t>Leerling / student stage</w:t>
            </w:r>
          </w:p>
        </w:tc>
        <w:tc>
          <w:tcPr>
            <w:tcW w:w="3118" w:type="dxa"/>
            <w:tcBorders>
              <w:top w:val="single" w:sz="4" w:space="0" w:color="auto"/>
              <w:left w:val="single" w:sz="4" w:space="0" w:color="auto"/>
              <w:bottom w:val="single" w:sz="4" w:space="0" w:color="auto"/>
              <w:right w:val="single" w:sz="4" w:space="0" w:color="auto"/>
            </w:tcBorders>
            <w:hideMark/>
          </w:tcPr>
          <w:p w14:paraId="53D2A858" w14:textId="77777777" w:rsidR="00AC50E4" w:rsidRPr="00861D44" w:rsidRDefault="00AC50E4" w:rsidP="00BE6DD5">
            <w:pPr>
              <w:jc w:val="both"/>
              <w:rPr>
                <w:rFonts w:eastAsia="Calibri"/>
                <w:szCs w:val="19"/>
                <w:lang w:eastAsia="en-US"/>
              </w:rPr>
            </w:pPr>
            <w:r w:rsidRPr="00861D44">
              <w:rPr>
                <w:rFonts w:eastAsia="Calibri"/>
                <w:szCs w:val="19"/>
                <w:lang w:eastAsia="en-US"/>
              </w:rPr>
              <w:t>Stagiair VSO/</w:t>
            </w:r>
            <w:proofErr w:type="spellStart"/>
            <w:r w:rsidRPr="00861D44">
              <w:rPr>
                <w:rFonts w:eastAsia="Calibri"/>
                <w:szCs w:val="19"/>
                <w:lang w:eastAsia="en-US"/>
              </w:rPr>
              <w:t>PrO</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5391079E" w14:textId="77777777" w:rsidR="00AC50E4" w:rsidRPr="00861D44" w:rsidRDefault="00AC50E4" w:rsidP="00BE6DD5">
            <w:pPr>
              <w:jc w:val="both"/>
              <w:rPr>
                <w:rFonts w:eastAsia="Calibri"/>
                <w:szCs w:val="19"/>
                <w:lang w:eastAsia="en-US"/>
              </w:rPr>
            </w:pPr>
            <w:r w:rsidRPr="00861D44">
              <w:rPr>
                <w:rFonts w:eastAsia="Calibri"/>
                <w:szCs w:val="19"/>
                <w:lang w:eastAsia="en-US"/>
              </w:rPr>
              <w:t>€ 7.500</w:t>
            </w:r>
          </w:p>
        </w:tc>
      </w:tr>
      <w:tr w:rsidR="00AC50E4" w:rsidRPr="00861D44" w14:paraId="65625441"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4BEA1A45" w14:textId="77777777" w:rsidR="00AC50E4" w:rsidRPr="00861D44" w:rsidRDefault="00AC50E4" w:rsidP="00BE6DD5">
            <w:pPr>
              <w:jc w:val="both"/>
              <w:rPr>
                <w:rFonts w:eastAsia="Calibri"/>
                <w:szCs w:val="19"/>
                <w:lang w:eastAsia="en-US"/>
              </w:rPr>
            </w:pPr>
            <w:r w:rsidRPr="00861D44">
              <w:rPr>
                <w:rFonts w:eastAsia="Calibri"/>
                <w:szCs w:val="19"/>
                <w:lang w:eastAsia="en-US"/>
              </w:rPr>
              <w:t>Leerling / student stage</w:t>
            </w:r>
          </w:p>
        </w:tc>
        <w:tc>
          <w:tcPr>
            <w:tcW w:w="3118" w:type="dxa"/>
            <w:tcBorders>
              <w:top w:val="single" w:sz="4" w:space="0" w:color="auto"/>
              <w:left w:val="single" w:sz="4" w:space="0" w:color="auto"/>
              <w:bottom w:val="single" w:sz="4" w:space="0" w:color="auto"/>
              <w:right w:val="single" w:sz="4" w:space="0" w:color="auto"/>
            </w:tcBorders>
            <w:hideMark/>
          </w:tcPr>
          <w:p w14:paraId="6EFEB124" w14:textId="77777777" w:rsidR="00AC50E4" w:rsidRPr="00861D44" w:rsidRDefault="00AC50E4" w:rsidP="00BE6DD5">
            <w:pPr>
              <w:jc w:val="both"/>
              <w:rPr>
                <w:rFonts w:eastAsia="Calibri"/>
                <w:szCs w:val="19"/>
                <w:lang w:eastAsia="en-US"/>
              </w:rPr>
            </w:pPr>
            <w:r w:rsidRPr="00165E39">
              <w:rPr>
                <w:rFonts w:eastAsia="Calibri"/>
                <w:szCs w:val="19"/>
                <w:lang w:eastAsia="en-US"/>
              </w:rPr>
              <w:t>Leerwerkbaan mbo BBL maximaal niveau 2</w:t>
            </w:r>
            <w:r>
              <w:rPr>
                <w:rFonts w:eastAsia="Calibri"/>
                <w:szCs w:val="19"/>
                <w:lang w:eastAsia="en-US"/>
              </w:rPr>
              <w:t xml:space="preserve"> </w:t>
            </w:r>
            <w:r w:rsidRPr="00165E39">
              <w:rPr>
                <w:rFonts w:eastAsia="Calibri"/>
                <w:szCs w:val="19"/>
                <w:lang w:eastAsia="en-US"/>
              </w:rPr>
              <w:t>(dienstverband- maximaal 24 maanden)</w:t>
            </w:r>
          </w:p>
        </w:tc>
        <w:tc>
          <w:tcPr>
            <w:tcW w:w="3397" w:type="dxa"/>
            <w:tcBorders>
              <w:top w:val="single" w:sz="4" w:space="0" w:color="auto"/>
              <w:left w:val="single" w:sz="4" w:space="0" w:color="auto"/>
              <w:bottom w:val="single" w:sz="4" w:space="0" w:color="auto"/>
              <w:right w:val="single" w:sz="4" w:space="0" w:color="auto"/>
            </w:tcBorders>
            <w:hideMark/>
          </w:tcPr>
          <w:p w14:paraId="3BDE9762" w14:textId="77777777" w:rsidR="00AC50E4" w:rsidRPr="00861D44" w:rsidRDefault="00AC50E4" w:rsidP="00BE6DD5">
            <w:pPr>
              <w:jc w:val="both"/>
              <w:rPr>
                <w:rFonts w:eastAsia="Calibri"/>
                <w:szCs w:val="19"/>
                <w:lang w:eastAsia="en-US"/>
              </w:rPr>
            </w:pPr>
            <w:r w:rsidRPr="00861D44">
              <w:rPr>
                <w:rFonts w:eastAsia="Calibri"/>
                <w:szCs w:val="19"/>
                <w:lang w:eastAsia="en-US"/>
              </w:rPr>
              <w:t>€ 25.000</w:t>
            </w:r>
          </w:p>
        </w:tc>
      </w:tr>
      <w:tr w:rsidR="00AC50E4" w:rsidRPr="00861D44" w14:paraId="42FC0E40" w14:textId="77777777" w:rsidTr="00BE6DD5">
        <w:tc>
          <w:tcPr>
            <w:tcW w:w="2547" w:type="dxa"/>
            <w:tcBorders>
              <w:top w:val="single" w:sz="4" w:space="0" w:color="auto"/>
              <w:left w:val="single" w:sz="4" w:space="0" w:color="auto"/>
              <w:bottom w:val="single" w:sz="4" w:space="0" w:color="auto"/>
              <w:right w:val="single" w:sz="4" w:space="0" w:color="auto"/>
            </w:tcBorders>
          </w:tcPr>
          <w:p w14:paraId="084730A9" w14:textId="77777777" w:rsidR="00AC50E4" w:rsidRPr="00861D44" w:rsidRDefault="00AC50E4" w:rsidP="00BE6DD5">
            <w:pPr>
              <w:jc w:val="both"/>
              <w:rPr>
                <w:rFonts w:eastAsia="Calibri"/>
                <w:szCs w:val="19"/>
                <w:lang w:eastAsia="en-US"/>
              </w:rPr>
            </w:pPr>
            <w:r w:rsidRPr="00861D44">
              <w:rPr>
                <w:rFonts w:eastAsia="Calibri"/>
                <w:szCs w:val="19"/>
                <w:lang w:eastAsia="en-US"/>
              </w:rPr>
              <w:t>Leerling / student stage</w:t>
            </w:r>
          </w:p>
        </w:tc>
        <w:tc>
          <w:tcPr>
            <w:tcW w:w="3118" w:type="dxa"/>
            <w:tcBorders>
              <w:top w:val="single" w:sz="4" w:space="0" w:color="auto"/>
              <w:left w:val="single" w:sz="4" w:space="0" w:color="auto"/>
              <w:bottom w:val="single" w:sz="4" w:space="0" w:color="auto"/>
              <w:right w:val="single" w:sz="4" w:space="0" w:color="auto"/>
            </w:tcBorders>
          </w:tcPr>
          <w:p w14:paraId="2E227E37" w14:textId="77777777" w:rsidR="00AC50E4" w:rsidRPr="00861D44" w:rsidRDefault="00AC50E4" w:rsidP="00BE6DD5">
            <w:pPr>
              <w:jc w:val="both"/>
              <w:rPr>
                <w:rFonts w:eastAsia="Calibri"/>
                <w:szCs w:val="19"/>
                <w:lang w:eastAsia="en-US"/>
              </w:rPr>
            </w:pPr>
            <w:r w:rsidRPr="00165E39">
              <w:rPr>
                <w:rFonts w:eastAsia="Calibri"/>
                <w:szCs w:val="19"/>
                <w:lang w:eastAsia="en-US"/>
              </w:rPr>
              <w:t>Leerwerkbaan mbo BBL niveau 3 en hoger</w:t>
            </w:r>
            <w:r>
              <w:rPr>
                <w:rFonts w:eastAsia="Calibri"/>
                <w:szCs w:val="19"/>
                <w:lang w:eastAsia="en-US"/>
              </w:rPr>
              <w:t xml:space="preserve"> </w:t>
            </w:r>
            <w:r w:rsidRPr="00165E39">
              <w:rPr>
                <w:rFonts w:eastAsia="Calibri"/>
                <w:szCs w:val="19"/>
                <w:lang w:eastAsia="en-US"/>
              </w:rPr>
              <w:t>(dienstverband- maximaal 36 maanden)</w:t>
            </w:r>
          </w:p>
        </w:tc>
        <w:tc>
          <w:tcPr>
            <w:tcW w:w="3397" w:type="dxa"/>
            <w:tcBorders>
              <w:top w:val="single" w:sz="4" w:space="0" w:color="auto"/>
              <w:left w:val="single" w:sz="4" w:space="0" w:color="auto"/>
              <w:bottom w:val="single" w:sz="4" w:space="0" w:color="auto"/>
              <w:right w:val="single" w:sz="4" w:space="0" w:color="auto"/>
            </w:tcBorders>
          </w:tcPr>
          <w:p w14:paraId="7C50CE02" w14:textId="77777777" w:rsidR="00AC50E4" w:rsidRPr="00861D44" w:rsidRDefault="00AC50E4" w:rsidP="00BE6DD5">
            <w:pPr>
              <w:jc w:val="both"/>
              <w:rPr>
                <w:rFonts w:eastAsia="Calibri"/>
                <w:szCs w:val="19"/>
                <w:lang w:eastAsia="en-US"/>
              </w:rPr>
            </w:pPr>
            <w:r>
              <w:rPr>
                <w:rFonts w:eastAsia="Calibri"/>
                <w:szCs w:val="19"/>
                <w:lang w:eastAsia="en-US"/>
              </w:rPr>
              <w:t>€ 15.000</w:t>
            </w:r>
          </w:p>
        </w:tc>
      </w:tr>
      <w:tr w:rsidR="00AC50E4" w:rsidRPr="00861D44" w14:paraId="44DEB35D"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5ABB79E6" w14:textId="77777777" w:rsidR="00AC50E4" w:rsidRPr="00861D44" w:rsidRDefault="00AC50E4" w:rsidP="00BE6DD5">
            <w:pPr>
              <w:jc w:val="both"/>
              <w:rPr>
                <w:rFonts w:eastAsia="Calibri"/>
                <w:szCs w:val="19"/>
                <w:lang w:eastAsia="en-US"/>
              </w:rPr>
            </w:pPr>
            <w:r w:rsidRPr="00861D44">
              <w:rPr>
                <w:rFonts w:eastAsia="Calibri"/>
                <w:szCs w:val="19"/>
                <w:lang w:eastAsia="en-US"/>
              </w:rPr>
              <w:t>Met uitkering</w:t>
            </w:r>
          </w:p>
        </w:tc>
        <w:tc>
          <w:tcPr>
            <w:tcW w:w="3118" w:type="dxa"/>
            <w:tcBorders>
              <w:top w:val="single" w:sz="4" w:space="0" w:color="auto"/>
              <w:left w:val="single" w:sz="4" w:space="0" w:color="auto"/>
              <w:bottom w:val="single" w:sz="4" w:space="0" w:color="auto"/>
              <w:right w:val="single" w:sz="4" w:space="0" w:color="auto"/>
            </w:tcBorders>
            <w:hideMark/>
          </w:tcPr>
          <w:p w14:paraId="654065C9" w14:textId="77777777" w:rsidR="00AC50E4" w:rsidRPr="00861D44" w:rsidRDefault="00AC50E4" w:rsidP="00BE6DD5">
            <w:pPr>
              <w:jc w:val="both"/>
              <w:rPr>
                <w:rFonts w:eastAsia="Calibri"/>
                <w:szCs w:val="19"/>
                <w:lang w:eastAsia="en-US"/>
              </w:rPr>
            </w:pPr>
            <w:r w:rsidRPr="00861D44">
              <w:rPr>
                <w:rFonts w:eastAsia="Calibri"/>
                <w:szCs w:val="19"/>
                <w:lang w:eastAsia="en-US"/>
              </w:rPr>
              <w:t>WW</w:t>
            </w:r>
          </w:p>
        </w:tc>
        <w:tc>
          <w:tcPr>
            <w:tcW w:w="3397" w:type="dxa"/>
            <w:tcBorders>
              <w:top w:val="single" w:sz="4" w:space="0" w:color="auto"/>
              <w:left w:val="single" w:sz="4" w:space="0" w:color="auto"/>
              <w:bottom w:val="single" w:sz="4" w:space="0" w:color="auto"/>
              <w:right w:val="single" w:sz="4" w:space="0" w:color="auto"/>
            </w:tcBorders>
            <w:hideMark/>
          </w:tcPr>
          <w:p w14:paraId="728DCC2C" w14:textId="77777777" w:rsidR="00AC50E4" w:rsidRPr="00861D44" w:rsidRDefault="00AC50E4" w:rsidP="00BE6DD5">
            <w:pPr>
              <w:jc w:val="both"/>
              <w:rPr>
                <w:rFonts w:eastAsia="Calibri"/>
                <w:szCs w:val="19"/>
                <w:lang w:eastAsia="en-US"/>
              </w:rPr>
            </w:pPr>
            <w:r>
              <w:rPr>
                <w:rFonts w:eastAsia="Calibri"/>
                <w:szCs w:val="19"/>
                <w:lang w:eastAsia="en-US"/>
              </w:rPr>
              <w:t>€ 2</w:t>
            </w:r>
            <w:r w:rsidRPr="00861D44">
              <w:rPr>
                <w:rFonts w:eastAsia="Calibri"/>
                <w:szCs w:val="19"/>
                <w:lang w:eastAsia="en-US"/>
              </w:rPr>
              <w:t>0.000</w:t>
            </w:r>
          </w:p>
        </w:tc>
      </w:tr>
      <w:tr w:rsidR="00AC50E4" w:rsidRPr="00861D44" w14:paraId="49BB78E7"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2E93C889" w14:textId="77777777" w:rsidR="00AC50E4" w:rsidRPr="00861D44" w:rsidRDefault="00AC50E4" w:rsidP="00BE6DD5">
            <w:pPr>
              <w:jc w:val="both"/>
              <w:rPr>
                <w:rFonts w:eastAsia="Calibri"/>
                <w:szCs w:val="19"/>
                <w:lang w:eastAsia="en-US"/>
              </w:rPr>
            </w:pPr>
            <w:r w:rsidRPr="00861D44">
              <w:rPr>
                <w:rFonts w:eastAsia="Calibri"/>
                <w:szCs w:val="19"/>
                <w:lang w:eastAsia="en-US"/>
              </w:rPr>
              <w:t>Met uitkering</w:t>
            </w:r>
          </w:p>
        </w:tc>
        <w:tc>
          <w:tcPr>
            <w:tcW w:w="3118" w:type="dxa"/>
            <w:tcBorders>
              <w:top w:val="single" w:sz="4" w:space="0" w:color="auto"/>
              <w:left w:val="single" w:sz="4" w:space="0" w:color="auto"/>
              <w:bottom w:val="single" w:sz="4" w:space="0" w:color="auto"/>
              <w:right w:val="single" w:sz="4" w:space="0" w:color="auto"/>
            </w:tcBorders>
            <w:hideMark/>
          </w:tcPr>
          <w:p w14:paraId="7680E9C3" w14:textId="77777777" w:rsidR="00AC50E4" w:rsidRPr="00861D44" w:rsidRDefault="00AC50E4" w:rsidP="00BE6DD5">
            <w:pPr>
              <w:jc w:val="both"/>
              <w:rPr>
                <w:rFonts w:eastAsia="Calibri"/>
                <w:szCs w:val="19"/>
                <w:lang w:eastAsia="en-US"/>
              </w:rPr>
            </w:pPr>
            <w:r w:rsidRPr="00861D44">
              <w:rPr>
                <w:rFonts w:eastAsia="Calibri"/>
                <w:szCs w:val="19"/>
                <w:lang w:eastAsia="en-US"/>
              </w:rPr>
              <w:t>WIA</w:t>
            </w:r>
          </w:p>
        </w:tc>
        <w:tc>
          <w:tcPr>
            <w:tcW w:w="3397" w:type="dxa"/>
            <w:tcBorders>
              <w:top w:val="single" w:sz="4" w:space="0" w:color="auto"/>
              <w:left w:val="single" w:sz="4" w:space="0" w:color="auto"/>
              <w:bottom w:val="single" w:sz="4" w:space="0" w:color="auto"/>
              <w:right w:val="single" w:sz="4" w:space="0" w:color="auto"/>
            </w:tcBorders>
            <w:hideMark/>
          </w:tcPr>
          <w:p w14:paraId="4A94CE4F" w14:textId="77777777" w:rsidR="00AC50E4" w:rsidRPr="00861D44" w:rsidRDefault="00AC50E4" w:rsidP="00BE6DD5">
            <w:pPr>
              <w:jc w:val="both"/>
              <w:rPr>
                <w:rFonts w:eastAsia="Calibri"/>
                <w:szCs w:val="19"/>
                <w:lang w:eastAsia="en-US"/>
              </w:rPr>
            </w:pPr>
            <w:r>
              <w:rPr>
                <w:rFonts w:eastAsia="Calibri"/>
                <w:szCs w:val="19"/>
                <w:lang w:eastAsia="en-US"/>
              </w:rPr>
              <w:t>€ 3</w:t>
            </w:r>
            <w:r w:rsidRPr="00861D44">
              <w:rPr>
                <w:rFonts w:eastAsia="Calibri"/>
                <w:szCs w:val="19"/>
                <w:lang w:eastAsia="en-US"/>
              </w:rPr>
              <w:t>0.000</w:t>
            </w:r>
          </w:p>
        </w:tc>
      </w:tr>
      <w:tr w:rsidR="00AC50E4" w:rsidRPr="00861D44" w14:paraId="15758E35"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381A0558" w14:textId="77777777" w:rsidR="00AC50E4" w:rsidRPr="00861D44" w:rsidRDefault="00AC50E4" w:rsidP="00BE6DD5">
            <w:pPr>
              <w:jc w:val="both"/>
              <w:rPr>
                <w:rFonts w:eastAsia="Calibri"/>
                <w:szCs w:val="19"/>
                <w:lang w:eastAsia="en-US"/>
              </w:rPr>
            </w:pPr>
            <w:r w:rsidRPr="00861D44">
              <w:rPr>
                <w:rFonts w:eastAsia="Calibri"/>
                <w:szCs w:val="19"/>
                <w:lang w:eastAsia="en-US"/>
              </w:rPr>
              <w:t>Met uitkering</w:t>
            </w:r>
          </w:p>
        </w:tc>
        <w:tc>
          <w:tcPr>
            <w:tcW w:w="3118" w:type="dxa"/>
            <w:tcBorders>
              <w:top w:val="single" w:sz="4" w:space="0" w:color="auto"/>
              <w:left w:val="single" w:sz="4" w:space="0" w:color="auto"/>
              <w:bottom w:val="single" w:sz="4" w:space="0" w:color="auto"/>
              <w:right w:val="single" w:sz="4" w:space="0" w:color="auto"/>
            </w:tcBorders>
            <w:hideMark/>
          </w:tcPr>
          <w:p w14:paraId="594BC920" w14:textId="77777777" w:rsidR="00AC50E4" w:rsidRPr="00861D44" w:rsidRDefault="00AC50E4" w:rsidP="00BE6DD5">
            <w:pPr>
              <w:jc w:val="both"/>
              <w:rPr>
                <w:rFonts w:eastAsia="Calibri"/>
                <w:szCs w:val="19"/>
                <w:lang w:eastAsia="en-US"/>
              </w:rPr>
            </w:pPr>
            <w:r w:rsidRPr="00861D44">
              <w:rPr>
                <w:rFonts w:eastAsia="Calibri"/>
                <w:szCs w:val="19"/>
                <w:lang w:eastAsia="en-US"/>
              </w:rPr>
              <w:t>Participatiewet</w:t>
            </w:r>
          </w:p>
        </w:tc>
        <w:tc>
          <w:tcPr>
            <w:tcW w:w="3397" w:type="dxa"/>
            <w:tcBorders>
              <w:top w:val="single" w:sz="4" w:space="0" w:color="auto"/>
              <w:left w:val="single" w:sz="4" w:space="0" w:color="auto"/>
              <w:bottom w:val="single" w:sz="4" w:space="0" w:color="auto"/>
              <w:right w:val="single" w:sz="4" w:space="0" w:color="auto"/>
            </w:tcBorders>
            <w:hideMark/>
          </w:tcPr>
          <w:p w14:paraId="4B6FA764" w14:textId="77777777" w:rsidR="00AC50E4" w:rsidRPr="00861D44" w:rsidRDefault="00AC50E4" w:rsidP="00BE6DD5">
            <w:pPr>
              <w:jc w:val="both"/>
              <w:rPr>
                <w:rFonts w:eastAsia="Calibri"/>
                <w:szCs w:val="19"/>
                <w:lang w:eastAsia="en-US"/>
              </w:rPr>
            </w:pPr>
            <w:r>
              <w:rPr>
                <w:rFonts w:eastAsia="Calibri"/>
                <w:szCs w:val="19"/>
                <w:lang w:eastAsia="en-US"/>
              </w:rPr>
              <w:t>€ 4</w:t>
            </w:r>
            <w:r w:rsidRPr="00861D44">
              <w:rPr>
                <w:rFonts w:eastAsia="Calibri"/>
                <w:szCs w:val="19"/>
                <w:lang w:eastAsia="en-US"/>
              </w:rPr>
              <w:t>0.000</w:t>
            </w:r>
          </w:p>
        </w:tc>
      </w:tr>
      <w:tr w:rsidR="00AC50E4" w:rsidRPr="00861D44" w14:paraId="306D7203"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59DD49CA" w14:textId="77777777" w:rsidR="00AC50E4" w:rsidRPr="00861D44" w:rsidRDefault="00AC50E4" w:rsidP="00BE6DD5">
            <w:pPr>
              <w:jc w:val="both"/>
              <w:rPr>
                <w:rFonts w:eastAsia="Calibri"/>
                <w:szCs w:val="19"/>
                <w:lang w:eastAsia="en-US"/>
              </w:rPr>
            </w:pPr>
            <w:r w:rsidRPr="00861D44">
              <w:rPr>
                <w:rFonts w:eastAsia="Calibri"/>
                <w:szCs w:val="19"/>
                <w:lang w:eastAsia="en-US"/>
              </w:rPr>
              <w:t>Met uitkering</w:t>
            </w:r>
          </w:p>
        </w:tc>
        <w:tc>
          <w:tcPr>
            <w:tcW w:w="3118" w:type="dxa"/>
            <w:tcBorders>
              <w:top w:val="single" w:sz="4" w:space="0" w:color="auto"/>
              <w:left w:val="single" w:sz="4" w:space="0" w:color="auto"/>
              <w:bottom w:val="single" w:sz="4" w:space="0" w:color="auto"/>
              <w:right w:val="single" w:sz="4" w:space="0" w:color="auto"/>
            </w:tcBorders>
            <w:hideMark/>
          </w:tcPr>
          <w:p w14:paraId="1964AF9D" w14:textId="77777777" w:rsidR="00AC50E4" w:rsidRPr="00861D44" w:rsidRDefault="00AC50E4" w:rsidP="00BE6DD5">
            <w:pPr>
              <w:jc w:val="both"/>
              <w:rPr>
                <w:rFonts w:eastAsia="Calibri"/>
                <w:szCs w:val="19"/>
                <w:lang w:eastAsia="en-US"/>
              </w:rPr>
            </w:pPr>
            <w:r w:rsidRPr="00861D44">
              <w:rPr>
                <w:rFonts w:eastAsia="Calibri"/>
                <w:szCs w:val="19"/>
                <w:lang w:eastAsia="en-US"/>
              </w:rPr>
              <w:t xml:space="preserve">Banenafspraak (ook: Wajong, </w:t>
            </w:r>
            <w:proofErr w:type="spellStart"/>
            <w:r w:rsidRPr="00861D44">
              <w:rPr>
                <w:rFonts w:eastAsia="Calibri"/>
                <w:szCs w:val="19"/>
                <w:lang w:eastAsia="en-US"/>
              </w:rPr>
              <w:t>WsW</w:t>
            </w:r>
            <w:proofErr w:type="spellEnd"/>
            <w:r w:rsidRPr="00861D44">
              <w:rPr>
                <w:rFonts w:eastAsia="Calibri"/>
                <w:szCs w:val="19"/>
                <w:lang w:eastAsia="en-US"/>
              </w:rPr>
              <w:t xml:space="preserve">, </w:t>
            </w:r>
            <w:proofErr w:type="spellStart"/>
            <w:r w:rsidRPr="00861D44">
              <w:rPr>
                <w:rFonts w:eastAsia="Calibri"/>
                <w:szCs w:val="19"/>
                <w:lang w:eastAsia="en-US"/>
              </w:rPr>
              <w:t>doelgroepregistratie</w:t>
            </w:r>
            <w:proofErr w:type="spellEnd"/>
            <w:r w:rsidRPr="00861D44">
              <w:rPr>
                <w:rFonts w:eastAsia="Calibri"/>
                <w:szCs w:val="19"/>
                <w:lang w:eastAsia="en-US"/>
              </w:rPr>
              <w:t>)</w:t>
            </w:r>
          </w:p>
        </w:tc>
        <w:tc>
          <w:tcPr>
            <w:tcW w:w="3397" w:type="dxa"/>
            <w:tcBorders>
              <w:top w:val="single" w:sz="4" w:space="0" w:color="auto"/>
              <w:left w:val="single" w:sz="4" w:space="0" w:color="auto"/>
              <w:bottom w:val="single" w:sz="4" w:space="0" w:color="auto"/>
              <w:right w:val="single" w:sz="4" w:space="0" w:color="auto"/>
            </w:tcBorders>
            <w:hideMark/>
          </w:tcPr>
          <w:p w14:paraId="46B1DCB9" w14:textId="77777777" w:rsidR="00AC50E4" w:rsidRPr="00861D44" w:rsidRDefault="00AC50E4" w:rsidP="00BE6DD5">
            <w:pPr>
              <w:jc w:val="both"/>
              <w:rPr>
                <w:rFonts w:eastAsia="Calibri"/>
                <w:szCs w:val="19"/>
                <w:lang w:eastAsia="en-US"/>
              </w:rPr>
            </w:pPr>
            <w:r w:rsidRPr="00861D44">
              <w:rPr>
                <w:rFonts w:eastAsia="Calibri"/>
                <w:szCs w:val="19"/>
                <w:lang w:eastAsia="en-US"/>
              </w:rPr>
              <w:t>€ 50.000</w:t>
            </w:r>
          </w:p>
        </w:tc>
      </w:tr>
      <w:tr w:rsidR="00AC50E4" w:rsidRPr="00861D44" w14:paraId="3E075929"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71BB9788" w14:textId="77777777" w:rsidR="00AC50E4" w:rsidRPr="00861D44" w:rsidRDefault="00AC50E4" w:rsidP="00BE6DD5">
            <w:pPr>
              <w:jc w:val="both"/>
              <w:rPr>
                <w:rFonts w:eastAsia="Calibri"/>
                <w:szCs w:val="19"/>
                <w:lang w:eastAsia="en-US"/>
              </w:rPr>
            </w:pPr>
            <w:r>
              <w:rPr>
                <w:rFonts w:eastAsia="Calibri"/>
                <w:szCs w:val="19"/>
                <w:lang w:eastAsia="en-US"/>
              </w:rPr>
              <w:t>Bonus</w:t>
            </w:r>
          </w:p>
        </w:tc>
        <w:tc>
          <w:tcPr>
            <w:tcW w:w="3118" w:type="dxa"/>
            <w:tcBorders>
              <w:top w:val="single" w:sz="4" w:space="0" w:color="auto"/>
              <w:left w:val="single" w:sz="4" w:space="0" w:color="auto"/>
              <w:bottom w:val="single" w:sz="4" w:space="0" w:color="auto"/>
              <w:right w:val="single" w:sz="4" w:space="0" w:color="auto"/>
            </w:tcBorders>
            <w:hideMark/>
          </w:tcPr>
          <w:p w14:paraId="44B13052" w14:textId="77777777" w:rsidR="00AC50E4" w:rsidRPr="00861D44" w:rsidRDefault="00AC50E4" w:rsidP="00BE6DD5">
            <w:pPr>
              <w:jc w:val="both"/>
              <w:rPr>
                <w:rFonts w:eastAsia="Calibri"/>
                <w:szCs w:val="19"/>
                <w:lang w:eastAsia="en-US"/>
              </w:rPr>
            </w:pPr>
            <w:r w:rsidRPr="00861D44">
              <w:rPr>
                <w:rFonts w:eastAsia="Calibri"/>
                <w:szCs w:val="19"/>
                <w:lang w:eastAsia="en-US"/>
              </w:rPr>
              <w:t>55+</w:t>
            </w:r>
          </w:p>
        </w:tc>
        <w:tc>
          <w:tcPr>
            <w:tcW w:w="3397" w:type="dxa"/>
            <w:tcBorders>
              <w:top w:val="single" w:sz="4" w:space="0" w:color="auto"/>
              <w:left w:val="single" w:sz="4" w:space="0" w:color="auto"/>
              <w:bottom w:val="single" w:sz="4" w:space="0" w:color="auto"/>
              <w:right w:val="single" w:sz="4" w:space="0" w:color="auto"/>
            </w:tcBorders>
            <w:hideMark/>
          </w:tcPr>
          <w:p w14:paraId="5C9793A0" w14:textId="77777777" w:rsidR="00AC50E4" w:rsidRPr="00861D44" w:rsidRDefault="00AC50E4" w:rsidP="00BE6DD5">
            <w:pPr>
              <w:jc w:val="both"/>
              <w:rPr>
                <w:rFonts w:eastAsia="Calibri"/>
                <w:szCs w:val="19"/>
                <w:lang w:eastAsia="en-US"/>
              </w:rPr>
            </w:pPr>
            <w:r w:rsidRPr="00861D44">
              <w:rPr>
                <w:rFonts w:eastAsia="Calibri"/>
                <w:szCs w:val="19"/>
                <w:lang w:eastAsia="en-US"/>
              </w:rPr>
              <w:t>€ 10.000</w:t>
            </w:r>
          </w:p>
        </w:tc>
      </w:tr>
      <w:tr w:rsidR="00AC50E4" w:rsidRPr="00861D44" w14:paraId="1E87DD0F"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3AF45349" w14:textId="77777777" w:rsidR="00AC50E4" w:rsidRPr="00861D44" w:rsidRDefault="00AC50E4" w:rsidP="00BE6DD5">
            <w:pPr>
              <w:jc w:val="both"/>
              <w:rPr>
                <w:rFonts w:eastAsia="Calibri"/>
                <w:szCs w:val="19"/>
                <w:lang w:eastAsia="en-US"/>
              </w:rPr>
            </w:pPr>
            <w:r>
              <w:rPr>
                <w:rFonts w:eastAsia="Calibri"/>
                <w:szCs w:val="19"/>
                <w:lang w:eastAsia="en-US"/>
              </w:rPr>
              <w:t>Bonus</w:t>
            </w:r>
          </w:p>
        </w:tc>
        <w:tc>
          <w:tcPr>
            <w:tcW w:w="3118" w:type="dxa"/>
            <w:tcBorders>
              <w:top w:val="single" w:sz="4" w:space="0" w:color="auto"/>
              <w:left w:val="single" w:sz="4" w:space="0" w:color="auto"/>
              <w:bottom w:val="single" w:sz="4" w:space="0" w:color="auto"/>
              <w:right w:val="single" w:sz="4" w:space="0" w:color="auto"/>
            </w:tcBorders>
            <w:hideMark/>
          </w:tcPr>
          <w:p w14:paraId="4A2BE5BF" w14:textId="77777777" w:rsidR="00AC50E4" w:rsidRPr="00861D44" w:rsidRDefault="00AC50E4" w:rsidP="00BE6DD5">
            <w:pPr>
              <w:jc w:val="both"/>
              <w:rPr>
                <w:rFonts w:eastAsia="Calibri"/>
                <w:szCs w:val="19"/>
                <w:lang w:eastAsia="en-US"/>
              </w:rPr>
            </w:pPr>
            <w:r w:rsidRPr="00861D44">
              <w:rPr>
                <w:rFonts w:eastAsia="Calibri"/>
                <w:szCs w:val="19"/>
                <w:lang w:eastAsia="en-US"/>
              </w:rPr>
              <w:t>Opleidingskosten en bijzondere begeleidingskosten</w:t>
            </w:r>
          </w:p>
        </w:tc>
        <w:tc>
          <w:tcPr>
            <w:tcW w:w="3397" w:type="dxa"/>
            <w:tcBorders>
              <w:top w:val="single" w:sz="4" w:space="0" w:color="auto"/>
              <w:left w:val="single" w:sz="4" w:space="0" w:color="auto"/>
              <w:bottom w:val="single" w:sz="4" w:space="0" w:color="auto"/>
              <w:right w:val="single" w:sz="4" w:space="0" w:color="auto"/>
            </w:tcBorders>
            <w:hideMark/>
          </w:tcPr>
          <w:p w14:paraId="11199C24" w14:textId="77777777" w:rsidR="00AC50E4" w:rsidRPr="00861D44" w:rsidRDefault="00AC50E4" w:rsidP="00BE6DD5">
            <w:pPr>
              <w:jc w:val="both"/>
              <w:rPr>
                <w:rFonts w:eastAsia="Calibri"/>
                <w:szCs w:val="19"/>
                <w:lang w:eastAsia="en-US"/>
              </w:rPr>
            </w:pPr>
            <w:r w:rsidRPr="00861D44">
              <w:rPr>
                <w:rFonts w:eastAsia="Calibri"/>
                <w:szCs w:val="19"/>
                <w:lang w:eastAsia="en-US"/>
              </w:rPr>
              <w:t>Gemaakte kosten</w:t>
            </w:r>
          </w:p>
        </w:tc>
      </w:tr>
      <w:tr w:rsidR="00AC50E4" w:rsidRPr="00861D44" w14:paraId="4D74024A"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5D3842F7" w14:textId="77777777" w:rsidR="00AC50E4" w:rsidRPr="00861D44" w:rsidRDefault="00AC50E4" w:rsidP="00BE6DD5">
            <w:pPr>
              <w:jc w:val="both"/>
              <w:rPr>
                <w:rFonts w:eastAsia="Calibri"/>
                <w:szCs w:val="19"/>
                <w:lang w:eastAsia="en-US"/>
              </w:rPr>
            </w:pPr>
            <w:r>
              <w:rPr>
                <w:rFonts w:eastAsia="Calibri"/>
                <w:szCs w:val="19"/>
                <w:lang w:eastAsia="en-US"/>
              </w:rPr>
              <w:t>Bonus</w:t>
            </w:r>
          </w:p>
        </w:tc>
        <w:tc>
          <w:tcPr>
            <w:tcW w:w="3118" w:type="dxa"/>
            <w:tcBorders>
              <w:top w:val="single" w:sz="4" w:space="0" w:color="auto"/>
              <w:left w:val="single" w:sz="4" w:space="0" w:color="auto"/>
              <w:bottom w:val="single" w:sz="4" w:space="0" w:color="auto"/>
              <w:right w:val="single" w:sz="4" w:space="0" w:color="auto"/>
            </w:tcBorders>
            <w:hideMark/>
          </w:tcPr>
          <w:p w14:paraId="526DF89D" w14:textId="77777777" w:rsidR="00AC50E4" w:rsidRPr="00861D44" w:rsidRDefault="00AC50E4" w:rsidP="00BE6DD5">
            <w:pPr>
              <w:jc w:val="both"/>
              <w:rPr>
                <w:rFonts w:eastAsia="Calibri"/>
                <w:szCs w:val="19"/>
                <w:lang w:eastAsia="en-US"/>
              </w:rPr>
            </w:pPr>
            <w:r w:rsidRPr="00861D44">
              <w:rPr>
                <w:rFonts w:eastAsia="Calibri"/>
                <w:szCs w:val="19"/>
                <w:lang w:eastAsia="en-US"/>
              </w:rPr>
              <w:t>Dienstverband VSO/ Praktijkonderwijs (na een stage van minimaal 6 maanden)</w:t>
            </w:r>
          </w:p>
        </w:tc>
        <w:tc>
          <w:tcPr>
            <w:tcW w:w="3397" w:type="dxa"/>
            <w:tcBorders>
              <w:top w:val="single" w:sz="4" w:space="0" w:color="auto"/>
              <w:left w:val="single" w:sz="4" w:space="0" w:color="auto"/>
              <w:bottom w:val="single" w:sz="4" w:space="0" w:color="auto"/>
              <w:right w:val="single" w:sz="4" w:space="0" w:color="auto"/>
            </w:tcBorders>
            <w:hideMark/>
          </w:tcPr>
          <w:p w14:paraId="5FE774AD" w14:textId="77777777" w:rsidR="00AC50E4" w:rsidRPr="00861D44" w:rsidRDefault="00AC50E4" w:rsidP="00BE6DD5">
            <w:pPr>
              <w:jc w:val="both"/>
              <w:rPr>
                <w:rFonts w:eastAsia="Calibri"/>
                <w:szCs w:val="19"/>
                <w:lang w:eastAsia="en-US"/>
              </w:rPr>
            </w:pPr>
            <w:r w:rsidRPr="00861D44">
              <w:rPr>
                <w:rFonts w:eastAsia="Calibri"/>
                <w:szCs w:val="19"/>
                <w:lang w:eastAsia="en-US"/>
              </w:rPr>
              <w:t>€ 25.000</w:t>
            </w:r>
          </w:p>
        </w:tc>
      </w:tr>
      <w:tr w:rsidR="00AC50E4" w:rsidRPr="00861D44" w14:paraId="554CB9B1"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7688AADE" w14:textId="77777777" w:rsidR="00AC50E4" w:rsidRPr="00861D44" w:rsidRDefault="00AC50E4" w:rsidP="00BE6DD5">
            <w:pPr>
              <w:jc w:val="both"/>
              <w:rPr>
                <w:rFonts w:eastAsia="Calibri"/>
                <w:szCs w:val="19"/>
                <w:lang w:eastAsia="en-US"/>
              </w:rPr>
            </w:pPr>
            <w:r>
              <w:rPr>
                <w:rFonts w:eastAsia="Calibri"/>
                <w:szCs w:val="19"/>
                <w:lang w:eastAsia="en-US"/>
              </w:rPr>
              <w:t>Bonus</w:t>
            </w:r>
          </w:p>
        </w:tc>
        <w:tc>
          <w:tcPr>
            <w:tcW w:w="3118" w:type="dxa"/>
            <w:tcBorders>
              <w:top w:val="single" w:sz="4" w:space="0" w:color="auto"/>
              <w:left w:val="single" w:sz="4" w:space="0" w:color="auto"/>
              <w:bottom w:val="single" w:sz="4" w:space="0" w:color="auto"/>
              <w:right w:val="single" w:sz="4" w:space="0" w:color="auto"/>
            </w:tcBorders>
            <w:hideMark/>
          </w:tcPr>
          <w:p w14:paraId="74100C9E" w14:textId="77777777" w:rsidR="00AC50E4" w:rsidRPr="00861D44" w:rsidRDefault="00AC50E4" w:rsidP="00BE6DD5">
            <w:pPr>
              <w:jc w:val="both"/>
              <w:rPr>
                <w:rFonts w:eastAsia="Calibri"/>
                <w:szCs w:val="19"/>
                <w:lang w:eastAsia="en-US"/>
              </w:rPr>
            </w:pPr>
            <w:r w:rsidRPr="00165E39">
              <w:rPr>
                <w:rFonts w:eastAsia="Calibri"/>
                <w:szCs w:val="19"/>
                <w:lang w:eastAsia="en-US"/>
              </w:rPr>
              <w:t>Dienstverband arbeidsbeperking inclusief</w:t>
            </w:r>
            <w:r>
              <w:rPr>
                <w:rFonts w:eastAsia="Calibri"/>
                <w:szCs w:val="19"/>
                <w:lang w:eastAsia="en-US"/>
              </w:rPr>
              <w:t xml:space="preserve"> </w:t>
            </w:r>
            <w:r w:rsidRPr="00165E39">
              <w:rPr>
                <w:rFonts w:eastAsia="Calibri"/>
                <w:szCs w:val="19"/>
                <w:lang w:eastAsia="en-US"/>
              </w:rPr>
              <w:t>Individ</w:t>
            </w:r>
            <w:r>
              <w:rPr>
                <w:rFonts w:eastAsia="Calibri"/>
                <w:szCs w:val="19"/>
                <w:lang w:eastAsia="en-US"/>
              </w:rPr>
              <w:t>uele Plaatsing en Steun (IPS)**</w:t>
            </w:r>
          </w:p>
        </w:tc>
        <w:tc>
          <w:tcPr>
            <w:tcW w:w="3397" w:type="dxa"/>
            <w:tcBorders>
              <w:top w:val="single" w:sz="4" w:space="0" w:color="auto"/>
              <w:left w:val="single" w:sz="4" w:space="0" w:color="auto"/>
              <w:bottom w:val="single" w:sz="4" w:space="0" w:color="auto"/>
              <w:right w:val="single" w:sz="4" w:space="0" w:color="auto"/>
            </w:tcBorders>
            <w:hideMark/>
          </w:tcPr>
          <w:p w14:paraId="26C100E9" w14:textId="77777777" w:rsidR="00AC50E4" w:rsidRPr="00861D44" w:rsidRDefault="00AC50E4" w:rsidP="00BE6DD5">
            <w:pPr>
              <w:jc w:val="both"/>
              <w:rPr>
                <w:rFonts w:eastAsia="Calibri"/>
                <w:szCs w:val="19"/>
                <w:lang w:eastAsia="en-US"/>
              </w:rPr>
            </w:pPr>
            <w:r w:rsidRPr="00861D44">
              <w:rPr>
                <w:rFonts w:eastAsia="Calibri"/>
                <w:szCs w:val="19"/>
                <w:lang w:eastAsia="en-US"/>
              </w:rPr>
              <w:t>€ 10.000</w:t>
            </w:r>
          </w:p>
        </w:tc>
      </w:tr>
    </w:tbl>
    <w:p w14:paraId="7B7CAD57" w14:textId="77777777" w:rsidR="00AC50E4" w:rsidRPr="00861D44" w:rsidRDefault="00AC50E4" w:rsidP="00AC50E4">
      <w:pPr>
        <w:jc w:val="both"/>
        <w:rPr>
          <w:rFonts w:eastAsia="Calibri"/>
          <w:szCs w:val="19"/>
          <w:lang w:eastAsia="en-US"/>
        </w:rPr>
      </w:pPr>
    </w:p>
    <w:p w14:paraId="7912CDF9" w14:textId="77777777" w:rsidR="00AC50E4" w:rsidRPr="00165E39" w:rsidRDefault="00AC50E4" w:rsidP="00AC50E4">
      <w:pPr>
        <w:jc w:val="both"/>
        <w:rPr>
          <w:rFonts w:eastAsia="Calibri"/>
          <w:szCs w:val="19"/>
          <w:lang w:eastAsia="en-US"/>
        </w:rPr>
      </w:pPr>
      <w:r w:rsidRPr="00165E39">
        <w:rPr>
          <w:rFonts w:eastAsia="Calibri"/>
          <w:szCs w:val="19"/>
          <w:lang w:eastAsia="en-US"/>
        </w:rPr>
        <w:t>Kandidaat telt maximaal 12 maanden mee. Kandidaten van WIA, VSO, praktijkonderwijs en van P-wet tellen maximaal 24 maanden mee.</w:t>
      </w:r>
    </w:p>
    <w:p w14:paraId="6174D4E6" w14:textId="77777777" w:rsidR="00AC50E4" w:rsidRPr="00165E39" w:rsidRDefault="00AC50E4" w:rsidP="00AC50E4">
      <w:pPr>
        <w:jc w:val="both"/>
        <w:rPr>
          <w:rFonts w:eastAsia="Calibri"/>
          <w:szCs w:val="19"/>
          <w:lang w:eastAsia="en-US"/>
        </w:rPr>
      </w:pPr>
      <w:r w:rsidRPr="00165E39">
        <w:rPr>
          <w:rFonts w:eastAsia="Calibri"/>
          <w:szCs w:val="19"/>
          <w:lang w:eastAsia="en-US"/>
        </w:rPr>
        <w:t>Kandidaten van Banenafspraak kunnen altijd meetellen. Kandidaten met LKS kunnen gedurende de LKS meetellen.</w:t>
      </w:r>
    </w:p>
    <w:p w14:paraId="5A1856BE" w14:textId="77777777" w:rsidR="00AC50E4" w:rsidRPr="00165E39" w:rsidRDefault="00AC50E4" w:rsidP="00AC50E4">
      <w:pPr>
        <w:jc w:val="both"/>
        <w:rPr>
          <w:rFonts w:eastAsia="Calibri"/>
          <w:szCs w:val="19"/>
          <w:lang w:eastAsia="en-US"/>
        </w:rPr>
      </w:pPr>
      <w:r w:rsidRPr="00165E39">
        <w:rPr>
          <w:rFonts w:eastAsia="Calibri"/>
          <w:szCs w:val="19"/>
          <w:lang w:eastAsia="en-US"/>
        </w:rPr>
        <w:t>Kandidaat gestart binnen 12 maanden voorafgaand aan contract mag meetellen.</w:t>
      </w:r>
    </w:p>
    <w:p w14:paraId="72C49308" w14:textId="77777777" w:rsidR="00AC50E4" w:rsidRPr="00165E39" w:rsidRDefault="00AC50E4" w:rsidP="00AC50E4">
      <w:pPr>
        <w:jc w:val="both"/>
        <w:rPr>
          <w:rFonts w:eastAsia="Calibri"/>
          <w:szCs w:val="19"/>
          <w:lang w:eastAsia="en-US"/>
        </w:rPr>
      </w:pPr>
      <w:r>
        <w:rPr>
          <w:rFonts w:eastAsia="Calibri"/>
          <w:szCs w:val="19"/>
          <w:lang w:eastAsia="en-US"/>
        </w:rPr>
        <w:t>*</w:t>
      </w:r>
      <w:r w:rsidRPr="00165E39">
        <w:rPr>
          <w:rFonts w:eastAsia="Calibri"/>
          <w:szCs w:val="19"/>
          <w:lang w:eastAsia="en-US"/>
        </w:rPr>
        <w:t xml:space="preserve"> Niet-uitkeringsgerechtigde, persoon als bedoeld in de wet, artikel 6, lid 1 onder a.</w:t>
      </w:r>
    </w:p>
    <w:p w14:paraId="7A499C34" w14:textId="77777777" w:rsidR="00AC50E4" w:rsidRDefault="00AC50E4" w:rsidP="00AC50E4">
      <w:pPr>
        <w:jc w:val="both"/>
        <w:rPr>
          <w:rFonts w:eastAsia="Calibri"/>
          <w:szCs w:val="19"/>
          <w:lang w:eastAsia="en-US"/>
        </w:rPr>
      </w:pPr>
      <w:r>
        <w:rPr>
          <w:rFonts w:eastAsia="Calibri"/>
          <w:szCs w:val="19"/>
          <w:lang w:eastAsia="en-US"/>
        </w:rPr>
        <w:t>**</w:t>
      </w:r>
      <w:r w:rsidRPr="00165E39">
        <w:rPr>
          <w:rFonts w:eastAsia="Calibri"/>
          <w:szCs w:val="19"/>
          <w:lang w:eastAsia="en-US"/>
        </w:rPr>
        <w:t xml:space="preserve"> Niet van toepassing op Banenafspraak en WIA.</w:t>
      </w:r>
    </w:p>
    <w:p w14:paraId="74FA724B" w14:textId="77777777" w:rsidR="00AC50E4" w:rsidRDefault="00AC50E4" w:rsidP="00AC50E4">
      <w:pPr>
        <w:jc w:val="both"/>
        <w:rPr>
          <w:rFonts w:eastAsia="Calibri"/>
          <w:szCs w:val="19"/>
          <w:lang w:eastAsia="en-US"/>
        </w:rPr>
      </w:pPr>
    </w:p>
    <w:p w14:paraId="46FFADBE" w14:textId="77777777" w:rsidR="00AC50E4" w:rsidRPr="00861D44" w:rsidRDefault="00AC50E4" w:rsidP="00AC50E4">
      <w:pPr>
        <w:jc w:val="both"/>
        <w:rPr>
          <w:rFonts w:eastAsia="Calibri"/>
          <w:szCs w:val="19"/>
          <w:lang w:eastAsia="en-US"/>
        </w:rPr>
      </w:pPr>
    </w:p>
    <w:p w14:paraId="59B92DA9" w14:textId="77777777" w:rsidR="00AC50E4" w:rsidRPr="00861D44" w:rsidRDefault="00AC50E4" w:rsidP="00AC50E4">
      <w:pPr>
        <w:numPr>
          <w:ilvl w:val="0"/>
          <w:numId w:val="46"/>
        </w:numPr>
        <w:spacing w:line="260" w:lineRule="atLeast"/>
        <w:jc w:val="both"/>
        <w:rPr>
          <w:rFonts w:cs="Arial"/>
          <w:b/>
          <w:bCs/>
          <w:szCs w:val="19"/>
        </w:rPr>
      </w:pPr>
      <w:r w:rsidRPr="00861D44">
        <w:rPr>
          <w:rFonts w:cs="Arial"/>
          <w:b/>
          <w:bCs/>
          <w:szCs w:val="19"/>
        </w:rPr>
        <w:t xml:space="preserve">Investeren of participeren in </w:t>
      </w:r>
      <w:proofErr w:type="spellStart"/>
      <w:r w:rsidRPr="00861D44">
        <w:rPr>
          <w:rFonts w:cs="Arial"/>
          <w:b/>
          <w:bCs/>
          <w:szCs w:val="19"/>
        </w:rPr>
        <w:t>kandidaatontwikkeling</w:t>
      </w:r>
      <w:proofErr w:type="spellEnd"/>
    </w:p>
    <w:tbl>
      <w:tblPr>
        <w:tblStyle w:val="TabelLansingerlandstandaard"/>
        <w:tblW w:w="0" w:type="auto"/>
        <w:tblLook w:val="04A0" w:firstRow="1" w:lastRow="0" w:firstColumn="1" w:lastColumn="0" w:noHBand="0" w:noVBand="1"/>
      </w:tblPr>
      <w:tblGrid>
        <w:gridCol w:w="2547"/>
        <w:gridCol w:w="3118"/>
        <w:gridCol w:w="3397"/>
      </w:tblGrid>
      <w:tr w:rsidR="00AC50E4" w:rsidRPr="00861D44" w14:paraId="225B39FB" w14:textId="77777777" w:rsidTr="00BE6DD5">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198BDB" w14:textId="77777777" w:rsidR="00AC50E4" w:rsidRPr="00861D44" w:rsidRDefault="00AC50E4" w:rsidP="00BE6DD5">
            <w:pPr>
              <w:jc w:val="both"/>
              <w:rPr>
                <w:rFonts w:eastAsia="Calibri"/>
                <w:szCs w:val="19"/>
                <w:lang w:eastAsia="en-US"/>
              </w:rPr>
            </w:pPr>
            <w:r w:rsidRPr="00861D44">
              <w:rPr>
                <w:rFonts w:eastAsia="Calibri"/>
                <w:szCs w:val="19"/>
                <w:lang w:eastAsia="en-US"/>
              </w:rPr>
              <w:t>Bouwblok</w:t>
            </w: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1713C5" w14:textId="77777777" w:rsidR="00AC50E4" w:rsidRPr="00861D44" w:rsidRDefault="00AC50E4" w:rsidP="00BE6DD5">
            <w:pPr>
              <w:jc w:val="both"/>
              <w:rPr>
                <w:rFonts w:eastAsia="Calibri"/>
                <w:szCs w:val="19"/>
                <w:lang w:eastAsia="en-US"/>
              </w:rPr>
            </w:pPr>
            <w:r w:rsidRPr="00861D44">
              <w:rPr>
                <w:rFonts w:eastAsia="Calibri"/>
                <w:szCs w:val="19"/>
                <w:lang w:eastAsia="en-US"/>
              </w:rPr>
              <w:t>Invulling</w:t>
            </w:r>
          </w:p>
        </w:tc>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5E43C9" w14:textId="77777777" w:rsidR="00AC50E4" w:rsidRPr="00861D44" w:rsidRDefault="00AC50E4" w:rsidP="00BE6DD5">
            <w:pPr>
              <w:jc w:val="both"/>
              <w:rPr>
                <w:rFonts w:eastAsia="Calibri"/>
                <w:szCs w:val="19"/>
                <w:lang w:eastAsia="en-US"/>
              </w:rPr>
            </w:pPr>
            <w:r w:rsidRPr="00861D44">
              <w:rPr>
                <w:rFonts w:eastAsia="Calibri"/>
                <w:szCs w:val="19"/>
                <w:lang w:eastAsia="en-US"/>
              </w:rPr>
              <w:t>Waarde per jaar op basis van 36 uur</w:t>
            </w:r>
          </w:p>
        </w:tc>
      </w:tr>
      <w:tr w:rsidR="00AC50E4" w:rsidRPr="00861D44" w14:paraId="640C5D8F"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20CC225C" w14:textId="77777777" w:rsidR="00AC50E4" w:rsidRPr="00861D44" w:rsidRDefault="00AC50E4" w:rsidP="00BE6DD5">
            <w:pPr>
              <w:jc w:val="both"/>
              <w:rPr>
                <w:rFonts w:eastAsia="Calibri"/>
                <w:szCs w:val="19"/>
                <w:lang w:eastAsia="en-US"/>
              </w:rPr>
            </w:pPr>
            <w:proofErr w:type="spellStart"/>
            <w:r w:rsidRPr="00861D44">
              <w:rPr>
                <w:rFonts w:eastAsia="Calibri"/>
                <w:szCs w:val="19"/>
                <w:lang w:eastAsia="en-US"/>
              </w:rPr>
              <w:t>Social</w:t>
            </w:r>
            <w:proofErr w:type="spellEnd"/>
            <w:r w:rsidRPr="00861D44">
              <w:rPr>
                <w:rFonts w:eastAsia="Calibri"/>
                <w:szCs w:val="19"/>
                <w:lang w:eastAsia="en-US"/>
              </w:rPr>
              <w:t xml:space="preserve"> returnproject</w:t>
            </w:r>
          </w:p>
        </w:tc>
        <w:tc>
          <w:tcPr>
            <w:tcW w:w="3118" w:type="dxa"/>
            <w:tcBorders>
              <w:top w:val="single" w:sz="4" w:space="0" w:color="auto"/>
              <w:left w:val="single" w:sz="4" w:space="0" w:color="auto"/>
              <w:bottom w:val="single" w:sz="4" w:space="0" w:color="auto"/>
              <w:right w:val="single" w:sz="4" w:space="0" w:color="auto"/>
            </w:tcBorders>
            <w:hideMark/>
          </w:tcPr>
          <w:p w14:paraId="524EE489" w14:textId="77777777" w:rsidR="00AC50E4" w:rsidRPr="00861D44" w:rsidRDefault="00AC50E4" w:rsidP="00BE6DD5">
            <w:pPr>
              <w:jc w:val="both"/>
              <w:rPr>
                <w:rFonts w:eastAsia="Calibri"/>
                <w:szCs w:val="19"/>
                <w:lang w:eastAsia="en-US"/>
              </w:rPr>
            </w:pPr>
            <w:r w:rsidRPr="00861D44">
              <w:rPr>
                <w:rFonts w:eastAsia="Calibri"/>
                <w:szCs w:val="19"/>
                <w:lang w:eastAsia="en-US"/>
              </w:rPr>
              <w:t xml:space="preserve">Co-creatief project gericht op </w:t>
            </w:r>
            <w:proofErr w:type="spellStart"/>
            <w:r w:rsidRPr="00861D44">
              <w:rPr>
                <w:rFonts w:eastAsia="Calibri"/>
                <w:szCs w:val="19"/>
                <w:lang w:eastAsia="en-US"/>
              </w:rPr>
              <w:t>kandidaatontwikkeling</w:t>
            </w:r>
            <w:proofErr w:type="spellEnd"/>
            <w:r>
              <w:rPr>
                <w:rFonts w:eastAsia="Calibri"/>
                <w:szCs w:val="19"/>
                <w:lang w:eastAsia="en-US"/>
              </w:rPr>
              <w:t xml:space="preserve">. </w:t>
            </w:r>
            <w:r w:rsidRPr="00A16CF5">
              <w:rPr>
                <w:rFonts w:eastAsia="Calibri"/>
                <w:szCs w:val="19"/>
                <w:lang w:eastAsia="en-US"/>
              </w:rPr>
              <w:t>Denk met name ook aan scholing en activiteiten van</w:t>
            </w:r>
            <w:r>
              <w:rPr>
                <w:rFonts w:eastAsia="Calibri"/>
                <w:szCs w:val="19"/>
                <w:lang w:eastAsia="en-US"/>
              </w:rPr>
              <w:t xml:space="preserve"> </w:t>
            </w:r>
            <w:r w:rsidRPr="00A16CF5">
              <w:rPr>
                <w:rFonts w:eastAsia="Calibri"/>
                <w:szCs w:val="19"/>
                <w:lang w:eastAsia="en-US"/>
              </w:rPr>
              <w:t>kandidaten voor MBO niveau 0-1 of MBO</w:t>
            </w:r>
            <w:r>
              <w:rPr>
                <w:rFonts w:eastAsia="Calibri"/>
                <w:szCs w:val="19"/>
                <w:lang w:eastAsia="en-US"/>
              </w:rPr>
              <w:t xml:space="preserve"> </w:t>
            </w:r>
            <w:r w:rsidRPr="00A16CF5">
              <w:rPr>
                <w:rFonts w:eastAsia="Calibri"/>
                <w:szCs w:val="19"/>
                <w:lang w:eastAsia="en-US"/>
              </w:rPr>
              <w:t>praktijkverklaring.</w:t>
            </w:r>
          </w:p>
        </w:tc>
        <w:tc>
          <w:tcPr>
            <w:tcW w:w="3397" w:type="dxa"/>
            <w:tcBorders>
              <w:top w:val="single" w:sz="4" w:space="0" w:color="auto"/>
              <w:left w:val="single" w:sz="4" w:space="0" w:color="auto"/>
              <w:bottom w:val="single" w:sz="4" w:space="0" w:color="auto"/>
              <w:right w:val="single" w:sz="4" w:space="0" w:color="auto"/>
            </w:tcBorders>
            <w:hideMark/>
          </w:tcPr>
          <w:p w14:paraId="37A22FB1" w14:textId="77777777" w:rsidR="00AC50E4" w:rsidRPr="00861D44" w:rsidRDefault="00AC50E4" w:rsidP="00BE6DD5">
            <w:pPr>
              <w:jc w:val="both"/>
              <w:rPr>
                <w:rFonts w:eastAsia="Calibri"/>
                <w:szCs w:val="19"/>
                <w:lang w:eastAsia="en-US"/>
              </w:rPr>
            </w:pPr>
            <w:r w:rsidRPr="00861D44">
              <w:rPr>
                <w:rFonts w:eastAsia="Calibri"/>
                <w:szCs w:val="19"/>
                <w:lang w:eastAsia="en-US"/>
              </w:rPr>
              <w:t>Waarde traject</w:t>
            </w:r>
          </w:p>
        </w:tc>
      </w:tr>
      <w:tr w:rsidR="00AC50E4" w:rsidRPr="00861D44" w14:paraId="325F80D2"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496E22FF" w14:textId="77777777" w:rsidR="00AC50E4" w:rsidRPr="00861D44" w:rsidRDefault="00AC50E4" w:rsidP="00BE6DD5">
            <w:pPr>
              <w:jc w:val="both"/>
              <w:rPr>
                <w:rFonts w:eastAsia="Calibri"/>
                <w:szCs w:val="19"/>
                <w:lang w:eastAsia="en-US"/>
              </w:rPr>
            </w:pPr>
            <w:r w:rsidRPr="00861D44">
              <w:rPr>
                <w:rFonts w:eastAsia="Calibri"/>
                <w:szCs w:val="19"/>
                <w:lang w:eastAsia="en-US"/>
              </w:rPr>
              <w:t>Sociaal inkopen</w:t>
            </w:r>
          </w:p>
        </w:tc>
        <w:tc>
          <w:tcPr>
            <w:tcW w:w="3118" w:type="dxa"/>
            <w:tcBorders>
              <w:top w:val="single" w:sz="4" w:space="0" w:color="auto"/>
              <w:left w:val="single" w:sz="4" w:space="0" w:color="auto"/>
              <w:bottom w:val="single" w:sz="4" w:space="0" w:color="auto"/>
              <w:right w:val="single" w:sz="4" w:space="0" w:color="auto"/>
            </w:tcBorders>
            <w:hideMark/>
          </w:tcPr>
          <w:p w14:paraId="214167A1" w14:textId="77777777" w:rsidR="00AC50E4" w:rsidRPr="00861D44" w:rsidRDefault="00AC50E4" w:rsidP="00BE6DD5">
            <w:pPr>
              <w:jc w:val="both"/>
              <w:rPr>
                <w:rFonts w:eastAsia="Calibri"/>
                <w:szCs w:val="19"/>
                <w:lang w:eastAsia="en-US"/>
              </w:rPr>
            </w:pPr>
            <w:r w:rsidRPr="00861D44">
              <w:rPr>
                <w:rFonts w:eastAsia="Calibri"/>
                <w:szCs w:val="19"/>
                <w:lang w:eastAsia="en-US"/>
              </w:rPr>
              <w:t>Bij het SW-bedrijf of een door de regio erkende sociaal ondernemer</w:t>
            </w:r>
          </w:p>
        </w:tc>
        <w:tc>
          <w:tcPr>
            <w:tcW w:w="3397" w:type="dxa"/>
            <w:tcBorders>
              <w:top w:val="single" w:sz="4" w:space="0" w:color="auto"/>
              <w:left w:val="single" w:sz="4" w:space="0" w:color="auto"/>
              <w:bottom w:val="single" w:sz="4" w:space="0" w:color="auto"/>
              <w:right w:val="single" w:sz="4" w:space="0" w:color="auto"/>
            </w:tcBorders>
            <w:hideMark/>
          </w:tcPr>
          <w:p w14:paraId="653160E8" w14:textId="77777777" w:rsidR="00AC50E4" w:rsidRPr="00861D44" w:rsidRDefault="00AC50E4" w:rsidP="00BE6DD5">
            <w:pPr>
              <w:jc w:val="both"/>
              <w:rPr>
                <w:rFonts w:eastAsia="Calibri"/>
                <w:szCs w:val="19"/>
                <w:lang w:eastAsia="en-US"/>
              </w:rPr>
            </w:pPr>
            <w:r w:rsidRPr="00861D44">
              <w:rPr>
                <w:rFonts w:eastAsia="Calibri"/>
                <w:szCs w:val="19"/>
                <w:lang w:eastAsia="en-US"/>
              </w:rPr>
              <w:t>Betaalde factuur</w:t>
            </w:r>
          </w:p>
        </w:tc>
      </w:tr>
    </w:tbl>
    <w:p w14:paraId="14DDB848" w14:textId="77777777" w:rsidR="00AC50E4" w:rsidRPr="00861D44" w:rsidRDefault="00AC50E4" w:rsidP="00AC50E4">
      <w:pPr>
        <w:jc w:val="both"/>
        <w:rPr>
          <w:rFonts w:eastAsia="Calibri"/>
          <w:szCs w:val="19"/>
          <w:lang w:eastAsia="en-US"/>
        </w:rPr>
      </w:pPr>
    </w:p>
    <w:p w14:paraId="18F35A48" w14:textId="77777777" w:rsidR="00AC50E4" w:rsidRPr="00861D44" w:rsidRDefault="00AC50E4" w:rsidP="00AC50E4">
      <w:pPr>
        <w:jc w:val="both"/>
        <w:rPr>
          <w:rFonts w:eastAsia="Calibri"/>
          <w:szCs w:val="19"/>
          <w:lang w:eastAsia="en-US"/>
        </w:rPr>
      </w:pPr>
      <w:r w:rsidRPr="00861D44">
        <w:rPr>
          <w:rFonts w:eastAsia="Calibri"/>
          <w:szCs w:val="19"/>
          <w:lang w:eastAsia="en-US"/>
        </w:rPr>
        <w:t xml:space="preserve">Bent u sociaal ondernemer en wilt u in aanmerking komen voor een </w:t>
      </w:r>
      <w:proofErr w:type="spellStart"/>
      <w:r w:rsidRPr="00861D44">
        <w:rPr>
          <w:rFonts w:eastAsia="Calibri"/>
          <w:szCs w:val="19"/>
          <w:lang w:eastAsia="en-US"/>
        </w:rPr>
        <w:t>social</w:t>
      </w:r>
      <w:proofErr w:type="spellEnd"/>
      <w:r w:rsidRPr="00861D44">
        <w:rPr>
          <w:rFonts w:eastAsia="Calibri"/>
          <w:szCs w:val="19"/>
          <w:lang w:eastAsia="en-US"/>
        </w:rPr>
        <w:t xml:space="preserve"> returnproject? Voor aanmelden en informatie over de voorwaarden kunt u contact opnemen per e-mail: </w:t>
      </w:r>
      <w:hyperlink r:id="rId7" w:history="1">
        <w:r w:rsidRPr="00861D44">
          <w:rPr>
            <w:rFonts w:eastAsia="Calibri"/>
            <w:color w:val="0000FF"/>
            <w:szCs w:val="19"/>
            <w:u w:val="single"/>
            <w:lang w:eastAsia="en-US"/>
          </w:rPr>
          <w:t>mariska.jetzes@lansingerland.nl</w:t>
        </w:r>
      </w:hyperlink>
      <w:r w:rsidRPr="00861D44">
        <w:rPr>
          <w:rFonts w:eastAsia="Calibri"/>
          <w:szCs w:val="19"/>
          <w:lang w:eastAsia="en-US"/>
        </w:rPr>
        <w:t>.</w:t>
      </w:r>
    </w:p>
    <w:p w14:paraId="4ADB3181" w14:textId="77777777" w:rsidR="00AC50E4" w:rsidRPr="00861D44" w:rsidRDefault="00AC50E4" w:rsidP="00AC50E4">
      <w:pPr>
        <w:jc w:val="both"/>
        <w:rPr>
          <w:rFonts w:eastAsia="Calibri"/>
          <w:szCs w:val="19"/>
          <w:lang w:eastAsia="en-US"/>
        </w:rPr>
      </w:pPr>
    </w:p>
    <w:p w14:paraId="5607084A" w14:textId="77777777" w:rsidR="00AC50E4" w:rsidRPr="00861D44" w:rsidRDefault="00AC50E4" w:rsidP="00AC50E4">
      <w:pPr>
        <w:jc w:val="both"/>
        <w:rPr>
          <w:rFonts w:eastAsia="Calibri"/>
          <w:szCs w:val="19"/>
          <w:lang w:eastAsia="en-US"/>
        </w:rPr>
      </w:pPr>
    </w:p>
    <w:p w14:paraId="66D5E455" w14:textId="77777777" w:rsidR="00AC50E4" w:rsidRPr="00861D44" w:rsidRDefault="00AC50E4" w:rsidP="00AC50E4">
      <w:pPr>
        <w:numPr>
          <w:ilvl w:val="0"/>
          <w:numId w:val="46"/>
        </w:numPr>
        <w:spacing w:line="260" w:lineRule="atLeast"/>
        <w:jc w:val="both"/>
        <w:rPr>
          <w:rFonts w:cs="Arial"/>
          <w:b/>
          <w:bCs/>
          <w:szCs w:val="19"/>
        </w:rPr>
      </w:pPr>
      <w:r w:rsidRPr="00861D44">
        <w:rPr>
          <w:rFonts w:cs="Arial"/>
          <w:b/>
          <w:bCs/>
          <w:szCs w:val="19"/>
        </w:rPr>
        <w:t xml:space="preserve">Maatschappelijke activiteit </w:t>
      </w:r>
      <w:r>
        <w:rPr>
          <w:rFonts w:cs="Arial"/>
          <w:b/>
          <w:bCs/>
          <w:szCs w:val="19"/>
        </w:rPr>
        <w:t xml:space="preserve">(bij voorkeur </w:t>
      </w:r>
      <w:r w:rsidRPr="00861D44">
        <w:rPr>
          <w:rFonts w:cs="Arial"/>
          <w:b/>
          <w:bCs/>
          <w:szCs w:val="19"/>
        </w:rPr>
        <w:t>gericht op arbeidsparticipatie</w:t>
      </w:r>
      <w:r>
        <w:rPr>
          <w:rFonts w:cs="Arial"/>
          <w:b/>
          <w:bCs/>
          <w:szCs w:val="19"/>
        </w:rPr>
        <w:t>)</w:t>
      </w:r>
    </w:p>
    <w:tbl>
      <w:tblPr>
        <w:tblStyle w:val="TabelLansingerlandstandaard"/>
        <w:tblW w:w="0" w:type="auto"/>
        <w:tblLook w:val="04A0" w:firstRow="1" w:lastRow="0" w:firstColumn="1" w:lastColumn="0" w:noHBand="0" w:noVBand="1"/>
      </w:tblPr>
      <w:tblGrid>
        <w:gridCol w:w="2547"/>
        <w:gridCol w:w="3118"/>
        <w:gridCol w:w="3397"/>
      </w:tblGrid>
      <w:tr w:rsidR="00AC50E4" w:rsidRPr="00861D44" w14:paraId="6E1F12ED" w14:textId="77777777" w:rsidTr="00BE6DD5">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A58ED6" w14:textId="77777777" w:rsidR="00AC50E4" w:rsidRPr="00861D44" w:rsidRDefault="00AC50E4" w:rsidP="00BE6DD5">
            <w:pPr>
              <w:jc w:val="both"/>
              <w:rPr>
                <w:rFonts w:eastAsia="Calibri"/>
                <w:szCs w:val="19"/>
                <w:lang w:eastAsia="en-US"/>
              </w:rPr>
            </w:pPr>
            <w:r w:rsidRPr="00861D44">
              <w:rPr>
                <w:rFonts w:eastAsia="Calibri"/>
                <w:szCs w:val="19"/>
                <w:lang w:eastAsia="en-US"/>
              </w:rPr>
              <w:t>Bouwblok</w:t>
            </w: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65682F" w14:textId="77777777" w:rsidR="00AC50E4" w:rsidRPr="00861D44" w:rsidRDefault="00AC50E4" w:rsidP="00BE6DD5">
            <w:pPr>
              <w:jc w:val="both"/>
              <w:rPr>
                <w:rFonts w:eastAsia="Calibri"/>
                <w:szCs w:val="19"/>
                <w:lang w:eastAsia="en-US"/>
              </w:rPr>
            </w:pPr>
            <w:r w:rsidRPr="00861D44">
              <w:rPr>
                <w:rFonts w:eastAsia="Calibri"/>
                <w:szCs w:val="19"/>
                <w:lang w:eastAsia="en-US"/>
              </w:rPr>
              <w:t>Invulling</w:t>
            </w:r>
          </w:p>
        </w:tc>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5A8EA5" w14:textId="77777777" w:rsidR="00AC50E4" w:rsidRPr="00861D44" w:rsidRDefault="00AC50E4" w:rsidP="00BE6DD5">
            <w:pPr>
              <w:jc w:val="both"/>
              <w:rPr>
                <w:rFonts w:eastAsia="Calibri"/>
                <w:szCs w:val="19"/>
                <w:lang w:eastAsia="en-US"/>
              </w:rPr>
            </w:pPr>
            <w:r w:rsidRPr="00861D44">
              <w:rPr>
                <w:rFonts w:eastAsia="Calibri"/>
                <w:szCs w:val="19"/>
                <w:lang w:eastAsia="en-US"/>
              </w:rPr>
              <w:t>Waarde per jaar op basis van 36 uur</w:t>
            </w:r>
          </w:p>
        </w:tc>
      </w:tr>
      <w:tr w:rsidR="00AC50E4" w:rsidRPr="00861D44" w14:paraId="773AB553" w14:textId="77777777" w:rsidTr="00BE6DD5">
        <w:tc>
          <w:tcPr>
            <w:tcW w:w="2547" w:type="dxa"/>
            <w:tcBorders>
              <w:top w:val="single" w:sz="4" w:space="0" w:color="auto"/>
              <w:left w:val="single" w:sz="4" w:space="0" w:color="auto"/>
              <w:bottom w:val="single" w:sz="4" w:space="0" w:color="auto"/>
              <w:right w:val="single" w:sz="4" w:space="0" w:color="auto"/>
            </w:tcBorders>
            <w:hideMark/>
          </w:tcPr>
          <w:p w14:paraId="3925F6C6" w14:textId="77777777" w:rsidR="00AC50E4" w:rsidRPr="00861D44" w:rsidRDefault="00AC50E4" w:rsidP="00BE6DD5">
            <w:pPr>
              <w:jc w:val="both"/>
              <w:rPr>
                <w:rFonts w:eastAsia="Calibri"/>
                <w:szCs w:val="19"/>
                <w:lang w:eastAsia="en-US"/>
              </w:rPr>
            </w:pPr>
            <w:r w:rsidRPr="00861D44">
              <w:rPr>
                <w:rFonts w:eastAsia="Calibri"/>
                <w:szCs w:val="19"/>
                <w:lang w:eastAsia="en-US"/>
              </w:rPr>
              <w:t>Maatschappelijke activiteit</w:t>
            </w:r>
          </w:p>
        </w:tc>
        <w:tc>
          <w:tcPr>
            <w:tcW w:w="3118" w:type="dxa"/>
            <w:tcBorders>
              <w:top w:val="single" w:sz="4" w:space="0" w:color="auto"/>
              <w:left w:val="single" w:sz="4" w:space="0" w:color="auto"/>
              <w:bottom w:val="single" w:sz="4" w:space="0" w:color="auto"/>
              <w:right w:val="single" w:sz="4" w:space="0" w:color="auto"/>
            </w:tcBorders>
            <w:hideMark/>
          </w:tcPr>
          <w:p w14:paraId="0078DA55" w14:textId="77777777" w:rsidR="00AC50E4" w:rsidRPr="00861D44" w:rsidRDefault="00AC50E4" w:rsidP="00BE6DD5">
            <w:pPr>
              <w:jc w:val="both"/>
              <w:rPr>
                <w:rFonts w:eastAsia="Calibri"/>
                <w:szCs w:val="19"/>
                <w:lang w:eastAsia="en-US"/>
              </w:rPr>
            </w:pPr>
            <w:r w:rsidRPr="00861D44">
              <w:rPr>
                <w:rFonts w:eastAsia="Calibri"/>
                <w:szCs w:val="19"/>
                <w:lang w:eastAsia="en-US"/>
              </w:rPr>
              <w:t>Op basis van een plan van aanpak</w:t>
            </w:r>
          </w:p>
        </w:tc>
        <w:tc>
          <w:tcPr>
            <w:tcW w:w="3397" w:type="dxa"/>
            <w:tcBorders>
              <w:top w:val="single" w:sz="4" w:space="0" w:color="auto"/>
              <w:left w:val="single" w:sz="4" w:space="0" w:color="auto"/>
              <w:bottom w:val="single" w:sz="4" w:space="0" w:color="auto"/>
              <w:right w:val="single" w:sz="4" w:space="0" w:color="auto"/>
            </w:tcBorders>
            <w:hideMark/>
          </w:tcPr>
          <w:p w14:paraId="375C9E89" w14:textId="77777777" w:rsidR="00AC50E4" w:rsidRPr="00861D44" w:rsidRDefault="00AC50E4" w:rsidP="00BE6DD5">
            <w:pPr>
              <w:jc w:val="both"/>
              <w:rPr>
                <w:rFonts w:eastAsia="Calibri"/>
                <w:szCs w:val="19"/>
                <w:lang w:eastAsia="en-US"/>
              </w:rPr>
            </w:pPr>
            <w:r w:rsidRPr="00861D44">
              <w:rPr>
                <w:rFonts w:eastAsia="Calibri"/>
                <w:szCs w:val="19"/>
                <w:lang w:eastAsia="en-US"/>
              </w:rPr>
              <w:t>€ 1.000 per dag of waarde van het traject</w:t>
            </w:r>
          </w:p>
        </w:tc>
      </w:tr>
    </w:tbl>
    <w:p w14:paraId="224B285E" w14:textId="77777777" w:rsidR="00AC50E4" w:rsidRPr="00861D44" w:rsidRDefault="00AC50E4" w:rsidP="00AC50E4">
      <w:pPr>
        <w:jc w:val="both"/>
        <w:rPr>
          <w:rFonts w:eastAsia="Calibri"/>
          <w:szCs w:val="19"/>
          <w:lang w:eastAsia="en-US"/>
        </w:rPr>
      </w:pPr>
    </w:p>
    <w:p w14:paraId="38585153" w14:textId="77777777" w:rsidR="00AC50E4" w:rsidRPr="0054351F" w:rsidRDefault="00AC50E4" w:rsidP="00AC50E4">
      <w:pPr>
        <w:spacing w:line="280" w:lineRule="atLeast"/>
        <w:jc w:val="both"/>
        <w:rPr>
          <w:rFonts w:ascii="Trebuchet MS" w:eastAsia="Calibri" w:hAnsi="Trebuchet MS"/>
          <w:lang w:eastAsia="en-US"/>
        </w:rPr>
      </w:pPr>
    </w:p>
    <w:p w14:paraId="2F34B951" w14:textId="77777777" w:rsidR="00AC50E4" w:rsidRPr="0054351F" w:rsidRDefault="00AC50E4" w:rsidP="00AC50E4">
      <w:pPr>
        <w:spacing w:line="280" w:lineRule="atLeast"/>
        <w:jc w:val="both"/>
        <w:rPr>
          <w:rFonts w:ascii="Trebuchet MS" w:eastAsia="Calibri" w:hAnsi="Trebuchet MS"/>
          <w:b/>
          <w:lang w:eastAsia="en-US"/>
        </w:rPr>
      </w:pPr>
      <w:r w:rsidRPr="0054351F">
        <w:rPr>
          <w:rFonts w:ascii="Trebuchet MS" w:eastAsia="Calibri" w:hAnsi="Trebuchet MS"/>
          <w:b/>
          <w:lang w:eastAsia="en-US"/>
        </w:rPr>
        <w:t>Toelichting bouwblokken</w:t>
      </w:r>
    </w:p>
    <w:p w14:paraId="14B61BF0"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 xml:space="preserve">Iedere doelgroep heeft in het bouwblokkenmodel een fictieve waarde. De bouwblokken bieden diverse mogelijkheden om </w:t>
      </w:r>
      <w:proofErr w:type="spellStart"/>
      <w:r w:rsidRPr="0054351F">
        <w:rPr>
          <w:rFonts w:ascii="Trebuchet MS" w:hAnsi="Trebuchet MS" w:cs="Arial"/>
        </w:rPr>
        <w:t>Social</w:t>
      </w:r>
      <w:proofErr w:type="spellEnd"/>
      <w:r w:rsidRPr="0054351F">
        <w:rPr>
          <w:rFonts w:ascii="Trebuchet MS" w:hAnsi="Trebuchet MS" w:cs="Arial"/>
        </w:rPr>
        <w:t xml:space="preserve"> Return in te vullen. De opdrachtnemer maakt op basis hiervan zelf een plan van aanpak in overleg met het Werkgeversservicepunt WSP. Het plaatsen van kandidaten heeft de voorkeur. Projecten gericht op </w:t>
      </w:r>
      <w:proofErr w:type="spellStart"/>
      <w:r w:rsidRPr="0054351F">
        <w:rPr>
          <w:rFonts w:ascii="Trebuchet MS" w:hAnsi="Trebuchet MS" w:cs="Arial"/>
        </w:rPr>
        <w:t>kandidaatontwikkeling</w:t>
      </w:r>
      <w:proofErr w:type="spellEnd"/>
      <w:r w:rsidRPr="0054351F">
        <w:rPr>
          <w:rFonts w:ascii="Trebuchet MS" w:hAnsi="Trebuchet MS" w:cs="Arial"/>
        </w:rPr>
        <w:t xml:space="preserve"> zijn ook mogelijk.</w:t>
      </w:r>
    </w:p>
    <w:p w14:paraId="295A92EA"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Bij het opstellen van de fictieve waarden is onderscheid gemaakt in waardering tussen gemeentelijke (hoge waarde) en niet gemeentelijke (lage waarde) doelgroepen. Ook is rekening gehouden met de mate van inspanning voor de begeleiding van de doelgroep (de afstand tot de arbeidsmarkt).</w:t>
      </w:r>
    </w:p>
    <w:p w14:paraId="12C2F4DA" w14:textId="77777777" w:rsidR="00AC50E4" w:rsidRPr="0054351F" w:rsidRDefault="00AC50E4" w:rsidP="00AC50E4">
      <w:pPr>
        <w:spacing w:line="280" w:lineRule="atLeast"/>
        <w:jc w:val="both"/>
        <w:rPr>
          <w:rFonts w:ascii="Trebuchet MS" w:hAnsi="Trebuchet MS" w:cs="Arial"/>
        </w:rPr>
      </w:pPr>
    </w:p>
    <w:p w14:paraId="5C37FA81" w14:textId="77777777" w:rsidR="00AC50E4" w:rsidRPr="0054351F" w:rsidRDefault="00AC50E4" w:rsidP="00AC50E4">
      <w:pPr>
        <w:spacing w:line="280" w:lineRule="atLeast"/>
        <w:jc w:val="both"/>
        <w:rPr>
          <w:rFonts w:ascii="Trebuchet MS" w:hAnsi="Trebuchet MS" w:cs="Arial"/>
        </w:rPr>
      </w:pPr>
    </w:p>
    <w:p w14:paraId="6A920040" w14:textId="77777777" w:rsidR="00AC50E4" w:rsidRPr="0054351F" w:rsidRDefault="00AC50E4" w:rsidP="00AC50E4">
      <w:pPr>
        <w:spacing w:line="280" w:lineRule="atLeast"/>
        <w:jc w:val="both"/>
        <w:rPr>
          <w:rFonts w:ascii="Trebuchet MS" w:hAnsi="Trebuchet MS" w:cs="Arial"/>
          <w:b/>
          <w:bCs/>
        </w:rPr>
      </w:pPr>
      <w:r w:rsidRPr="0054351F">
        <w:rPr>
          <w:rFonts w:ascii="Trebuchet MS" w:hAnsi="Trebuchet MS" w:cs="Arial"/>
          <w:b/>
          <w:bCs/>
        </w:rPr>
        <w:t xml:space="preserve">Belangrijke uitgangspunten </w:t>
      </w:r>
      <w:proofErr w:type="spellStart"/>
      <w:r w:rsidRPr="0054351F">
        <w:rPr>
          <w:rFonts w:ascii="Trebuchet MS" w:hAnsi="Trebuchet MS" w:cs="Arial"/>
          <w:b/>
          <w:bCs/>
        </w:rPr>
        <w:t>Social</w:t>
      </w:r>
      <w:proofErr w:type="spellEnd"/>
      <w:r w:rsidRPr="0054351F">
        <w:rPr>
          <w:rFonts w:ascii="Trebuchet MS" w:hAnsi="Trebuchet MS" w:cs="Arial"/>
          <w:b/>
          <w:bCs/>
        </w:rPr>
        <w:t xml:space="preserve"> Return</w:t>
      </w:r>
    </w:p>
    <w:p w14:paraId="7E208BD6" w14:textId="77777777" w:rsidR="00AC50E4" w:rsidRPr="0054351F" w:rsidRDefault="00AC50E4" w:rsidP="00AC50E4">
      <w:pPr>
        <w:spacing w:line="280" w:lineRule="atLeast"/>
        <w:jc w:val="both"/>
        <w:rPr>
          <w:rFonts w:ascii="Trebuchet MS" w:hAnsi="Trebuchet MS" w:cs="Arial"/>
        </w:rPr>
      </w:pPr>
      <w:proofErr w:type="spellStart"/>
      <w:r w:rsidRPr="0054351F">
        <w:rPr>
          <w:rFonts w:ascii="Trebuchet MS" w:hAnsi="Trebuchet MS" w:cs="Arial"/>
        </w:rPr>
        <w:t>Social</w:t>
      </w:r>
      <w:proofErr w:type="spellEnd"/>
      <w:r w:rsidRPr="0054351F">
        <w:rPr>
          <w:rFonts w:ascii="Trebuchet MS" w:hAnsi="Trebuchet MS" w:cs="Arial"/>
        </w:rPr>
        <w:t xml:space="preserve"> return is een uitvoeringsvoorwaarde bij gemeentelijke inkoop. </w:t>
      </w:r>
      <w:proofErr w:type="spellStart"/>
      <w:r w:rsidRPr="0054351F">
        <w:rPr>
          <w:rFonts w:ascii="Trebuchet MS" w:hAnsi="Trebuchet MS" w:cs="Arial"/>
        </w:rPr>
        <w:t>Social</w:t>
      </w:r>
      <w:proofErr w:type="spellEnd"/>
      <w:r w:rsidRPr="0054351F">
        <w:rPr>
          <w:rFonts w:ascii="Trebuchet MS" w:hAnsi="Trebuchet MS" w:cs="Arial"/>
        </w:rPr>
        <w:t xml:space="preserve"> return kan worden toegepast op diensten en werken. </w:t>
      </w:r>
      <w:proofErr w:type="spellStart"/>
      <w:r w:rsidRPr="0054351F">
        <w:rPr>
          <w:rFonts w:ascii="Trebuchet MS" w:hAnsi="Trebuchet MS" w:cs="Arial"/>
        </w:rPr>
        <w:t>Social</w:t>
      </w:r>
      <w:proofErr w:type="spellEnd"/>
      <w:r w:rsidRPr="0054351F">
        <w:rPr>
          <w:rFonts w:ascii="Trebuchet MS" w:hAnsi="Trebuchet MS" w:cs="Arial"/>
        </w:rPr>
        <w:t xml:space="preserve"> return is maatwerk: werkplekken hebben de voorkeur, maar ook activiteiten gericht op arbeids- of maatschappelijke participatie van de bouwblokkendoelgroepen kunnen (in samenspraak met het Werkgeversservicepunt) worden gehonoreerd.</w:t>
      </w:r>
    </w:p>
    <w:p w14:paraId="41A182DC" w14:textId="77777777" w:rsidR="00AC50E4" w:rsidRPr="0054351F" w:rsidRDefault="00AC50E4" w:rsidP="00AC50E4">
      <w:pPr>
        <w:spacing w:line="280" w:lineRule="atLeast"/>
        <w:jc w:val="both"/>
        <w:rPr>
          <w:rFonts w:ascii="Trebuchet MS" w:hAnsi="Trebuchet MS" w:cs="Arial"/>
          <w:b/>
          <w:bCs/>
        </w:rPr>
      </w:pPr>
      <w:r w:rsidRPr="0054351F">
        <w:rPr>
          <w:rFonts w:ascii="Trebuchet MS" w:hAnsi="Trebuchet MS" w:cs="Arial"/>
          <w:b/>
          <w:bCs/>
        </w:rPr>
        <w:t>Toelichting stagiaires en leerlingen</w:t>
      </w:r>
    </w:p>
    <w:p w14:paraId="6C25FDF9" w14:textId="77777777" w:rsidR="00AC50E4" w:rsidRPr="0054351F" w:rsidRDefault="00AC50E4" w:rsidP="00AC50E4">
      <w:pPr>
        <w:spacing w:line="280" w:lineRule="atLeast"/>
        <w:jc w:val="both"/>
        <w:rPr>
          <w:rFonts w:ascii="Trebuchet MS" w:hAnsi="Trebuchet MS" w:cs="Arial"/>
        </w:rPr>
      </w:pPr>
      <w:proofErr w:type="spellStart"/>
      <w:r w:rsidRPr="0054351F">
        <w:rPr>
          <w:rFonts w:ascii="Trebuchet MS" w:hAnsi="Trebuchet MS" w:cs="Arial"/>
        </w:rPr>
        <w:t>Social</w:t>
      </w:r>
      <w:proofErr w:type="spellEnd"/>
      <w:r w:rsidRPr="0054351F">
        <w:rPr>
          <w:rFonts w:ascii="Trebuchet MS" w:hAnsi="Trebuchet MS" w:cs="Arial"/>
        </w:rPr>
        <w:t xml:space="preserve"> return wordt toegepast op uiteenlopende aanbestedingen. Om voldoende ruimte te bieden aan opdrachtnemers om </w:t>
      </w:r>
      <w:proofErr w:type="spellStart"/>
      <w:r w:rsidRPr="0054351F">
        <w:rPr>
          <w:rFonts w:ascii="Trebuchet MS" w:hAnsi="Trebuchet MS" w:cs="Arial"/>
        </w:rPr>
        <w:t>Social</w:t>
      </w:r>
      <w:proofErr w:type="spellEnd"/>
      <w:r w:rsidRPr="0054351F">
        <w:rPr>
          <w:rFonts w:ascii="Trebuchet MS" w:hAnsi="Trebuchet MS" w:cs="Arial"/>
        </w:rPr>
        <w:t xml:space="preserve"> Return te kunnen invullen op hun opdrachten, is het mogelijk om ook mbo-</w:t>
      </w:r>
      <w:proofErr w:type="spellStart"/>
      <w:r w:rsidRPr="0054351F">
        <w:rPr>
          <w:rFonts w:ascii="Trebuchet MS" w:hAnsi="Trebuchet MS" w:cs="Arial"/>
        </w:rPr>
        <w:t>ers</w:t>
      </w:r>
      <w:proofErr w:type="spellEnd"/>
      <w:r w:rsidRPr="0054351F">
        <w:rPr>
          <w:rFonts w:ascii="Trebuchet MS" w:hAnsi="Trebuchet MS" w:cs="Arial"/>
        </w:rPr>
        <w:t xml:space="preserve"> BOL en hbo-stagiaires in te zetten. Zij hebben wel een lagere bouwblokkenwaarde dan mbo-</w:t>
      </w:r>
      <w:proofErr w:type="spellStart"/>
      <w:r w:rsidRPr="0054351F">
        <w:rPr>
          <w:rFonts w:ascii="Trebuchet MS" w:hAnsi="Trebuchet MS" w:cs="Arial"/>
        </w:rPr>
        <w:t>ers</w:t>
      </w:r>
      <w:proofErr w:type="spellEnd"/>
      <w:r w:rsidRPr="0054351F">
        <w:rPr>
          <w:rFonts w:ascii="Trebuchet MS" w:hAnsi="Trebuchet MS" w:cs="Arial"/>
        </w:rPr>
        <w:t xml:space="preserve"> BBL en </w:t>
      </w:r>
      <w:proofErr w:type="spellStart"/>
      <w:r w:rsidRPr="0054351F">
        <w:rPr>
          <w:rFonts w:ascii="Trebuchet MS" w:hAnsi="Trebuchet MS" w:cs="Arial"/>
        </w:rPr>
        <w:t>PrO</w:t>
      </w:r>
      <w:proofErr w:type="spellEnd"/>
      <w:r w:rsidRPr="0054351F">
        <w:rPr>
          <w:rFonts w:ascii="Trebuchet MS" w:hAnsi="Trebuchet MS" w:cs="Arial"/>
        </w:rPr>
        <w:t xml:space="preserve"> / VSO. Deze laatstgenoemde doelgroepen zijn voor gemeenten een belangrijke doelgroep, waarop ook taakstellingen zijn geformuleerd.</w:t>
      </w:r>
    </w:p>
    <w:p w14:paraId="088D2150" w14:textId="77777777" w:rsidR="00AC50E4" w:rsidRPr="0054351F" w:rsidRDefault="00AC50E4" w:rsidP="00AC50E4">
      <w:pPr>
        <w:spacing w:line="280" w:lineRule="atLeast"/>
        <w:jc w:val="both"/>
        <w:rPr>
          <w:rFonts w:ascii="Trebuchet MS" w:hAnsi="Trebuchet MS" w:cs="Arial"/>
        </w:rPr>
      </w:pPr>
    </w:p>
    <w:p w14:paraId="2943A440" w14:textId="77777777" w:rsidR="00AC50E4" w:rsidRPr="0054351F" w:rsidRDefault="00AC50E4" w:rsidP="00AC50E4">
      <w:pPr>
        <w:spacing w:line="280" w:lineRule="atLeast"/>
        <w:jc w:val="both"/>
        <w:rPr>
          <w:rFonts w:ascii="Trebuchet MS" w:hAnsi="Trebuchet MS" w:cs="Arial"/>
        </w:rPr>
      </w:pPr>
    </w:p>
    <w:p w14:paraId="2300E8D8" w14:textId="77777777" w:rsidR="00AC50E4" w:rsidRPr="0054351F" w:rsidRDefault="00AC50E4" w:rsidP="00AC50E4">
      <w:pPr>
        <w:spacing w:line="280" w:lineRule="atLeast"/>
        <w:jc w:val="both"/>
        <w:rPr>
          <w:rFonts w:ascii="Trebuchet MS" w:hAnsi="Trebuchet MS" w:cs="Arial"/>
          <w:b/>
          <w:bCs/>
        </w:rPr>
      </w:pPr>
      <w:r w:rsidRPr="0054351F">
        <w:rPr>
          <w:rFonts w:ascii="Trebuchet MS" w:hAnsi="Trebuchet MS" w:cs="Arial"/>
          <w:b/>
          <w:bCs/>
        </w:rPr>
        <w:t>Verduurzamen in dienst namens doelgroepen bouwblokken</w:t>
      </w:r>
    </w:p>
    <w:p w14:paraId="74F165C8"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 xml:space="preserve">Werkzoekenden en leerlingen (alle bouwblok-doelgroepen) die maximaal 12 maanden voorafgaand aan de ingangsdatum van een contract – mits op de opdracht werkend of aan de opdracht gerelateerd – in dienst zijn genomen tellen mee voor de </w:t>
      </w:r>
      <w:proofErr w:type="spellStart"/>
      <w:r w:rsidRPr="0054351F">
        <w:rPr>
          <w:rFonts w:ascii="Trebuchet MS" w:hAnsi="Trebuchet MS" w:cs="Arial"/>
        </w:rPr>
        <w:t>Social</w:t>
      </w:r>
      <w:proofErr w:type="spellEnd"/>
      <w:r w:rsidRPr="0054351F">
        <w:rPr>
          <w:rFonts w:ascii="Trebuchet MS" w:hAnsi="Trebuchet MS" w:cs="Arial"/>
        </w:rPr>
        <w:t xml:space="preserve"> Return invulling van de opdrachtnemer. Deze maatregel is in werking </w:t>
      </w:r>
      <w:r w:rsidRPr="0054351F">
        <w:rPr>
          <w:rFonts w:ascii="Trebuchet MS" w:hAnsi="Trebuchet MS" w:cs="Arial"/>
        </w:rPr>
        <w:lastRenderedPageBreak/>
        <w:t xml:space="preserve">gekomen in reactie op de Participatiewet en de banenafspraken. Stapeling van verschillende maatregelen rondom de arbeidsparticipatie van werkzoekenden en </w:t>
      </w:r>
      <w:proofErr w:type="spellStart"/>
      <w:r w:rsidRPr="0054351F">
        <w:rPr>
          <w:rFonts w:ascii="Trebuchet MS" w:hAnsi="Trebuchet MS" w:cs="Arial"/>
        </w:rPr>
        <w:t>arbeidsbeperkten</w:t>
      </w:r>
      <w:proofErr w:type="spellEnd"/>
      <w:r w:rsidRPr="0054351F">
        <w:rPr>
          <w:rFonts w:ascii="Trebuchet MS" w:hAnsi="Trebuchet MS" w:cs="Arial"/>
        </w:rPr>
        <w:t xml:space="preserve"> voor de ondernemer wordt hiermee voorkomen. Daarnaast geeft het ruimte aan het duurzaam in dienst nemen van personen uit de </w:t>
      </w:r>
      <w:proofErr w:type="spellStart"/>
      <w:r w:rsidRPr="0054351F">
        <w:rPr>
          <w:rFonts w:ascii="Trebuchet MS" w:hAnsi="Trebuchet MS" w:cs="Arial"/>
        </w:rPr>
        <w:t>Social</w:t>
      </w:r>
      <w:proofErr w:type="spellEnd"/>
      <w:r w:rsidRPr="0054351F">
        <w:rPr>
          <w:rFonts w:ascii="Trebuchet MS" w:hAnsi="Trebuchet MS" w:cs="Arial"/>
        </w:rPr>
        <w:t xml:space="preserve"> Return doelgroepen. Voor detacheerders creëert het de mogelijkheid om maximaal 12 maanden iemand te kunnen plaatsen op meerdere </w:t>
      </w:r>
      <w:proofErr w:type="spellStart"/>
      <w:r w:rsidRPr="0054351F">
        <w:rPr>
          <w:rFonts w:ascii="Trebuchet MS" w:hAnsi="Trebuchet MS" w:cs="Arial"/>
        </w:rPr>
        <w:t>Social</w:t>
      </w:r>
      <w:proofErr w:type="spellEnd"/>
      <w:r w:rsidRPr="0054351F">
        <w:rPr>
          <w:rFonts w:ascii="Trebuchet MS" w:hAnsi="Trebuchet MS" w:cs="Arial"/>
        </w:rPr>
        <w:t xml:space="preserve"> Return opdrachten (iemand is immers langer doelgroep van </w:t>
      </w:r>
      <w:proofErr w:type="spellStart"/>
      <w:r w:rsidRPr="0054351F">
        <w:rPr>
          <w:rFonts w:ascii="Trebuchet MS" w:hAnsi="Trebuchet MS" w:cs="Arial"/>
        </w:rPr>
        <w:t>Social</w:t>
      </w:r>
      <w:proofErr w:type="spellEnd"/>
      <w:r w:rsidRPr="0054351F">
        <w:rPr>
          <w:rFonts w:ascii="Trebuchet MS" w:hAnsi="Trebuchet MS" w:cs="Arial"/>
        </w:rPr>
        <w:t xml:space="preserve"> Return, er wordt niet alleen gekeken naar de arbeidssituatie van de persoon de dag voordat het contract inging) en poolvorming is daardoor mogelijk. Het is door deze maatregel ook mogelijk duurzame plaatsingen te realiseren door kandidaten regionaal in te zetten (op meerdere opdrachten van meerdere gemeenten).</w:t>
      </w:r>
    </w:p>
    <w:p w14:paraId="6BDA9626" w14:textId="77777777" w:rsidR="00AC50E4" w:rsidRPr="0054351F" w:rsidRDefault="00AC50E4" w:rsidP="00AC50E4">
      <w:pPr>
        <w:spacing w:line="280" w:lineRule="atLeast"/>
        <w:jc w:val="both"/>
        <w:rPr>
          <w:rFonts w:ascii="Trebuchet MS" w:hAnsi="Trebuchet MS" w:cs="Arial"/>
        </w:rPr>
      </w:pPr>
    </w:p>
    <w:p w14:paraId="3BBF309B" w14:textId="77777777" w:rsidR="00AC50E4" w:rsidRPr="0054351F" w:rsidRDefault="00AC50E4" w:rsidP="00AC50E4">
      <w:pPr>
        <w:spacing w:line="280" w:lineRule="atLeast"/>
        <w:jc w:val="both"/>
        <w:rPr>
          <w:rFonts w:ascii="Trebuchet MS" w:hAnsi="Trebuchet MS" w:cs="Arial"/>
        </w:rPr>
      </w:pPr>
    </w:p>
    <w:p w14:paraId="30B88D71" w14:textId="77777777" w:rsidR="00AC50E4" w:rsidRPr="0054351F" w:rsidRDefault="00AC50E4" w:rsidP="00AC50E4">
      <w:pPr>
        <w:spacing w:line="280" w:lineRule="atLeast"/>
        <w:jc w:val="both"/>
        <w:rPr>
          <w:rFonts w:ascii="Trebuchet MS" w:hAnsi="Trebuchet MS" w:cs="Arial"/>
          <w:b/>
          <w:bCs/>
        </w:rPr>
      </w:pPr>
      <w:r w:rsidRPr="0054351F">
        <w:rPr>
          <w:rFonts w:ascii="Trebuchet MS" w:hAnsi="Trebuchet MS" w:cs="Arial"/>
          <w:b/>
          <w:bCs/>
        </w:rPr>
        <w:t>Toelichting Maatschappelijke activiteiten</w:t>
      </w:r>
    </w:p>
    <w:p w14:paraId="3316E771" w14:textId="77777777" w:rsidR="00AC50E4" w:rsidRPr="0054351F" w:rsidRDefault="00AC50E4" w:rsidP="00AC50E4">
      <w:pPr>
        <w:spacing w:line="280" w:lineRule="atLeast"/>
        <w:jc w:val="both"/>
        <w:rPr>
          <w:rFonts w:ascii="Trebuchet MS" w:hAnsi="Trebuchet MS" w:cs="Arial"/>
        </w:rPr>
      </w:pPr>
      <w:r w:rsidRPr="0054351F">
        <w:rPr>
          <w:rFonts w:ascii="Trebuchet MS" w:hAnsi="Trebuchet MS" w:cs="Arial"/>
        </w:rPr>
        <w:t xml:space="preserve">Er zijn diverse mogelijkheden voor wat betreft maatschappelijke activiteiten. Het gaat om activiteiten die bijdragen aan het verbeteren van de arbeidsparticipatie van de </w:t>
      </w:r>
      <w:proofErr w:type="spellStart"/>
      <w:r w:rsidRPr="0054351F">
        <w:rPr>
          <w:rFonts w:ascii="Trebuchet MS" w:hAnsi="Trebuchet MS" w:cs="Arial"/>
        </w:rPr>
        <w:t>Social</w:t>
      </w:r>
      <w:proofErr w:type="spellEnd"/>
      <w:r w:rsidRPr="0054351F">
        <w:rPr>
          <w:rFonts w:ascii="Trebuchet MS" w:hAnsi="Trebuchet MS" w:cs="Arial"/>
        </w:rPr>
        <w:t xml:space="preserve"> Return doelgroepen. Bijvoorbeeld het bieden van een sollicitatietraining, voorlichting aan scholen, beschikbaar stellen van kantoorruimten aan startende ondernemers, participeren aan re-integratievoorzieningen et cetera. Voor activiteiten die in tijd uitgedrukt kunnen worden, is een richtbedrag van maximaal € 1.000 per dag toegekend (een dagdeel betreft voorbereiding + uitvoering).</w:t>
      </w:r>
    </w:p>
    <w:p w14:paraId="10B9A728" w14:textId="77777777" w:rsidR="00AC50E4" w:rsidRPr="0054351F" w:rsidRDefault="00AC50E4" w:rsidP="00AC50E4">
      <w:pPr>
        <w:spacing w:line="280" w:lineRule="atLeast"/>
        <w:jc w:val="both"/>
        <w:rPr>
          <w:rFonts w:ascii="Trebuchet MS" w:hAnsi="Trebuchet MS" w:cs="Arial"/>
        </w:rPr>
      </w:pPr>
    </w:p>
    <w:p w14:paraId="3D4E597C" w14:textId="77777777" w:rsidR="00AC50E4" w:rsidRPr="0054351F" w:rsidRDefault="00AC50E4" w:rsidP="00AC50E4">
      <w:pPr>
        <w:spacing w:line="280" w:lineRule="atLeast"/>
        <w:jc w:val="both"/>
        <w:rPr>
          <w:rFonts w:ascii="Trebuchet MS" w:hAnsi="Trebuchet MS" w:cs="Arial"/>
        </w:rPr>
      </w:pPr>
    </w:p>
    <w:p w14:paraId="01CBCD7B" w14:textId="77777777" w:rsidR="00AC50E4" w:rsidRPr="0054351F" w:rsidRDefault="00AC50E4" w:rsidP="00AC50E4">
      <w:pPr>
        <w:spacing w:line="280" w:lineRule="atLeast"/>
        <w:jc w:val="both"/>
        <w:rPr>
          <w:rFonts w:ascii="Trebuchet MS" w:hAnsi="Trebuchet MS" w:cs="Arial"/>
          <w:b/>
          <w:bCs/>
        </w:rPr>
      </w:pPr>
      <w:r w:rsidRPr="0054351F">
        <w:rPr>
          <w:rFonts w:ascii="Trebuchet MS" w:hAnsi="Trebuchet MS" w:cs="Arial"/>
          <w:b/>
          <w:bCs/>
        </w:rPr>
        <w:t>Opleidingskosten</w:t>
      </w:r>
    </w:p>
    <w:p w14:paraId="02969C96" w14:textId="77777777" w:rsidR="00AC50E4" w:rsidRPr="0054351F" w:rsidRDefault="00AC50E4" w:rsidP="00AC50E4">
      <w:pPr>
        <w:spacing w:line="280" w:lineRule="atLeast"/>
        <w:jc w:val="both"/>
        <w:rPr>
          <w:rFonts w:ascii="Trebuchet MS" w:hAnsi="Trebuchet MS" w:cs="Arial"/>
          <w:color w:val="4B4B4B"/>
        </w:rPr>
      </w:pPr>
      <w:r w:rsidRPr="0054351F">
        <w:rPr>
          <w:rFonts w:ascii="Trebuchet MS" w:hAnsi="Trebuchet MS" w:cs="Arial"/>
        </w:rPr>
        <w:t xml:space="preserve">Gemeenten uit Haaglanden en Zuid-Holland Centraal hechten aan duurzame uitstroom. Dit betekent dat voor geplaatste kandidaten eventuele aangeboden opleidingen / certificaten (in overleg met Werkgevers-servicepunt) toegerekend kunnen worden aan </w:t>
      </w:r>
      <w:proofErr w:type="spellStart"/>
      <w:r w:rsidRPr="0054351F">
        <w:rPr>
          <w:rFonts w:ascii="Trebuchet MS" w:hAnsi="Trebuchet MS" w:cs="Arial"/>
        </w:rPr>
        <w:t>Social</w:t>
      </w:r>
      <w:proofErr w:type="spellEnd"/>
      <w:r w:rsidRPr="0054351F">
        <w:rPr>
          <w:rFonts w:ascii="Trebuchet MS" w:hAnsi="Trebuchet MS" w:cs="Arial"/>
        </w:rPr>
        <w:t xml:space="preserve"> Return. Het is belangrijk dat de opleiding die wordt ingezet bijdraagt aan het verbeteren van de arbeidsmarktpositie van de </w:t>
      </w:r>
      <w:proofErr w:type="spellStart"/>
      <w:r w:rsidRPr="0054351F">
        <w:rPr>
          <w:rFonts w:ascii="Trebuchet MS" w:hAnsi="Trebuchet MS" w:cs="Arial"/>
        </w:rPr>
        <w:t>Social</w:t>
      </w:r>
      <w:proofErr w:type="spellEnd"/>
      <w:r w:rsidRPr="0054351F">
        <w:rPr>
          <w:rFonts w:ascii="Trebuchet MS" w:hAnsi="Trebuchet MS" w:cs="Arial"/>
        </w:rPr>
        <w:t xml:space="preserve"> Return kandidaat.</w:t>
      </w:r>
    </w:p>
    <w:p w14:paraId="6701E31C" w14:textId="77777777" w:rsidR="00AC50E4" w:rsidRPr="0054351F" w:rsidRDefault="00AC50E4" w:rsidP="00AC50E4">
      <w:pPr>
        <w:autoSpaceDE w:val="0"/>
        <w:autoSpaceDN w:val="0"/>
        <w:adjustRightInd w:val="0"/>
        <w:spacing w:line="280" w:lineRule="atLeast"/>
        <w:jc w:val="both"/>
        <w:rPr>
          <w:rFonts w:ascii="Trebuchet MS" w:hAnsi="Trebuchet MS" w:cs="Arial-OneByteIdentityH"/>
          <w:b/>
        </w:rPr>
      </w:pPr>
    </w:p>
    <w:p w14:paraId="4E7297FC" w14:textId="77777777" w:rsidR="00AE5D2B" w:rsidRPr="00AE5D2B" w:rsidRDefault="00AE5D2B" w:rsidP="00865823"/>
    <w:sectPr w:rsidR="00AE5D2B" w:rsidRPr="00AE5D2B" w:rsidSect="001D3138">
      <w:headerReference w:type="default" r:id="rId8"/>
      <w:footerReference w:type="default" r:id="rId9"/>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FE7B" w14:textId="77777777" w:rsidR="0026471E" w:rsidRDefault="0026471E">
      <w:r>
        <w:separator/>
      </w:r>
    </w:p>
  </w:endnote>
  <w:endnote w:type="continuationSeparator" w:id="0">
    <w:p w14:paraId="12A3B64B" w14:textId="77777777" w:rsidR="0026471E" w:rsidRDefault="0026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OneByte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A997" w14:textId="77777777" w:rsidR="00F728FF" w:rsidRDefault="00F728FF">
    <w:pPr>
      <w:pStyle w:val="Voettekst"/>
    </w:pPr>
    <w:r>
      <w:rPr>
        <w:noProof/>
      </w:rPr>
      <w:drawing>
        <wp:anchor distT="0" distB="0" distL="114300" distR="114300" simplePos="0" relativeHeight="251659264" behindDoc="1" locked="1" layoutInCell="1" allowOverlap="1" wp14:anchorId="79CAE86D" wp14:editId="7843A763">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B2B9E" w14:textId="77777777" w:rsidR="0026471E" w:rsidRDefault="0026471E">
      <w:r>
        <w:separator/>
      </w:r>
    </w:p>
  </w:footnote>
  <w:footnote w:type="continuationSeparator" w:id="0">
    <w:p w14:paraId="4CB9ADEF" w14:textId="77777777" w:rsidR="0026471E" w:rsidRDefault="0026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D95A" w14:textId="77777777" w:rsidR="00F728FF" w:rsidRDefault="00F728FF">
    <w:pPr>
      <w:pStyle w:val="Koptekst"/>
    </w:pPr>
    <w:r>
      <w:rPr>
        <w:noProof/>
      </w:rPr>
      <w:drawing>
        <wp:anchor distT="0" distB="0" distL="114300" distR="114300" simplePos="0" relativeHeight="251661312" behindDoc="1" locked="1" layoutInCell="1" allowOverlap="1" wp14:anchorId="27330C26" wp14:editId="6C65E864">
          <wp:simplePos x="0" y="0"/>
          <wp:positionH relativeFrom="margin">
            <wp:align>right</wp:align>
          </wp:positionH>
          <wp:positionV relativeFrom="page">
            <wp:posOffset>706755</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A070D23"/>
    <w:multiLevelType w:val="hybridMultilevel"/>
    <w:tmpl w:val="4C70C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1A7123A"/>
    <w:multiLevelType w:val="hybridMultilevel"/>
    <w:tmpl w:val="167AB9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8"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3"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5"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2"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5"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28946105">
    <w:abstractNumId w:val="29"/>
  </w:num>
  <w:num w:numId="2" w16cid:durableId="729694963">
    <w:abstractNumId w:val="11"/>
  </w:num>
  <w:num w:numId="3" w16cid:durableId="2106725012">
    <w:abstractNumId w:val="14"/>
  </w:num>
  <w:num w:numId="4" w16cid:durableId="131682936">
    <w:abstractNumId w:val="40"/>
  </w:num>
  <w:num w:numId="5" w16cid:durableId="1933201875">
    <w:abstractNumId w:val="31"/>
  </w:num>
  <w:num w:numId="6" w16cid:durableId="1238662160">
    <w:abstractNumId w:val="10"/>
  </w:num>
  <w:num w:numId="7" w16cid:durableId="2139911652">
    <w:abstractNumId w:val="30"/>
  </w:num>
  <w:num w:numId="8" w16cid:durableId="1380351949">
    <w:abstractNumId w:val="13"/>
  </w:num>
  <w:num w:numId="9" w16cid:durableId="1640769477">
    <w:abstractNumId w:val="44"/>
  </w:num>
  <w:num w:numId="10" w16cid:durableId="1733574196">
    <w:abstractNumId w:val="32"/>
  </w:num>
  <w:num w:numId="11" w16cid:durableId="983849417">
    <w:abstractNumId w:val="41"/>
  </w:num>
  <w:num w:numId="12" w16cid:durableId="1849638013">
    <w:abstractNumId w:val="27"/>
  </w:num>
  <w:num w:numId="13" w16cid:durableId="36667087">
    <w:abstractNumId w:val="18"/>
  </w:num>
  <w:num w:numId="14" w16cid:durableId="744912203">
    <w:abstractNumId w:val="23"/>
  </w:num>
  <w:num w:numId="15" w16cid:durableId="1634946367">
    <w:abstractNumId w:val="8"/>
  </w:num>
  <w:num w:numId="16" w16cid:durableId="855120394">
    <w:abstractNumId w:val="7"/>
  </w:num>
  <w:num w:numId="17" w16cid:durableId="94595398">
    <w:abstractNumId w:val="6"/>
  </w:num>
  <w:num w:numId="18" w16cid:durableId="4401627">
    <w:abstractNumId w:val="5"/>
  </w:num>
  <w:num w:numId="19" w16cid:durableId="624432715">
    <w:abstractNumId w:val="4"/>
  </w:num>
  <w:num w:numId="20" w16cid:durableId="311713407">
    <w:abstractNumId w:val="38"/>
  </w:num>
  <w:num w:numId="21" w16cid:durableId="180168290">
    <w:abstractNumId w:val="3"/>
  </w:num>
  <w:num w:numId="22" w16cid:durableId="1038624634">
    <w:abstractNumId w:val="2"/>
  </w:num>
  <w:num w:numId="23" w16cid:durableId="879128292">
    <w:abstractNumId w:val="1"/>
  </w:num>
  <w:num w:numId="24" w16cid:durableId="96872244">
    <w:abstractNumId w:val="0"/>
  </w:num>
  <w:num w:numId="25" w16cid:durableId="825897327">
    <w:abstractNumId w:val="15"/>
  </w:num>
  <w:num w:numId="26" w16cid:durableId="1269314982">
    <w:abstractNumId w:val="33"/>
  </w:num>
  <w:num w:numId="27" w16cid:durableId="719979023">
    <w:abstractNumId w:val="16"/>
  </w:num>
  <w:num w:numId="28" w16cid:durableId="1248072822">
    <w:abstractNumId w:val="25"/>
  </w:num>
  <w:num w:numId="29" w16cid:durableId="783622556">
    <w:abstractNumId w:val="20"/>
  </w:num>
  <w:num w:numId="30" w16cid:durableId="809401983">
    <w:abstractNumId w:val="28"/>
  </w:num>
  <w:num w:numId="31" w16cid:durableId="1897163074">
    <w:abstractNumId w:val="42"/>
  </w:num>
  <w:num w:numId="32" w16cid:durableId="721636860">
    <w:abstractNumId w:val="37"/>
  </w:num>
  <w:num w:numId="33" w16cid:durableId="456723639">
    <w:abstractNumId w:val="45"/>
  </w:num>
  <w:num w:numId="34" w16cid:durableId="1768958951">
    <w:abstractNumId w:val="17"/>
  </w:num>
  <w:num w:numId="35" w16cid:durableId="1512834896">
    <w:abstractNumId w:val="9"/>
  </w:num>
  <w:num w:numId="36" w16cid:durableId="740255754">
    <w:abstractNumId w:val="43"/>
  </w:num>
  <w:num w:numId="37" w16cid:durableId="477767943">
    <w:abstractNumId w:val="12"/>
  </w:num>
  <w:num w:numId="38" w16cid:durableId="33048038">
    <w:abstractNumId w:val="24"/>
  </w:num>
  <w:num w:numId="39" w16cid:durableId="825583855">
    <w:abstractNumId w:val="21"/>
  </w:num>
  <w:num w:numId="40" w16cid:durableId="1486896025">
    <w:abstractNumId w:val="34"/>
  </w:num>
  <w:num w:numId="41" w16cid:durableId="398407306">
    <w:abstractNumId w:val="36"/>
  </w:num>
  <w:num w:numId="42" w16cid:durableId="1551838806">
    <w:abstractNumId w:val="26"/>
  </w:num>
  <w:num w:numId="43" w16cid:durableId="896673149">
    <w:abstractNumId w:val="39"/>
  </w:num>
  <w:num w:numId="44" w16cid:durableId="1588148698">
    <w:abstractNumId w:val="35"/>
  </w:num>
  <w:num w:numId="45" w16cid:durableId="871577164">
    <w:abstractNumId w:val="22"/>
  </w:num>
  <w:num w:numId="46" w16cid:durableId="706684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E4"/>
    <w:rsid w:val="001204E3"/>
    <w:rsid w:val="001B34BD"/>
    <w:rsid w:val="001B67DC"/>
    <w:rsid w:val="001D3138"/>
    <w:rsid w:val="0026471E"/>
    <w:rsid w:val="002C5554"/>
    <w:rsid w:val="002E7667"/>
    <w:rsid w:val="00313188"/>
    <w:rsid w:val="0035474E"/>
    <w:rsid w:val="0036512C"/>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63C6"/>
    <w:rsid w:val="0097514D"/>
    <w:rsid w:val="0098242C"/>
    <w:rsid w:val="009A5B4A"/>
    <w:rsid w:val="00A4264D"/>
    <w:rsid w:val="00A47A9D"/>
    <w:rsid w:val="00A70F80"/>
    <w:rsid w:val="00AC50E4"/>
    <w:rsid w:val="00AC7976"/>
    <w:rsid w:val="00AD4C43"/>
    <w:rsid w:val="00AE5708"/>
    <w:rsid w:val="00AE5D2B"/>
    <w:rsid w:val="00C6744D"/>
    <w:rsid w:val="00CB1A9B"/>
    <w:rsid w:val="00CD5CEE"/>
    <w:rsid w:val="00DC2129"/>
    <w:rsid w:val="00DE3B97"/>
    <w:rsid w:val="00DF3B44"/>
    <w:rsid w:val="00DF5CF5"/>
    <w:rsid w:val="00E7453E"/>
    <w:rsid w:val="00EF3C60"/>
    <w:rsid w:val="00F06BB0"/>
    <w:rsid w:val="00F728FF"/>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58E77"/>
  <w15:chartTrackingRefBased/>
  <w15:docId w15:val="{3BB1376E-622B-45E6-9B5E-7165C13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AC50E4"/>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AC50E4"/>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AC50E4"/>
    <w:pPr>
      <w:numPr>
        <w:ilvl w:val="2"/>
      </w:numPr>
      <w:spacing w:before="240" w:after="60"/>
      <w:outlineLvl w:val="2"/>
    </w:pPr>
    <w:rPr>
      <w:u w:val="none"/>
    </w:rPr>
  </w:style>
  <w:style w:type="paragraph" w:customStyle="1" w:styleId="2-Kop2ParagraafCorversBS">
    <w:name w:val="2 - Kop 2_Paragraaf Corvers &amp; BS"/>
    <w:basedOn w:val="Standaard"/>
    <w:qFormat/>
    <w:rsid w:val="00AC50E4"/>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AC50E4"/>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ska.jetzes@lansingerla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5733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Mees Walhof</cp:lastModifiedBy>
  <cp:revision>3</cp:revision>
  <dcterms:created xsi:type="dcterms:W3CDTF">2025-06-24T12:11:00Z</dcterms:created>
  <dcterms:modified xsi:type="dcterms:W3CDTF">2026-03-23T09:34:00Z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dc7cf62f-2bae-53a4-dc14-595b64452906</vt:lpwstr>
  </property>
  <property fmtid="{D5CDD505-2E9C-101B-9397-08002B2CF9AE}" pid="3" name="CORSA_OBJECTTYPE">
    <vt:lpwstr>S</vt:lpwstr>
  </property>
  <property fmtid="{D5CDD505-2E9C-101B-9397-08002B2CF9AE}" pid="4" name="CORSA_OBJECTID">
    <vt:lpwstr>T25.04553</vt:lpwstr>
  </property>
  <property fmtid="{D5CDD505-2E9C-101B-9397-08002B2CF9AE}" pid="5" name="CORSA_VERSION">
    <vt:lpwstr>1</vt:lpwstr>
  </property>
</Properties>
</file>