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82A8" w14:textId="77777777" w:rsidR="002717E6" w:rsidRPr="002717E6" w:rsidRDefault="002717E6" w:rsidP="002717E6">
      <w:pPr>
        <w:spacing w:before="100" w:beforeAutospacing="1" w:after="100" w:afterAutospacing="1"/>
        <w:jc w:val="left"/>
        <w:outlineLvl w:val="0"/>
        <w:rPr>
          <w:rFonts w:ascii="Calibri" w:hAnsi="Calibri" w:cs="Calibri"/>
          <w:b/>
          <w:bCs/>
          <w:kern w:val="36"/>
          <w:sz w:val="44"/>
          <w:szCs w:val="44"/>
        </w:rPr>
      </w:pPr>
      <w:r w:rsidRPr="002717E6">
        <w:rPr>
          <w:rFonts w:ascii="Calibri" w:hAnsi="Calibri" w:cs="Calibri"/>
          <w:b/>
          <w:bCs/>
          <w:kern w:val="36"/>
          <w:sz w:val="44"/>
          <w:szCs w:val="44"/>
        </w:rPr>
        <w:t>WACHTKAMEROVEREENKOMST</w:t>
      </w:r>
    </w:p>
    <w:p w14:paraId="1BC73376" w14:textId="77777777" w:rsidR="002717E6" w:rsidRPr="002717E6" w:rsidRDefault="002717E6" w:rsidP="002717E6">
      <w:pPr>
        <w:spacing w:before="100" w:beforeAutospacing="1" w:after="100" w:afterAutospacing="1"/>
        <w:jc w:val="left"/>
        <w:outlineLvl w:val="1"/>
        <w:rPr>
          <w:rFonts w:ascii="Calibri" w:hAnsi="Calibri" w:cs="Calibri"/>
          <w:sz w:val="24"/>
          <w:szCs w:val="24"/>
        </w:rPr>
      </w:pPr>
      <w:r w:rsidRPr="002717E6">
        <w:rPr>
          <w:rFonts w:ascii="Calibri" w:hAnsi="Calibri" w:cs="Calibri"/>
          <w:sz w:val="24"/>
          <w:szCs w:val="24"/>
        </w:rPr>
        <w:t>Europese aanbesteding Warme- en koude dranken ten behoeve van gemeente Smallingerland</w:t>
      </w:r>
    </w:p>
    <w:p w14:paraId="440DF3D5" w14:textId="77777777" w:rsidR="002717E6" w:rsidRPr="002717E6" w:rsidRDefault="002717E6" w:rsidP="002717E6">
      <w:pPr>
        <w:spacing w:before="100" w:beforeAutospacing="1" w:after="100" w:afterAutospacing="1"/>
        <w:jc w:val="left"/>
        <w:outlineLvl w:val="2"/>
        <w:rPr>
          <w:rFonts w:ascii="Calibri" w:hAnsi="Calibri" w:cs="Calibri"/>
          <w:b/>
          <w:bCs/>
          <w:sz w:val="24"/>
          <w:szCs w:val="24"/>
        </w:rPr>
      </w:pPr>
      <w:r w:rsidRPr="002717E6">
        <w:rPr>
          <w:rFonts w:ascii="Calibri" w:hAnsi="Calibri" w:cs="Calibri"/>
          <w:b/>
          <w:bCs/>
          <w:sz w:val="24"/>
          <w:szCs w:val="24"/>
        </w:rPr>
        <w:t>Tussen:</w:t>
      </w:r>
    </w:p>
    <w:p w14:paraId="6650148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Gemeente Smallingerland, gevestigd te Drachten, rechtsgeldig vertegenwoordigd door de heer S. Jager, teammanager, handelend ter uitvoering van een besluit van het college van burgemeester en wethouders van de gemeente Smallingerland, hierna te noemen: "Opdrachtgever"</w:t>
      </w:r>
    </w:p>
    <w:p w14:paraId="2930A3A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en</w:t>
      </w:r>
    </w:p>
    <w:p w14:paraId="4A0366B5"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[Naam onderneming], statutair gevestigd te [plaats], rechtsgeldig vertegenwoordigd door [naam en functie], hierna te noemen: "Opdrachtnemer II"</w:t>
      </w:r>
    </w:p>
    <w:p w14:paraId="7F87FF33"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hierna gezamenlijk te noemen: "Partijen".</w:t>
      </w:r>
    </w:p>
    <w:p w14:paraId="1F563261"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Overwegende dat:</w:t>
      </w:r>
    </w:p>
    <w:p w14:paraId="48D7679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Opdrachtgever een Europese openbare aanbestedingsprocedure heeft georganiseerd voor de levering van warme- en koude dranken, automaten en bijbehorende dienstverlening ten behoeve van gemeente Smallingerland;</w:t>
      </w:r>
    </w:p>
    <w:p w14:paraId="0AAECA9B"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Opdrachtnemer II tijdig en rechtsgeldig een inschrijving heeft ingediend;</w:t>
      </w:r>
    </w:p>
    <w:p w14:paraId="6E9F443E"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De inschrijving van Opdrachtnemer II na beoordeling als tweede in de rangorde is geëindigd;</w:t>
      </w:r>
    </w:p>
    <w:p w14:paraId="6F09F79B"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Opdrachtgever voornemens is, dan wel reeds een Raamovereenkomst heeft gesloten met de als eerste geëindigde inschrijver (hierna: "Opdrachtnemer I");</w:t>
      </w:r>
    </w:p>
    <w:p w14:paraId="6C6CE387"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Partijen wensen vast te leggen onder welke voorwaarden Opdrachtnemer II alsnog de opdracht zal uitvoeren indien de Raamovereenkomst met Opdrachtnemer I vóór aanvang of gedurende de looptijd daarvan eindigt.</w:t>
      </w:r>
    </w:p>
    <w:p w14:paraId="28619360"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Komen als volgt overeen:</w:t>
      </w:r>
    </w:p>
    <w:p w14:paraId="425FA1EA"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1 Onderwerp</w:t>
      </w:r>
    </w:p>
    <w:p w14:paraId="69D37841"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Deze Wachtkamerovereenkomst heeft betrekking op dezelfde opdracht als beschreven in de aanbestedingsstukken van de Europese aanbesteding "Warme- en koude dranken".</w:t>
      </w:r>
    </w:p>
    <w:p w14:paraId="70B9452E"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opdracht omvat de levering, installatie, ingebruikstelling, service, onderhoud en overige dienstverlening met betrekking tot warme- en koude drankenautomaten en bijbehorende producten zoals beschreven in de aanbestedingsdocumenten.</w:t>
      </w:r>
    </w:p>
    <w:p w14:paraId="0E9FE150"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Op deze Wachtkamerovereenkomst zijn van toepassing:</w:t>
      </w:r>
    </w:p>
    <w:p w14:paraId="2693673F"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de Nota van Inlichtingen;</w:t>
      </w:r>
    </w:p>
    <w:p w14:paraId="7FECA3A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de Offerteaanvraag inclusief Programma van Eisen;</w:t>
      </w:r>
    </w:p>
    <w:p w14:paraId="344FB169"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de Algemene Inkoopvoorwaarden van gemeente Smallingerland;</w:t>
      </w:r>
    </w:p>
    <w:p w14:paraId="7055DE56"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de inschrijving van Opdrachtnemer II;</w:t>
      </w:r>
    </w:p>
    <w:p w14:paraId="293F773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deze Wachtkamerovereenkomst.</w:t>
      </w:r>
    </w:p>
    <w:p w14:paraId="02CE2B84"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Bij tegenstrijdigheden geldt bovenstaande rangorde.</w:t>
      </w:r>
    </w:p>
    <w:p w14:paraId="3A681DF3"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2 Looptijd</w:t>
      </w:r>
    </w:p>
    <w:p w14:paraId="4751D98F" w14:textId="77777777"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Deze Wachtkamerovereenkomst treedt in werking op de datum van ondertekening en eindigt van rechtswege op 1 april 2031, tenzij eerder uitvoering wordt gegeven aan artikel 3.</w:t>
      </w:r>
    </w:p>
    <w:p w14:paraId="2A140B1B" w14:textId="77777777"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gebruik maakt van de verlengingsopties uit de aanbesteding, wordt de looptijd van deze Wachtkamerovereenkomst automatisch overeenkomstig verlengd.</w:t>
      </w:r>
    </w:p>
    <w:p w14:paraId="5DFAE193" w14:textId="77777777"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Aan deze Wachtkamerovereenkomst kunnen door Opdrachtnemer II geen aanspraken op afname, omzet, vergoeding of schadevergoeding worden ontleend zolang artikel 3 niet in werking treedt.</w:t>
      </w:r>
    </w:p>
    <w:p w14:paraId="7CACAB47"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3 Inwerkingtreding van de Raamovereenkomst met Opdrachtnemer II</w:t>
      </w:r>
    </w:p>
    <w:p w14:paraId="0733ABB2" w14:textId="77777777" w:rsidR="002717E6" w:rsidRPr="002717E6" w:rsidRDefault="002717E6" w:rsidP="002717E6">
      <w:pPr>
        <w:numPr>
          <w:ilvl w:val="0"/>
          <w:numId w:val="11"/>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de Raamovereenkomst met Opdrachtnemer I:</w:t>
      </w:r>
    </w:p>
    <w:p w14:paraId="644E8A87"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niet tot stand komt;</w:t>
      </w:r>
    </w:p>
    <w:p w14:paraId="3425461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wordt ontbonden;</w:t>
      </w:r>
    </w:p>
    <w:p w14:paraId="14FED386"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wordt opgezegd;</w:t>
      </w:r>
    </w:p>
    <w:p w14:paraId="0F057621"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wordt beëindigd wegens wanprestatie;</w:t>
      </w:r>
    </w:p>
    <w:p w14:paraId="5F91772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wordt beëindigd om enige andere reden,</w:t>
      </w:r>
    </w:p>
    <w:p w14:paraId="6A95D31C"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is Opdrachtgever gerechtigd de opdracht onder te brengen bij Opdrachtnemer II.</w:t>
      </w:r>
    </w:p>
    <w:p w14:paraId="10D0CA3E"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Opdrachtgever stelt Opdrachtnemer II hiervan schriftelijk in kennis.</w:t>
      </w:r>
    </w:p>
    <w:p w14:paraId="34EB63AC"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Binnen twintig (20) werkdagen na deze kennisgeving treden Partijen in overleg over de feitelijke overdracht en implementatie.</w:t>
      </w:r>
    </w:p>
    <w:p w14:paraId="455B8B56"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Vanaf het moment van schriftelijke bevestiging door Opdrachtgever wordt tussen Partijen een Raamovereenkomst van kracht onder dezelfde voorwaarden als opgenomen in:</w:t>
      </w:r>
    </w:p>
    <w:p w14:paraId="63FD3184"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de aanbestedingsdocumenten;</w:t>
      </w:r>
    </w:p>
    <w:p w14:paraId="0361758A"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inschrijving van Opdrachtnemer II;</w:t>
      </w:r>
    </w:p>
    <w:p w14:paraId="4CE6E7C7"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definitieve gunningsbeslissing.</w:t>
      </w:r>
    </w:p>
    <w:p w14:paraId="5156A36B" w14:textId="77777777" w:rsidR="002717E6" w:rsidRPr="002717E6" w:rsidRDefault="002717E6" w:rsidP="002717E6">
      <w:pPr>
        <w:numPr>
          <w:ilvl w:val="0"/>
          <w:numId w:val="14"/>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resterende contractduur wordt bepaald door de op dat moment nog resterende looptijd van de oorspronkelijke Raamovereenkomst.</w:t>
      </w:r>
    </w:p>
    <w:p w14:paraId="5F9E0835" w14:textId="77777777"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Artikel 3a Aanbestedingsrechtelijke voorwaarde</w:t>
      </w:r>
    </w:p>
    <w:p w14:paraId="4CADB5F1"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Partijen erkennen dat deze Wachtkamerovereenkomst uitsluitend is gesloten in het kader van de Europese openbare aanbesteding "Warme- en koude dranken" van gemeente Smallingerland en rechtstreeks voortvloeit uit de rangorde zoals vastgesteld in de gunningsbeslissing.</w:t>
      </w:r>
    </w:p>
    <w:p w14:paraId="3F29AC7A"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Opdrachtgever kan uitsluitend gebruik maken van deze Wachtkamerovereenkomst indien en voor zover dit op grond van de toepasselijke aanbestedingsregelgeving en jurisprudentie is toegestaan.</w:t>
      </w:r>
    </w:p>
    <w:p w14:paraId="3CCA9A90"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de Raamovereenkomst met Opdrachtnemer I wordt beëindigd, zal Opdrachtgever vooraf beoordelen of het aangaan van een overeenkomst met Opdrachtnemer II verenigbaar is met de geldende aanbestedingsrechtelijke uitgangspunten, waaronder de beginselen van gelijke behandeling, transparantie en proportionaliteit.</w:t>
      </w:r>
    </w:p>
    <w:p w14:paraId="439862C6"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op grond van gewijzigde wet- en regelgeving, rechtspraak of een rechterlijke uitspraak redelijkerwijs tot het oordeel komt dat voortzetting via Opdrachtnemer II niet aanbestedingsrechtelijk is toegestaan, is Opdrachtgever gerechtigd deze Wachtkamerovereenkomst zonder schadeplichtigheid geheel of gedeeltelijk te beëindigen.</w:t>
      </w:r>
    </w:p>
    <w:p w14:paraId="48122550"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kan aan deze Wachtkamerovereenkomst geen verdergaande rechten ontlenen dan de voorwaardelijke mogelijkheid om, bij beëindiging van de Raamovereenkomst met Opdrachtnemer I en voor zover aanbestedingsrechtelijk toegestaan, de opdracht onder de voorwaarden van de aanbestedingsstukken en zijn inschrijving uit te voeren.</w:t>
      </w:r>
    </w:p>
    <w:p w14:paraId="7B2E50AA"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Partijen verklaren dat deze Wachtkamerovereenkomst geen zelfstandige opdrachtverstrekking inhoudt en uitsluitend strekt tot het vooraf vastleggen van de voorwaarden waaronder Opdrachtnemer II als opvolgend opdrachtnemer kan optreden.</w:t>
      </w:r>
    </w:p>
    <w:p w14:paraId="03C82FD1"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4 Prijzen</w:t>
      </w:r>
    </w:p>
    <w:p w14:paraId="31DF26A4"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houdt de in zijn inschrijving aangeboden tarieven gestand gedurende een periode van twaalf (12) maanden na de beoogde ingangsdatum van de oorspronkelijke Raamovereenkomst.</w:t>
      </w:r>
    </w:p>
    <w:p w14:paraId="58DA2084"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daarna alsnog gebruik maakt van deze Wachtkamerovereenkomst, mogen de tarieven jaarlijks worden aangepast overeenkomstig de prijsindexeringsregeling uit de aanbestedingsstukken.</w:t>
      </w:r>
    </w:p>
    <w:p w14:paraId="431E57F9"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verstrekt op verzoek van Opdrachtgever een geactualiseerd prijsoverzicht waaruit de indexering blijkt.</w:t>
      </w:r>
    </w:p>
    <w:p w14:paraId="7E21B422"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5 Geen exclusiviteit of afnameverplichting</w:t>
      </w:r>
    </w:p>
    <w:p w14:paraId="6E0883E5" w14:textId="77777777" w:rsidR="002717E6" w:rsidRPr="002717E6" w:rsidRDefault="002717E6" w:rsidP="002717E6">
      <w:pPr>
        <w:numPr>
          <w:ilvl w:val="0"/>
          <w:numId w:val="16"/>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Deze Wachtkamerovereenkomst verplicht Opdrachtgever niet om daadwerkelijk een overeenkomst met Opdrachtnemer II aan te gaan.</w:t>
      </w:r>
    </w:p>
    <w:p w14:paraId="57B8D8A8" w14:textId="77777777" w:rsidR="002717E6" w:rsidRPr="002717E6" w:rsidRDefault="002717E6" w:rsidP="002717E6">
      <w:pPr>
        <w:numPr>
          <w:ilvl w:val="0"/>
          <w:numId w:val="16"/>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erkent dat uitsluitend sprake is van een voorwaardelijke aanspraak die afhankelijk is van beëindiging van de overeenkomst met Opdrachtnemer I.</w:t>
      </w:r>
    </w:p>
    <w:p w14:paraId="695C9798"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6 Toepasselijk recht en geschillen</w:t>
      </w:r>
    </w:p>
    <w:p w14:paraId="20309802" w14:textId="77777777" w:rsidR="002717E6" w:rsidRPr="002717E6" w:rsidRDefault="002717E6" w:rsidP="002717E6">
      <w:pPr>
        <w:numPr>
          <w:ilvl w:val="0"/>
          <w:numId w:val="17"/>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 deze Wachtkamerovereenkomst is uitsluitend Nederlands recht van toepassing.</w:t>
      </w:r>
    </w:p>
    <w:p w14:paraId="03444CE3" w14:textId="77777777" w:rsidR="002717E6" w:rsidRPr="002717E6" w:rsidRDefault="002717E6" w:rsidP="002717E6">
      <w:pPr>
        <w:numPr>
          <w:ilvl w:val="0"/>
          <w:numId w:val="17"/>
        </w:numPr>
        <w:spacing w:before="100" w:beforeAutospacing="1" w:after="100" w:afterAutospacing="1"/>
        <w:jc w:val="left"/>
        <w:rPr>
          <w:rFonts w:ascii="Calibri" w:hAnsi="Calibri" w:cs="Calibri"/>
          <w:sz w:val="24"/>
          <w:szCs w:val="24"/>
        </w:rPr>
      </w:pPr>
      <w:r w:rsidRPr="002717E6">
        <w:rPr>
          <w:rFonts w:ascii="Calibri" w:hAnsi="Calibri" w:cs="Calibri"/>
          <w:sz w:val="24"/>
          <w:szCs w:val="24"/>
        </w:rPr>
        <w:t>Geschillen worden voorgelegd aan de bevoegde rechter van de rechtbank Noord-Nederland, locatie Leeuwarden.</w:t>
      </w:r>
    </w:p>
    <w:p w14:paraId="6E4650DE"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7 Slotbepalingen</w:t>
      </w:r>
    </w:p>
    <w:p w14:paraId="1A993B88" w14:textId="77777777" w:rsidR="002717E6" w:rsidRPr="002717E6" w:rsidRDefault="002717E6" w:rsidP="002717E6">
      <w:pPr>
        <w:numPr>
          <w:ilvl w:val="0"/>
          <w:numId w:val="18"/>
        </w:numPr>
        <w:spacing w:before="100" w:beforeAutospacing="1" w:after="100" w:afterAutospacing="1"/>
        <w:jc w:val="left"/>
        <w:rPr>
          <w:rFonts w:ascii="Calibri" w:hAnsi="Calibri" w:cs="Calibri"/>
          <w:sz w:val="24"/>
          <w:szCs w:val="24"/>
        </w:rPr>
      </w:pPr>
      <w:r w:rsidRPr="002717E6">
        <w:rPr>
          <w:rFonts w:ascii="Calibri" w:hAnsi="Calibri" w:cs="Calibri"/>
          <w:sz w:val="24"/>
          <w:szCs w:val="24"/>
        </w:rPr>
        <w:t>Wijzigingen van deze Wachtkamerovereenkomst zijn uitsluitend geldig indien deze schriftelijk door beide Partijen zijn overeengekomen.</w:t>
      </w:r>
    </w:p>
    <w:p w14:paraId="038D8396" w14:textId="77777777" w:rsidR="002717E6" w:rsidRPr="002717E6" w:rsidRDefault="002717E6" w:rsidP="002717E6">
      <w:pPr>
        <w:numPr>
          <w:ilvl w:val="0"/>
          <w:numId w:val="18"/>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enige bepaling nietig blijkt te zijn of vernietigd wordt, blijven de overige bepalingen onverminderd van kracht.</w:t>
      </w:r>
    </w:p>
    <w:p w14:paraId="66FDC74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Aldus overeengekomen en in tweevoud ondertekend,</w:t>
      </w:r>
    </w:p>
    <w:p w14:paraId="7D6D5AC9" w14:textId="77777777" w:rsidR="002717E6" w:rsidRDefault="002717E6" w:rsidP="002717E6">
      <w:pPr>
        <w:spacing w:before="100" w:beforeAutospacing="1" w:after="100" w:afterAutospacing="1"/>
        <w:jc w:val="left"/>
        <w:rPr>
          <w:rFonts w:ascii="Calibri" w:hAnsi="Calibri" w:cs="Calibri"/>
          <w:sz w:val="24"/>
          <w:szCs w:val="24"/>
        </w:rPr>
      </w:pPr>
    </w:p>
    <w:p w14:paraId="30D34BC2" w14:textId="659AC466"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Namens gemeente Smallingerland</w:t>
      </w:r>
    </w:p>
    <w:p w14:paraId="350E1E34" w14:textId="3315CF25"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Naam: </w:t>
      </w:r>
    </w:p>
    <w:p w14:paraId="79A98ABA" w14:textId="66B89DC0"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Functie: </w:t>
      </w:r>
    </w:p>
    <w:p w14:paraId="783BF99A" w14:textId="5388AA63"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Datum: </w:t>
      </w:r>
    </w:p>
    <w:p w14:paraId="3DFD5A24" w14:textId="77777777" w:rsidR="002717E6" w:rsidRDefault="002717E6" w:rsidP="002717E6">
      <w:pPr>
        <w:spacing w:before="100" w:beforeAutospacing="1" w:after="100" w:afterAutospacing="1"/>
        <w:jc w:val="left"/>
        <w:rPr>
          <w:rFonts w:ascii="Calibri" w:hAnsi="Calibri" w:cs="Calibri"/>
          <w:sz w:val="24"/>
          <w:szCs w:val="24"/>
        </w:rPr>
      </w:pPr>
    </w:p>
    <w:p w14:paraId="2FE388D9" w14:textId="6740DA23"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Handtekening: </w:t>
      </w:r>
    </w:p>
    <w:p w14:paraId="7F5E7426" w14:textId="77777777" w:rsidR="002717E6" w:rsidRDefault="002717E6" w:rsidP="002717E6">
      <w:pPr>
        <w:spacing w:before="100" w:beforeAutospacing="1" w:after="100" w:afterAutospacing="1"/>
        <w:jc w:val="left"/>
        <w:rPr>
          <w:rFonts w:ascii="Calibri" w:hAnsi="Calibri" w:cs="Calibri"/>
          <w:sz w:val="24"/>
          <w:szCs w:val="24"/>
        </w:rPr>
      </w:pPr>
    </w:p>
    <w:p w14:paraId="4705C912" w14:textId="35FB28F1"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Namens Opdrachtnemer II</w:t>
      </w:r>
    </w:p>
    <w:p w14:paraId="4FFD9251"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Naam: </w:t>
      </w:r>
    </w:p>
    <w:p w14:paraId="4DE31A39"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Functie: </w:t>
      </w:r>
    </w:p>
    <w:p w14:paraId="1C71CCA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Datum: </w:t>
      </w:r>
    </w:p>
    <w:p w14:paraId="00E6F5A1" w14:textId="77777777" w:rsidR="002717E6" w:rsidRDefault="002717E6" w:rsidP="002717E6">
      <w:pPr>
        <w:spacing w:before="100" w:beforeAutospacing="1" w:after="100" w:afterAutospacing="1"/>
        <w:jc w:val="left"/>
        <w:rPr>
          <w:rFonts w:ascii="Calibri" w:hAnsi="Calibri" w:cs="Calibri"/>
          <w:sz w:val="24"/>
          <w:szCs w:val="24"/>
        </w:rPr>
      </w:pPr>
    </w:p>
    <w:p w14:paraId="07C19BF7" w14:textId="708C4B61" w:rsidR="00AE73F4" w:rsidRPr="002717E6" w:rsidRDefault="002717E6" w:rsidP="002717E6">
      <w:pPr>
        <w:spacing w:before="100" w:beforeAutospacing="1" w:after="100" w:afterAutospacing="1"/>
        <w:jc w:val="left"/>
      </w:pPr>
      <w:r w:rsidRPr="002717E6">
        <w:rPr>
          <w:rFonts w:ascii="Calibri" w:hAnsi="Calibri" w:cs="Calibri"/>
          <w:sz w:val="24"/>
          <w:szCs w:val="24"/>
        </w:rPr>
        <w:t xml:space="preserve">Handtekening: </w:t>
      </w:r>
    </w:p>
    <w:sectPr w:rsidR="00AE73F4" w:rsidRPr="002717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88D9" w14:textId="77777777" w:rsidR="006B0F2C" w:rsidRDefault="006B0F2C" w:rsidP="00B06487">
      <w:r>
        <w:separator/>
      </w:r>
    </w:p>
  </w:endnote>
  <w:endnote w:type="continuationSeparator" w:id="0">
    <w:p w14:paraId="540F1B5D" w14:textId="77777777" w:rsidR="006B0F2C" w:rsidRDefault="006B0F2C" w:rsidP="00B0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7288" w14:textId="77777777" w:rsidR="0006069F" w:rsidRDefault="00060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96423"/>
      <w:docPartObj>
        <w:docPartGallery w:val="Page Numbers (Bottom of Page)"/>
        <w:docPartUnique/>
      </w:docPartObj>
    </w:sdtPr>
    <w:sdtContent>
      <w:p w14:paraId="138D2882" w14:textId="749F3A5F" w:rsidR="00B06487" w:rsidRDefault="00B06487" w:rsidP="00B06487">
        <w:pPr>
          <w:pStyle w:val="Voettekst"/>
          <w:jc w:val="center"/>
        </w:pPr>
        <w:r>
          <w:fldChar w:fldCharType="begin"/>
        </w:r>
        <w:r>
          <w:instrText>PAGE   \* MERGEFORMAT</w:instrText>
        </w:r>
        <w:r>
          <w:fldChar w:fldCharType="separate"/>
        </w:r>
        <w:r>
          <w:t>2</w:t>
        </w:r>
        <w:r>
          <w:fldChar w:fldCharType="end"/>
        </w:r>
      </w:p>
    </w:sdtContent>
  </w:sdt>
  <w:p w14:paraId="531E94EB" w14:textId="5605D97F" w:rsidR="00B06487" w:rsidRDefault="00B06487">
    <w:pPr>
      <w:pStyle w:val="Voettekst"/>
    </w:pPr>
    <w:r>
      <w:t>Paraaf opdrachtgever:</w:t>
    </w:r>
    <w:r>
      <w:tab/>
    </w:r>
    <w:r>
      <w:tab/>
    </w:r>
    <w:r w:rsidR="0006069F">
      <w:t>P</w:t>
    </w:r>
    <w:r>
      <w:t>araaf opdrachtnemer: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FE08" w14:textId="77777777" w:rsidR="0006069F" w:rsidRDefault="00060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06AD" w14:textId="77777777" w:rsidR="006B0F2C" w:rsidRDefault="006B0F2C" w:rsidP="00B06487">
      <w:r>
        <w:separator/>
      </w:r>
    </w:p>
  </w:footnote>
  <w:footnote w:type="continuationSeparator" w:id="0">
    <w:p w14:paraId="7F443C34" w14:textId="77777777" w:rsidR="006B0F2C" w:rsidRDefault="006B0F2C" w:rsidP="00B0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7544" w14:textId="77777777" w:rsidR="0006069F" w:rsidRDefault="00060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A075" w14:textId="77777777" w:rsidR="0006069F" w:rsidRDefault="00060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136D" w14:textId="77777777" w:rsidR="0006069F" w:rsidRDefault="00060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1F"/>
    <w:multiLevelType w:val="multilevel"/>
    <w:tmpl w:val="7F14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C6E16"/>
    <w:multiLevelType w:val="hybridMultilevel"/>
    <w:tmpl w:val="FA006DC6"/>
    <w:lvl w:ilvl="0" w:tplc="A8B814D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0459714D"/>
    <w:multiLevelType w:val="multilevel"/>
    <w:tmpl w:val="CC9E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127F0"/>
    <w:multiLevelType w:val="multilevel"/>
    <w:tmpl w:val="B8B8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62E44"/>
    <w:multiLevelType w:val="multilevel"/>
    <w:tmpl w:val="4EAEC1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0CE511A"/>
    <w:multiLevelType w:val="multilevel"/>
    <w:tmpl w:val="0CEE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F2F55"/>
    <w:multiLevelType w:val="multilevel"/>
    <w:tmpl w:val="1DE09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8C10A4"/>
    <w:multiLevelType w:val="hybridMultilevel"/>
    <w:tmpl w:val="76B47C34"/>
    <w:lvl w:ilvl="0" w:tplc="AE5C837A">
      <w:start w:val="1"/>
      <w:numFmt w:val="upperRoman"/>
      <w:lvlText w:val="%1."/>
      <w:lvlJc w:val="left"/>
      <w:pPr>
        <w:ind w:left="1425" w:hanging="720"/>
      </w:pPr>
      <w:rPr>
        <w:rFonts w:hint="default"/>
        <w:b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500A6690"/>
    <w:multiLevelType w:val="multilevel"/>
    <w:tmpl w:val="D7208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976E7"/>
    <w:multiLevelType w:val="multilevel"/>
    <w:tmpl w:val="768672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F5A75"/>
    <w:multiLevelType w:val="hybridMultilevel"/>
    <w:tmpl w:val="184692FA"/>
    <w:lvl w:ilvl="0" w:tplc="0E006352">
      <w:start w:val="4"/>
      <w:numFmt w:val="upp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3" w15:restartNumberingAfterBreak="0">
    <w:nsid w:val="57DF54CD"/>
    <w:multiLevelType w:val="hybridMultilevel"/>
    <w:tmpl w:val="99468584"/>
    <w:lvl w:ilvl="0" w:tplc="64A23A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17015"/>
    <w:multiLevelType w:val="multilevel"/>
    <w:tmpl w:val="4A143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926E69"/>
    <w:multiLevelType w:val="multilevel"/>
    <w:tmpl w:val="F7E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1638E"/>
    <w:multiLevelType w:val="multilevel"/>
    <w:tmpl w:val="FB5ED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163EED"/>
    <w:multiLevelType w:val="multilevel"/>
    <w:tmpl w:val="87C6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D738FC"/>
    <w:multiLevelType w:val="multilevel"/>
    <w:tmpl w:val="DACE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449035">
    <w:abstractNumId w:val="6"/>
  </w:num>
  <w:num w:numId="2" w16cid:durableId="1445152079">
    <w:abstractNumId w:val="13"/>
  </w:num>
  <w:num w:numId="3" w16cid:durableId="964385427">
    <w:abstractNumId w:val="16"/>
  </w:num>
  <w:num w:numId="4" w16cid:durableId="382412050">
    <w:abstractNumId w:val="5"/>
  </w:num>
  <w:num w:numId="5" w16cid:durableId="623198641">
    <w:abstractNumId w:val="9"/>
  </w:num>
  <w:num w:numId="6" w16cid:durableId="1453480724">
    <w:abstractNumId w:val="4"/>
  </w:num>
  <w:num w:numId="7" w16cid:durableId="443427814">
    <w:abstractNumId w:val="1"/>
  </w:num>
  <w:num w:numId="8" w16cid:durableId="99373628">
    <w:abstractNumId w:val="12"/>
  </w:num>
  <w:num w:numId="9" w16cid:durableId="1764766028">
    <w:abstractNumId w:val="3"/>
  </w:num>
  <w:num w:numId="10" w16cid:durableId="1558321953">
    <w:abstractNumId w:val="18"/>
  </w:num>
  <w:num w:numId="11" w16cid:durableId="1430664343">
    <w:abstractNumId w:val="17"/>
  </w:num>
  <w:num w:numId="12" w16cid:durableId="363486006">
    <w:abstractNumId w:val="10"/>
  </w:num>
  <w:num w:numId="13" w16cid:durableId="1997227187">
    <w:abstractNumId w:val="15"/>
  </w:num>
  <w:num w:numId="14" w16cid:durableId="1085493246">
    <w:abstractNumId w:val="11"/>
  </w:num>
  <w:num w:numId="15" w16cid:durableId="94444083">
    <w:abstractNumId w:val="2"/>
  </w:num>
  <w:num w:numId="16" w16cid:durableId="621232477">
    <w:abstractNumId w:val="8"/>
  </w:num>
  <w:num w:numId="17" w16cid:durableId="753547170">
    <w:abstractNumId w:val="14"/>
  </w:num>
  <w:num w:numId="18" w16cid:durableId="860170602">
    <w:abstractNumId w:val="0"/>
  </w:num>
  <w:num w:numId="19" w16cid:durableId="8141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F4"/>
    <w:rsid w:val="0006069F"/>
    <w:rsid w:val="00094EDC"/>
    <w:rsid w:val="000A4A79"/>
    <w:rsid w:val="00146263"/>
    <w:rsid w:val="00165F60"/>
    <w:rsid w:val="001725D1"/>
    <w:rsid w:val="001E544F"/>
    <w:rsid w:val="00243856"/>
    <w:rsid w:val="002717E6"/>
    <w:rsid w:val="003174E1"/>
    <w:rsid w:val="003B2FEE"/>
    <w:rsid w:val="003B3EA7"/>
    <w:rsid w:val="003E68C5"/>
    <w:rsid w:val="00402AB8"/>
    <w:rsid w:val="00420049"/>
    <w:rsid w:val="00434DF2"/>
    <w:rsid w:val="004A5C54"/>
    <w:rsid w:val="004D4F6D"/>
    <w:rsid w:val="0052597E"/>
    <w:rsid w:val="005B0FFE"/>
    <w:rsid w:val="00651779"/>
    <w:rsid w:val="00686F73"/>
    <w:rsid w:val="006B0F2C"/>
    <w:rsid w:val="00712262"/>
    <w:rsid w:val="00771652"/>
    <w:rsid w:val="00782984"/>
    <w:rsid w:val="00862A3A"/>
    <w:rsid w:val="00887080"/>
    <w:rsid w:val="0090220B"/>
    <w:rsid w:val="00994C87"/>
    <w:rsid w:val="009B2051"/>
    <w:rsid w:val="009E6909"/>
    <w:rsid w:val="009F7BDB"/>
    <w:rsid w:val="00A478BB"/>
    <w:rsid w:val="00A726B5"/>
    <w:rsid w:val="00AE4930"/>
    <w:rsid w:val="00AE73F4"/>
    <w:rsid w:val="00AF581A"/>
    <w:rsid w:val="00B06487"/>
    <w:rsid w:val="00B50268"/>
    <w:rsid w:val="00BC14DB"/>
    <w:rsid w:val="00C136E9"/>
    <w:rsid w:val="00C26B3E"/>
    <w:rsid w:val="00DB0178"/>
    <w:rsid w:val="00DF1812"/>
    <w:rsid w:val="00E01E1C"/>
    <w:rsid w:val="00FB2977"/>
    <w:rsid w:val="00FB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9BBD"/>
  <w15:docId w15:val="{6ACB4B30-C31F-4BBD-8BCB-E3CA368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3F4"/>
    <w:pPr>
      <w:spacing w:after="0" w:line="240" w:lineRule="auto"/>
      <w:jc w:val="both"/>
    </w:pPr>
    <w:rPr>
      <w:rFonts w:ascii="Arial" w:eastAsia="Times New Roman" w:hAnsi="Arial" w:cs="Times New Roman"/>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73F4"/>
    <w:pPr>
      <w:ind w:left="720"/>
      <w:contextualSpacing/>
    </w:pPr>
  </w:style>
  <w:style w:type="character" w:styleId="Verwijzingopmerking">
    <w:name w:val="annotation reference"/>
    <w:basedOn w:val="Standaardalinea-lettertype"/>
    <w:uiPriority w:val="99"/>
    <w:semiHidden/>
    <w:unhideWhenUsed/>
    <w:rsid w:val="00FB74D2"/>
    <w:rPr>
      <w:sz w:val="16"/>
      <w:szCs w:val="16"/>
    </w:rPr>
  </w:style>
  <w:style w:type="paragraph" w:styleId="Tekstopmerking">
    <w:name w:val="annotation text"/>
    <w:basedOn w:val="Standaard"/>
    <w:link w:val="TekstopmerkingChar"/>
    <w:uiPriority w:val="99"/>
    <w:semiHidden/>
    <w:unhideWhenUsed/>
    <w:rsid w:val="00FB74D2"/>
  </w:style>
  <w:style w:type="character" w:customStyle="1" w:styleId="TekstopmerkingChar">
    <w:name w:val="Tekst opmerking Char"/>
    <w:basedOn w:val="Standaardalinea-lettertype"/>
    <w:link w:val="Tekstopmerking"/>
    <w:uiPriority w:val="99"/>
    <w:semiHidden/>
    <w:rsid w:val="00FB74D2"/>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4D2"/>
    <w:rPr>
      <w:b/>
      <w:bCs/>
    </w:rPr>
  </w:style>
  <w:style w:type="character" w:customStyle="1" w:styleId="OnderwerpvanopmerkingChar">
    <w:name w:val="Onderwerp van opmerking Char"/>
    <w:basedOn w:val="TekstopmerkingChar"/>
    <w:link w:val="Onderwerpvanopmerking"/>
    <w:uiPriority w:val="99"/>
    <w:semiHidden/>
    <w:rsid w:val="00FB74D2"/>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FB74D2"/>
    <w:rPr>
      <w:rFonts w:ascii="Tahoma" w:hAnsi="Tahoma" w:cs="Tahoma"/>
      <w:sz w:val="16"/>
      <w:szCs w:val="16"/>
    </w:rPr>
  </w:style>
  <w:style w:type="character" w:customStyle="1" w:styleId="BallontekstChar">
    <w:name w:val="Ballontekst Char"/>
    <w:basedOn w:val="Standaardalinea-lettertype"/>
    <w:link w:val="Ballontekst"/>
    <w:uiPriority w:val="99"/>
    <w:semiHidden/>
    <w:rsid w:val="00FB74D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6487"/>
    <w:pPr>
      <w:tabs>
        <w:tab w:val="center" w:pos="4536"/>
        <w:tab w:val="right" w:pos="9072"/>
      </w:tabs>
    </w:pPr>
  </w:style>
  <w:style w:type="character" w:customStyle="1" w:styleId="KoptekstChar">
    <w:name w:val="Koptekst Char"/>
    <w:basedOn w:val="Standaardalinea-lettertype"/>
    <w:link w:val="Koptekst"/>
    <w:uiPriority w:val="99"/>
    <w:rsid w:val="00B0648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B06487"/>
    <w:pPr>
      <w:tabs>
        <w:tab w:val="center" w:pos="4536"/>
        <w:tab w:val="right" w:pos="9072"/>
      </w:tabs>
    </w:pPr>
  </w:style>
  <w:style w:type="character" w:customStyle="1" w:styleId="VoettekstChar">
    <w:name w:val="Voettekst Char"/>
    <w:basedOn w:val="Standaardalinea-lettertype"/>
    <w:link w:val="Voettekst"/>
    <w:uiPriority w:val="99"/>
    <w:rsid w:val="00B0648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GEMSML-1050719524-2143</_dlc_DocId>
    <_dlc_DocIdUrl xmlns="d2d33311-6d6f-4f19-a6bf-c02afe34b7fa">
      <Url>https://smallingerland.sharepoint.com/sites/THEMA-Inkopen-en-aanbesteden/_layouts/15/DocIdRedir.aspx?ID=GEMSML-1050719524-2143</Url>
      <Description>GEMSML-1050719524-2143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7C860-B9F6-48C4-8BA2-E50203AA8C02}">
  <ds:schemaRefs>
    <ds:schemaRef ds:uri="http://schemas.microsoft.com/sharepoint/events"/>
  </ds:schemaRefs>
</ds:datastoreItem>
</file>

<file path=customXml/itemProps2.xml><?xml version="1.0" encoding="utf-8"?>
<ds:datastoreItem xmlns:ds="http://schemas.openxmlformats.org/officeDocument/2006/customXml" ds:itemID="{D905BAC7-2804-42A3-81E2-1427C0783CFD}"/>
</file>

<file path=customXml/itemProps3.xml><?xml version="1.0" encoding="utf-8"?>
<ds:datastoreItem xmlns:ds="http://schemas.openxmlformats.org/officeDocument/2006/customXml" ds:itemID="{6B08715A-B26A-4E1E-8B67-9D8D1BA2FD02}">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4.xml><?xml version="1.0" encoding="utf-8"?>
<ds:datastoreItem xmlns:ds="http://schemas.openxmlformats.org/officeDocument/2006/customXml" ds:itemID="{85536546-6050-4851-8ED2-9EF6AF751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Arjan van der Wier</dc:creator>
  <cp:lastModifiedBy>Wier, Arjan van der</cp:lastModifiedBy>
  <cp:revision>2</cp:revision>
  <dcterms:created xsi:type="dcterms:W3CDTF">2026-05-29T10:08:00Z</dcterms:created>
  <dcterms:modified xsi:type="dcterms:W3CDTF">2026-05-29T10:08:00Z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{4e9e71fc-fb13-4cfb-87b7-73b0a8a67f95}</vt:lpwstr>
  </property>
  <property fmtid="{D5CDD505-2E9C-101B-9397-08002B2CF9AE}" pid="5" name="eSynDocContactDesc">
    <vt:lpwstr>
    </vt:lpwstr>
  </property>
  <property fmtid="{D5CDD505-2E9C-101B-9397-08002B2CF9AE}" pid="6" name="eSynDocAccountDesc">
    <vt:lpwstr>Gemeente Aalten</vt:lpwstr>
  </property>
  <property fmtid="{D5CDD505-2E9C-101B-9397-08002B2CF9AE}" pid="7" name="eSynDocProjectDesc">
    <vt:lpwstr>Abonnement standaarddocumenten gemeente Aalten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Format Wachtkamerovereenkomst.docx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Conceptovereenkomst</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708558880</vt:lpwstr>
  </property>
  <property fmtid="{D5CDD505-2E9C-101B-9397-08002B2CF9AE}" pid="25" name="eSynDocResource">
    <vt:lpwstr>
    </vt:lpwstr>
  </property>
  <property fmtid="{D5CDD505-2E9C-101B-9397-08002B2CF9AE}" pid="26" name="eSynDocProjectNr">
    <vt:lpwstr>AALTEN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56639</vt:lpwstr>
  </property>
  <property fmtid="{D5CDD505-2E9C-101B-9397-08002B2CF9AE}" pid="38" name="eSynCleanUp04/08/2022 11:48:38">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1340829f-d226-488b-831c-234ee708808f</vt:lpwstr>
  </property>
</Properties>
</file>