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Bijlage 5</w:t>
      </w:r>
    </w:p>
    <w:p>
      <w:pPr>
        <w:pStyle w:val="Heading2"/>
        <w:jc w:val="center"/>
      </w:pPr>
      <w:r>
        <w:t>Format selectiecriteria</w:t>
      </w:r>
    </w:p>
    <w:p>
      <w:pPr>
        <w:jc w:val="center"/>
      </w:pPr>
      <w:r>
        <w:rPr>
          <w:sz w:val="22"/>
        </w:rPr>
        <w:t>Adviesdiensten Fysiek Domein Gemeente Heemskerk</w:t>
      </w:r>
    </w:p>
    <w:p>
      <w:pPr>
        <w:jc w:val="center"/>
      </w:pPr>
      <w:r>
        <w:rPr>
          <w:sz w:val="18"/>
        </w:rPr>
        <w:t>Kenmerk: [invullen voor publicatie]  |  Versie: [invullen]  |  Datum: [invullen]</w:t>
      </w:r>
    </w:p>
    <w:p/>
    <w:p>
      <w:pPr>
        <w:pStyle w:val="Aanwijzing"/>
      </w:pPr>
      <w:r>
        <w:t>Gebruik dit format voor de toelichting op de selectiecriteria. Tekst tussen blokhaken is bedoeld als invul- of keuzetekst.</w:t>
      </w:r>
    </w:p>
    <w:p>
      <w:pPr>
        <w:pStyle w:val="Heading1"/>
        <w:spacing w:before="200" w:after="80"/>
      </w:pPr>
      <w:r>
        <w:t>1. Instructies voor Gegadigde</w:t>
      </w:r>
    </w:p>
    <w:p>
      <w:pPr>
        <w:pStyle w:val="ListBullet"/>
        <w:spacing w:after="20"/>
      </w:pPr>
      <w:r>
        <w:t>Vul dit format in voor ieder perceel waarvoor een Aanmelding wordt gedaan.</w:t>
      </w:r>
    </w:p>
    <w:p>
      <w:pPr>
        <w:pStyle w:val="ListBullet"/>
        <w:spacing w:after="20"/>
      </w:pPr>
      <w:r>
        <w:t>Een toelichting mag voor meerdere percelen worden gebruikt, mits duidelijk wordt gemaakt waarom de toelichting voor ieder afzonderlijk perceel relevant is.</w:t>
      </w:r>
    </w:p>
    <w:p>
      <w:pPr>
        <w:pStyle w:val="ListBullet"/>
        <w:spacing w:after="20"/>
      </w:pPr>
      <w:r>
        <w:t>Onderbouw de beantwoording concreet met relevante voorbeelden, referenties, producten, werkwijzen en/of teaminformatie.</w:t>
      </w:r>
    </w:p>
    <w:p>
      <w:pPr>
        <w:pStyle w:val="ListBullet"/>
        <w:spacing w:after="20"/>
      </w:pPr>
      <w:r>
        <w:t>Algemene marketinginformatie, standaardteksten of toelichtingen zonder duidelijke relatie met de gemeentelijke praktijk en de specifieke behoefte van de Gemeente kunnen lager worden gewaardeerd.</w:t>
      </w:r>
    </w:p>
    <w:p>
      <w:pPr>
        <w:pStyle w:val="ListBullet"/>
        <w:spacing w:after="20"/>
      </w:pPr>
      <w:r>
        <w:t>De beoordeling vindt per perceel plaats op basis van de in dit format opgenomen selectiecriteria en wegingen.</w:t>
      </w:r>
    </w:p>
    <w:p>
      <w:pPr>
        <w:pStyle w:val="Heading1"/>
        <w:spacing w:before="200" w:after="80"/>
      </w:pPr>
      <w:r>
        <w:t>2. Gegevens Gegadigde en percelen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Naam Gegadigde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Contactpersoon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[naam, functie]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E-mailadres en telefoonnummer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Aanmelding namens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☐ Zelfstandig  ☐ Samenwerkingsverband  ☐ Hoofd-/onderaannemer  ☐ Anders, namelijk: 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Perceel/percelen waarvoor dit format wordt ingediend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☐ 1 Mobiliteit  ☐ 2 Wonen  ☐ 3 Water &amp; Klimaatadaptatie  ☐ 4 Natuur en Landschap  ☐ 5 Stedenbouw  ☐ 6 Ruimtelijke Ontwikkeling / Planologie  ☐ 7 Integrale gebiedsontwikkeling</w:t>
            </w:r>
          </w:p>
        </w:tc>
      </w:tr>
    </w:tbl>
    <w:p>
      <w:pPr>
        <w:pStyle w:val="Heading1"/>
        <w:spacing w:before="200" w:after="80"/>
      </w:pPr>
      <w:r>
        <w:t>3. Overzicht selectiecriteria en weging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rPr>
          <w:tblHeader w:val="true"/>
        </w:trPr>
        <w:tc>
          <w:tcPr>
            <w:tcW w:type="dxa" w:w="4195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6"/>
              </w:rPr>
              <w:t>Selectiecriterium</w:t>
            </w:r>
          </w:p>
        </w:tc>
        <w:tc>
          <w:tcPr>
            <w:tcW w:type="dxa" w:w="113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6"/>
              </w:rPr>
              <w:t>Weging</w:t>
            </w:r>
          </w:p>
        </w:tc>
        <w:tc>
          <w:tcPr>
            <w:tcW w:type="dxa" w:w="4649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6"/>
              </w:rPr>
              <w:t>Kern van de beoordeling</w:t>
            </w:r>
          </w:p>
        </w:tc>
      </w:tr>
      <w:tr>
        <w:tc>
          <w:tcPr>
            <w:tcW w:type="dxa" w:w="4195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1. Relevante ervaring en lokale/contextuele sensitiviteit</w:t>
            </w:r>
          </w:p>
        </w:tc>
        <w:tc>
          <w:tcPr>
            <w:tcW w:type="dxa" w:w="1134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35%</w:t>
            </w:r>
          </w:p>
        </w:tc>
        <w:tc>
          <w:tcPr>
            <w:tcW w:type="dxa" w:w="4649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Relevante ervaring in gemeentelijke of vergelijkbare publieke context en vermogen om rekening te houden met lokale, bestuurlijke en maatschappelijke omstandigheden.</w:t>
            </w:r>
          </w:p>
        </w:tc>
      </w:tr>
      <w:tr>
        <w:tc>
          <w:tcPr>
            <w:tcW w:type="dxa" w:w="4195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2. Specialistische expertise per perceel</w:t>
            </w:r>
          </w:p>
        </w:tc>
        <w:tc>
          <w:tcPr>
            <w:tcW w:type="dxa" w:w="1134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35%</w:t>
            </w:r>
          </w:p>
        </w:tc>
        <w:tc>
          <w:tcPr>
            <w:tcW w:type="dxa" w:w="4649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Diepgang, actualiteit en toepasbaarheid van specialistische expertise binnen het perceel, inclusief team en sleutelpersonen.</w:t>
            </w:r>
          </w:p>
        </w:tc>
      </w:tr>
      <w:tr>
        <w:tc>
          <w:tcPr>
            <w:tcW w:type="dxa" w:w="4195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3. Samenwerkingsvermogen en kennisoverdracht</w:t>
            </w:r>
          </w:p>
        </w:tc>
        <w:tc>
          <w:tcPr>
            <w:tcW w:type="dxa" w:w="1134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30%</w:t>
            </w:r>
          </w:p>
        </w:tc>
        <w:tc>
          <w:tcPr>
            <w:tcW w:type="dxa" w:w="4649"/>
            <w:vAlign w:val="top"/>
          </w:tcPr>
          <w:p>
            <w:pPr>
              <w:spacing w:after="20"/>
            </w:pPr>
            <w:r/>
            <w:r>
              <w:rPr>
                <w:sz w:val="16"/>
              </w:rPr>
              <w:t>Effectieve, transparante en constructieve samenwerking met de gemeentelijke organisatie, kennisdeling en behoud van gemeentelijke regie.</w:t>
            </w:r>
          </w:p>
        </w:tc>
      </w:tr>
    </w:tbl>
    <w:p>
      <w:r>
        <w:br w:type="page"/>
      </w:r>
    </w:p>
    <w:p>
      <w:pPr>
        <w:pStyle w:val="Heading1"/>
        <w:spacing w:before="200" w:after="80"/>
      </w:pPr>
      <w:r>
        <w:t>4. Selectiecriterium 1 – Relevante ervaring en lokale/contextuele sensitiviteit</w:t>
      </w:r>
    </w:p>
    <w:p>
      <w:r>
        <w:rPr>
          <w:b/>
        </w:rPr>
        <w:t>Weging: 35%</w:t>
      </w:r>
    </w:p>
    <w:p>
      <w:pPr>
        <w:pStyle w:val="ListBullet"/>
        <w:spacing w:after="20"/>
      </w:pPr>
      <w:r>
        <w:t>vergelijkbaarheid van ervaring met de aard en omvang van opdrachten binnen het betreffende perceel;</w:t>
      </w:r>
    </w:p>
    <w:p>
      <w:pPr>
        <w:pStyle w:val="ListBullet"/>
        <w:spacing w:after="20"/>
      </w:pPr>
      <w:r>
        <w:t>ervaring met gemeenten van vergelijkbare schaal en/of met een dorpse of middelgrote context;</w:t>
      </w:r>
    </w:p>
    <w:p>
      <w:pPr>
        <w:pStyle w:val="ListBullet"/>
        <w:spacing w:after="20"/>
      </w:pPr>
      <w:r>
        <w:t>begrip van bestuurlijke verhoudingen en maatschappelijke gevoeligheden;</w:t>
      </w:r>
    </w:p>
    <w:p>
      <w:pPr>
        <w:pStyle w:val="ListBullet"/>
        <w:spacing w:after="20"/>
      </w:pPr>
      <w:r>
        <w:t>kwaliteit, relevantie en concreetheid van referenties;</w:t>
      </w:r>
    </w:p>
    <w:p>
      <w:pPr>
        <w:pStyle w:val="ListBullet"/>
        <w:spacing w:after="20"/>
      </w:pPr>
      <w:r>
        <w:t>bruikbaarheid van geleverde producten voor beleid, uitvoering of besluitvorming.</w:t>
      </w:r>
    </w:p>
    <w:p>
      <w:pPr>
        <w:pStyle w:val="Aanwijzing"/>
      </w:pPr>
      <w:r>
        <w:t>Vul onderstaande tabel per perceel in. Verwijs waar mogelijk naar de referentieprojecten uit Bijlage 4.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rPr>
          <w:tblHeader w:val="true"/>
        </w:trPr>
        <w:tc>
          <w:tcPr>
            <w:tcW w:type="dxa" w:w="181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Perceel</w:t>
            </w:r>
          </w:p>
        </w:tc>
        <w:tc>
          <w:tcPr>
            <w:tcW w:type="dxa" w:w="289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Toelichting relevante ervaring</w:t>
            </w:r>
          </w:p>
        </w:tc>
        <w:tc>
          <w:tcPr>
            <w:tcW w:type="dxa" w:w="294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Lokale/contextuele sensitiviteit</w:t>
            </w:r>
          </w:p>
        </w:tc>
        <w:tc>
          <w:tcPr>
            <w:tcW w:type="dxa" w:w="232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Onderbouwing / verwijzing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1 Mobiliteit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2 Wonen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3 Water &amp; Klimaatadaptatie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4 Natuur en Landschap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5 Stedenbouw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6 Ruimtelijke Ontwikkeling / Planologie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7 Integrale gebiedsontwikkeling</w:t>
            </w:r>
          </w:p>
        </w:tc>
        <w:tc>
          <w:tcPr>
            <w:tcW w:type="dxa" w:w="289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relevante ervaring en vergelijkbaarheid]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publieke/gemeentelijke context, schaal, bestuurlijke dynamiek en maatschappelijke gevoeligheden]</w:t>
            </w:r>
          </w:p>
        </w:tc>
        <w:tc>
          <w:tcPr>
            <w:tcW w:type="dxa" w:w="232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[verwijs naar referenties, producten, voorbeelden of teaminformatie]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9979"/>
            <w:shd w:fill="EDEDED"/>
          </w:tcPr>
          <w:p>
            <w:pPr>
              <w:spacing w:after="0"/>
            </w:pPr>
            <w:r>
              <w:rPr>
                <w:b/>
                <w:sz w:val="18"/>
              </w:rPr>
              <w:t>Aanvullende toelichting selectiecriterium 1</w:t>
            </w:r>
          </w:p>
        </w:tc>
      </w:tr>
      <w:tr>
        <w:tc>
          <w:tcPr>
            <w:tcW w:type="dxa" w:w="9979"/>
          </w:tcPr>
          <w:p>
            <w:pPr>
              <w:pStyle w:val="Aanwijzing"/>
              <w:spacing w:after="0"/>
            </w:pPr>
            <w:r>
              <w:t>Gebruik dit vak voor een overkoepelende toelichting, bijvoorbeeld waarom de werkwijze aansluit op de behoefte van de Gemeente Heemskerk.</w:t>
            </w:r>
          </w:p>
          <w:p/>
          <w:p/>
          <w:p/>
        </w:tc>
      </w:tr>
    </w:tbl>
    <w:p>
      <w:r>
        <w:br w:type="page"/>
      </w:r>
    </w:p>
    <w:p>
      <w:pPr>
        <w:pStyle w:val="Heading1"/>
        <w:spacing w:before="200" w:after="80"/>
      </w:pPr>
      <w:r>
        <w:t>5. Selectiecriterium 2 – Specialistische expertise per perceel</w:t>
      </w:r>
    </w:p>
    <w:p>
      <w:r>
        <w:rPr>
          <w:b/>
        </w:rPr>
        <w:t>Weging: 35%</w:t>
      </w:r>
    </w:p>
    <w:p>
      <w:pPr>
        <w:pStyle w:val="ListBullet"/>
        <w:spacing w:after="20"/>
      </w:pPr>
      <w:r>
        <w:t>diepgang en actualiteit van vakinhoudelijke kennis;</w:t>
      </w:r>
    </w:p>
    <w:p>
      <w:pPr>
        <w:pStyle w:val="ListBullet"/>
        <w:spacing w:after="20"/>
      </w:pPr>
      <w:r>
        <w:t>kwaliteit en passendheid van het voorgestelde team en de sleutelpersonen;</w:t>
      </w:r>
    </w:p>
    <w:p>
      <w:pPr>
        <w:pStyle w:val="ListBullet"/>
        <w:spacing w:after="20"/>
      </w:pPr>
      <w:r>
        <w:t>ervaring, senioriteit en beschikbaarheid van sleutelpersonen;</w:t>
      </w:r>
    </w:p>
    <w:p>
      <w:pPr>
        <w:pStyle w:val="ListBullet"/>
        <w:spacing w:after="20"/>
      </w:pPr>
      <w:r>
        <w:t>kennis van relevante wet- en regelgeving, beleidsontwikkelingen, methodieken en instrumenten;</w:t>
      </w:r>
    </w:p>
    <w:p>
      <w:pPr>
        <w:pStyle w:val="ListBullet"/>
        <w:spacing w:after="20"/>
      </w:pPr>
      <w:r>
        <w:t>vermogen om specialistische kennis te vertalen naar bruikbare gemeentelijke producten.</w:t>
      </w:r>
    </w:p>
    <w:p>
      <w:pPr>
        <w:pStyle w:val="Aanwijzing"/>
      </w:pPr>
      <w:r>
        <w:t>Vul onderstaande tabel per perceel in. Benoem concreet de expertise en de sleutelpersonen die voor het betreffende perceel beschikbaar zijn.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rPr>
          <w:tblHeader w:val="true"/>
        </w:trPr>
        <w:tc>
          <w:tcPr>
            <w:tcW w:type="dxa" w:w="181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Perceel</w:t>
            </w:r>
          </w:p>
        </w:tc>
        <w:tc>
          <w:tcPr>
            <w:tcW w:type="dxa" w:w="294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Specialistische expertise</w:t>
            </w:r>
          </w:p>
        </w:tc>
        <w:tc>
          <w:tcPr>
            <w:tcW w:type="dxa" w:w="249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Sleutelpersonen / team</w:t>
            </w:r>
          </w:p>
        </w:tc>
        <w:tc>
          <w:tcPr>
            <w:tcW w:type="dxa" w:w="272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Toepassing in gemeentelijke producten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1 Mobiliteit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2 Wonen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3 Water &amp; Klimaatadaptatie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4 Natuur en Landschap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5 Stedenbouw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6 Ruimtelijke Ontwikkeling / Planologie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7 Integrale gebiedsontwikkeling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vakinhoudelijke diepgang, actuele kennis, methodieken en instrumenten]</w:t>
            </w:r>
          </w:p>
        </w:tc>
        <w:tc>
          <w:tcPr>
            <w:tcW w:type="dxa" w:w="249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[namen/profielen, rol, senioriteit en beschikbaarheid]</w:t>
            </w:r>
          </w:p>
        </w:tc>
        <w:tc>
          <w:tcPr>
            <w:tcW w:type="dxa" w:w="272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hoe expertise wordt vertaald naar bruikbare adviezen, onderzoeken, beleid of besluitvormingsdocumenten]</w:t>
            </w:r>
          </w:p>
        </w:tc>
      </w:tr>
    </w:tbl>
    <w:p>
      <w:pPr>
        <w:pStyle w:val="Heading2"/>
        <w:spacing w:before="160" w:after="60"/>
      </w:pPr>
      <w:r>
        <w:t>5.1 Overzicht sleutelpersonen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62"/>
        <w:gridCol w:w="2062"/>
        <w:gridCol w:w="2062"/>
        <w:gridCol w:w="2062"/>
        <w:gridCol w:w="2062"/>
      </w:tblGrid>
      <w:tr>
        <w:trPr>
          <w:tblHeader w:val="true"/>
        </w:trPr>
        <w:tc>
          <w:tcPr>
            <w:tcW w:type="dxa" w:w="187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Naam / profiel</w:t>
            </w:r>
          </w:p>
        </w:tc>
        <w:tc>
          <w:tcPr>
            <w:tcW w:type="dxa" w:w="1360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Perceel</w:t>
            </w:r>
          </w:p>
        </w:tc>
        <w:tc>
          <w:tcPr>
            <w:tcW w:type="dxa" w:w="170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Rol in opdracht</w:t>
            </w:r>
          </w:p>
        </w:tc>
        <w:tc>
          <w:tcPr>
            <w:tcW w:type="dxa" w:w="3402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Relevante expertise en ervaring</w:t>
            </w:r>
          </w:p>
        </w:tc>
        <w:tc>
          <w:tcPr>
            <w:tcW w:type="dxa" w:w="164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Beschikbaarheid / continuïteit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187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360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3402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64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9979"/>
            <w:shd w:fill="EDEDED"/>
          </w:tcPr>
          <w:p>
            <w:pPr>
              <w:spacing w:after="0"/>
            </w:pPr>
            <w:r>
              <w:rPr>
                <w:b/>
                <w:sz w:val="18"/>
              </w:rPr>
              <w:t>Aanvullende toelichting selectiecriterium 2</w:t>
            </w:r>
          </w:p>
        </w:tc>
      </w:tr>
      <w:tr>
        <w:tc>
          <w:tcPr>
            <w:tcW w:type="dxa" w:w="9979"/>
          </w:tcPr>
          <w:p>
            <w:pPr>
              <w:pStyle w:val="Aanwijzing"/>
              <w:spacing w:after="0"/>
            </w:pPr>
            <w:r>
              <w:t>Gebruik dit vak voor een overkoepelende toelichting op de kwaliteit, actualiteit en passendheid van de expertise.</w:t>
            </w:r>
          </w:p>
          <w:p/>
          <w:p/>
          <w:p/>
        </w:tc>
      </w:tr>
    </w:tbl>
    <w:p>
      <w:r>
        <w:br w:type="page"/>
      </w:r>
    </w:p>
    <w:p>
      <w:pPr>
        <w:pStyle w:val="Heading1"/>
        <w:spacing w:before="200" w:after="80"/>
      </w:pPr>
      <w:r>
        <w:t>6. Selectiecriterium 3 – Samenwerkingsvermogen en kennisoverdracht</w:t>
      </w:r>
    </w:p>
    <w:p>
      <w:r>
        <w:rPr>
          <w:b/>
        </w:rPr>
        <w:t>Weging: 30%</w:t>
      </w:r>
    </w:p>
    <w:p>
      <w:pPr>
        <w:pStyle w:val="ListBullet"/>
        <w:spacing w:after="20"/>
      </w:pPr>
      <w:r>
        <w:t>samenwerking met gemeentelijke opdrachtgevers, beleidsmedewerkers, projectleiders en bestuurders;</w:t>
      </w:r>
    </w:p>
    <w:p>
      <w:pPr>
        <w:pStyle w:val="ListBullet"/>
        <w:spacing w:after="20"/>
      </w:pPr>
      <w:r>
        <w:t>duidelijke communicatie, rolverdeling en verwachtingsmanagement;</w:t>
      </w:r>
    </w:p>
    <w:p>
      <w:pPr>
        <w:pStyle w:val="ListBullet"/>
        <w:spacing w:after="20"/>
      </w:pPr>
      <w:r>
        <w:t>borging van vaste contactpersonen en continuïteit;</w:t>
      </w:r>
    </w:p>
    <w:p>
      <w:pPr>
        <w:pStyle w:val="ListBullet"/>
        <w:spacing w:after="20"/>
      </w:pPr>
      <w:r>
        <w:t>kennisdeling, overdraagbaarheid en navolgbaarheid van producten;</w:t>
      </w:r>
    </w:p>
    <w:p>
      <w:pPr>
        <w:pStyle w:val="ListBullet"/>
        <w:spacing w:after="20"/>
      </w:pPr>
      <w:r>
        <w:t>integraal werken met andere disciplines, interne teams en externe partijen.</w:t>
      </w:r>
    </w:p>
    <w:p>
      <w:pPr>
        <w:pStyle w:val="Aanwijzing"/>
      </w:pPr>
      <w:r>
        <w:t>Vul onderstaande tabel per perceel in. Beschrijf concreet hoe samenwerking, kennisdeling en behoud van gemeentelijke regie worden geborgd.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rPr>
          <w:tblHeader w:val="true"/>
        </w:trPr>
        <w:tc>
          <w:tcPr>
            <w:tcW w:type="dxa" w:w="1814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Perceel</w:t>
            </w:r>
          </w:p>
        </w:tc>
        <w:tc>
          <w:tcPr>
            <w:tcW w:type="dxa" w:w="2835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Samenwerking en communicatie</w:t>
            </w:r>
          </w:p>
        </w:tc>
        <w:tc>
          <w:tcPr>
            <w:tcW w:type="dxa" w:w="255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Continuïteit en vaste aanspreekpunten</w:t>
            </w:r>
          </w:p>
        </w:tc>
        <w:tc>
          <w:tcPr>
            <w:tcW w:type="dxa" w:w="277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Kennisoverdracht en borging gemeentelijke regie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1 Mobiliteit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2 Wonen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3 Water &amp; Klimaatadaptatie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4 Natuur en Landschap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5 Stedenbouw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6 Ruimtelijke Ontwikkeling / Planologie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  <w:tr>
        <w:tc>
          <w:tcPr>
            <w:tcW w:type="dxa" w:w="1814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7 Integrale gebiedsontwikkeling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overlegstructuur, rolverdeling, verwachtingsmanagement en samenwerking met bestuur/organisatie]</w:t>
            </w:r>
          </w:p>
        </w:tc>
        <w:tc>
          <w:tcPr>
            <w:tcW w:type="dxa" w:w="255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beschikbaarheid, vervanging, escalatie en behoud van kennis in team]</w:t>
            </w:r>
          </w:p>
        </w:tc>
        <w:tc>
          <w:tcPr>
            <w:tcW w:type="dxa" w:w="277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[beschrijf kennisdeling, overdrachtsproducten, dossiervorming, review, workshops of werksessies]</w:t>
            </w:r>
          </w:p>
        </w:tc>
      </w:tr>
    </w:tbl>
    <w:p>
      <w:pPr>
        <w:pStyle w:val="Heading2"/>
        <w:spacing w:before="160" w:after="60"/>
      </w:pPr>
      <w:r>
        <w:t>6.1 Werkwijze kwaliteitsborging en kennisoverdracht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Kwaliteitsborging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[beschrijf interne review, toetsing, dossiervorming, kwaliteitsmanagement of vergelijkbare werkwijze]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Kennisoverdracht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[beschrijf overdracht aan de gemeentelijke organisatie, bijvoorbeeld werksessies, oplevernotities, bronbestanden, beheerbare producten of evaluaties]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Borging continuïteit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[beschrijf vaste contactpersonen, vervanging, overdracht binnen het team en beschikbaarheid]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Integraal werken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[beschrijf samenwerking met andere disciplines, interne teams en externe partijen]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Aanvullende toelichting selectiecriterium 3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[gebruik dit veld voor een overkoepelende toelichting op de samenwerking met de Gemeente Heemskerk en de borging van kennisoverdracht]</w:t>
            </w:r>
          </w:p>
        </w:tc>
      </w:tr>
    </w:tbl>
    <w:p>
      <w:pPr>
        <w:pStyle w:val="Heading1"/>
        <w:spacing w:before="200" w:after="80"/>
      </w:pPr>
      <w:r>
        <w:t>7. Verwijzingen naar onderbouwing</w:t>
      </w:r>
    </w:p>
    <w:p>
      <w:pPr>
        <w:pStyle w:val="Aanwijzing"/>
      </w:pPr>
      <w:r>
        <w:t>Gebruik dit overzicht om aan te geven welke referenties, producten, teaminformatie of andere bewijsstukken de beantwoording ondersteunen.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62"/>
        <w:gridCol w:w="2062"/>
        <w:gridCol w:w="2062"/>
        <w:gridCol w:w="2062"/>
        <w:gridCol w:w="2062"/>
      </w:tblGrid>
      <w:tr>
        <w:trPr>
          <w:tblHeader w:val="true"/>
        </w:trPr>
        <w:tc>
          <w:tcPr>
            <w:tcW w:type="dxa" w:w="567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Nr.</w:t>
            </w:r>
          </w:p>
        </w:tc>
        <w:tc>
          <w:tcPr>
            <w:tcW w:type="dxa" w:w="2835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Onderbouwing / document</w:t>
            </w:r>
          </w:p>
        </w:tc>
        <w:tc>
          <w:tcPr>
            <w:tcW w:type="dxa" w:w="1701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Hoort bij selectiecriterium</w:t>
            </w:r>
          </w:p>
        </w:tc>
        <w:tc>
          <w:tcPr>
            <w:tcW w:type="dxa" w:w="1927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Hoort bij perceel/percelen</w:t>
            </w:r>
          </w:p>
        </w:tc>
        <w:tc>
          <w:tcPr>
            <w:tcW w:type="dxa" w:w="2948"/>
            <w:vAlign w:val="top"/>
            <w:shd w:fill="D9EAF7"/>
          </w:tcPr>
          <w:p>
            <w:pPr>
              <w:spacing w:after="0"/>
            </w:pPr>
            <w:r/>
            <w:r>
              <w:rPr>
                <w:b/>
                <w:sz w:val="15"/>
              </w:rPr>
              <w:t>Korte toelichting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1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2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3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4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5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6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  <w:tr>
        <w:tc>
          <w:tcPr>
            <w:tcW w:type="dxa" w:w="56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7</w:t>
            </w:r>
          </w:p>
        </w:tc>
        <w:tc>
          <w:tcPr>
            <w:tcW w:type="dxa" w:w="2835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1701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[1 / 2 / 3]</w:t>
            </w:r>
          </w:p>
        </w:tc>
        <w:tc>
          <w:tcPr>
            <w:tcW w:type="dxa" w:w="1927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  <w:tc>
          <w:tcPr>
            <w:tcW w:type="dxa" w:w="2948"/>
            <w:vAlign w:val="top"/>
          </w:tcPr>
          <w:p>
            <w:pPr>
              <w:spacing w:after="20"/>
            </w:pPr>
            <w:r/>
            <w:r>
              <w:rPr>
                <w:sz w:val="15"/>
              </w:rPr>
              <w:t>[invullen]</w:t>
            </w:r>
          </w:p>
        </w:tc>
      </w:tr>
    </w:tbl>
    <w:p>
      <w:pPr>
        <w:pStyle w:val="Heading1"/>
        <w:spacing w:before="200" w:after="80"/>
      </w:pPr>
      <w:r>
        <w:t>8. Verklaring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Verklaring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Gegadigde verklaart dat de verstrekte selectie-informatie juist, volledig en niet misleidend is en dat de informatie betrekking heeft op het perceel of de percelen waarvoor de Aanmelding wordt gedaan.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Naam rechtsgeldig vertegenwoordiger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Functie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Datum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[invullen]</w:t>
            </w:r>
          </w:p>
        </w:tc>
      </w:tr>
      <w:tr>
        <w:tc>
          <w:tcPr>
            <w:tcW w:type="dxa" w:w="2948"/>
            <w:vAlign w:val="top"/>
            <w:shd w:fill="EDEDED"/>
          </w:tcPr>
          <w:p>
            <w:pPr>
              <w:spacing w:after="0"/>
            </w:pPr>
            <w:r>
              <w:rPr>
                <w:b/>
                <w:sz w:val="17"/>
              </w:rPr>
              <w:t>Handtekening</w:t>
            </w:r>
          </w:p>
        </w:tc>
        <w:tc>
          <w:tcPr>
            <w:tcW w:type="dxa" w:w="7030"/>
            <w:vAlign w:val="top"/>
          </w:tcPr>
          <w:p>
            <w:pPr>
              <w:spacing w:after="0"/>
            </w:pPr>
            <w:r>
              <w:rPr>
                <w:sz w:val="17"/>
              </w:rPr>
              <w:t>[invullen / digitaal ondertekenen indien vereist]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107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Selectieleidraad Adviesdiensten Fysiek Domein Gemeente Heemskerk | Concept</w:t>
    </w:r>
    <w:r>
      <w:t xml:space="preserve">   |   Pagina </w:t>
    </w:r>
    <w:r>
      <w:rPr>
        <w:sz w:val="16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  <w:jc w:val="center"/>
      <w:tblLayout w:type="fixed"/>
    </w:tblPr>
    <w:tblGrid>
      <w:gridCol w:w="4989"/>
      <w:gridCol w:w="4989"/>
    </w:tblGrid>
    <w:tr>
      <w:tc>
        <w:tcPr>
          <w:tcW w:type="dxa" w:w="2381"/>
          <w:vAlign w:val="center"/>
        </w:tcPr>
        <w:p>
          <w:pPr>
            <w:spacing w:after="0"/>
          </w:pPr>
          <w:r>
            <w:drawing>
              <wp:inline xmlns:a="http://schemas.openxmlformats.org/drawingml/2006/main" xmlns:pic="http://schemas.openxmlformats.org/drawingml/2006/picture">
                <wp:extent cx="1368000" cy="8208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8208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7597"/>
          <w:vAlign w:val="center"/>
        </w:tcPr>
        <w:p>
          <w:pPr>
            <w:spacing w:after="0"/>
            <w:jc w:val="right"/>
          </w:pPr>
          <w:r>
            <w:rPr>
              <w:color w:val="5A5A5A"/>
              <w:sz w:val="16"/>
            </w:rPr>
            <w:t>Selectieleidraad Adviesdiensten Fysiek Domein Gemeente Heemskerk | Concept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anwijzing">
    <w:name w:val="Aanwijzing"/>
    <w:basedOn w:val="Normal"/>
    <w:rPr>
      <w:i/>
      <w:color w:val="505050"/>
      <w:sz w:val="17"/>
    </w:rPr>
  </w:style>
  <w:style w:type="paragraph" w:customStyle="1" w:styleId="Kleinetabeltekst">
    <w:name w:val="Kleine tabeltekst"/>
    <w:basedOn w:val="Normal"/>
    <w:rPr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