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104E" w14:textId="77777777" w:rsidR="00CE693D" w:rsidRDefault="00CE693D" w:rsidP="00036919">
      <w:pPr>
        <w:rPr>
          <w:b/>
          <w:bCs/>
        </w:rPr>
      </w:pPr>
    </w:p>
    <w:p w14:paraId="5CBC5EED" w14:textId="4CE63C1F" w:rsidR="000A6694" w:rsidRDefault="00036919" w:rsidP="00036919">
      <w:pPr>
        <w:rPr>
          <w:b/>
        </w:rPr>
      </w:pPr>
      <w:r>
        <w:rPr>
          <w:b/>
          <w:bCs/>
        </w:rPr>
        <w:t xml:space="preserve">Bijlage O </w:t>
      </w:r>
      <w:r w:rsidR="000A6694" w:rsidRPr="3DCBF950">
        <w:rPr>
          <w:b/>
          <w:bCs/>
        </w:rPr>
        <w:t>Eisen Informatiebeveiliging</w:t>
      </w:r>
    </w:p>
    <w:p w14:paraId="5029E98C" w14:textId="4CA67298" w:rsidR="000A6694" w:rsidRPr="00121182" w:rsidRDefault="00121182" w:rsidP="000A6694">
      <w:pPr>
        <w:rPr>
          <w:b/>
          <w:bCs/>
          <w:sz w:val="20"/>
        </w:rPr>
      </w:pPr>
      <w:r w:rsidRPr="00121182">
        <w:rPr>
          <w:b/>
          <w:bCs/>
          <w:sz w:val="20"/>
        </w:rPr>
        <w:t>In te vullen en in te dienen bij Inschrijving</w:t>
      </w:r>
    </w:p>
    <w:p w14:paraId="0759DE25" w14:textId="77777777" w:rsidR="000A6694" w:rsidRDefault="000A6694" w:rsidP="000A6694">
      <w:pPr>
        <w:rPr>
          <w:b/>
          <w:sz w:val="20"/>
        </w:rPr>
      </w:pPr>
      <w:r>
        <w:rPr>
          <w:b/>
          <w:sz w:val="20"/>
        </w:rPr>
        <w:t xml:space="preserve">Informatiebeveiliging </w:t>
      </w:r>
    </w:p>
    <w:p w14:paraId="1DABDDF4" w14:textId="61A2D3E6" w:rsidR="000A6694" w:rsidRPr="007B1C72" w:rsidRDefault="00607D66" w:rsidP="000A6694">
      <w:pPr>
        <w:rPr>
          <w:sz w:val="20"/>
          <w:szCs w:val="20"/>
        </w:rPr>
      </w:pPr>
      <w:r>
        <w:rPr>
          <w:sz w:val="20"/>
          <w:szCs w:val="20"/>
        </w:rPr>
        <w:t xml:space="preserve">Deze lijst van eisen kan worden gebruikt </w:t>
      </w:r>
      <w:r w:rsidR="00070352">
        <w:rPr>
          <w:sz w:val="20"/>
          <w:szCs w:val="20"/>
        </w:rPr>
        <w:t>ter controle op</w:t>
      </w:r>
      <w:r w:rsidR="00E97CA4">
        <w:rPr>
          <w:sz w:val="20"/>
          <w:szCs w:val="20"/>
        </w:rPr>
        <w:t xml:space="preserve"> de te nemen beveiligingsmaatregelen door een potentiële leverancier. Houd hierbij rekening dat deze lijst niet sluitend is en dat aanvullende beveiligingsmaatregelen nog steeds van toepassing kunnen zijn. </w:t>
      </w:r>
    </w:p>
    <w:tbl>
      <w:tblPr>
        <w:tblStyle w:val="Tabelraster"/>
        <w:tblW w:w="0" w:type="auto"/>
        <w:tblLook w:val="04A0" w:firstRow="1" w:lastRow="0" w:firstColumn="1" w:lastColumn="0" w:noHBand="0" w:noVBand="1"/>
      </w:tblPr>
      <w:tblGrid>
        <w:gridCol w:w="7083"/>
        <w:gridCol w:w="1979"/>
      </w:tblGrid>
      <w:tr w:rsidR="00036919" w:rsidRPr="007B1C72" w14:paraId="2E4333FC" w14:textId="77777777" w:rsidTr="00392CEC">
        <w:tc>
          <w:tcPr>
            <w:tcW w:w="7083" w:type="dxa"/>
          </w:tcPr>
          <w:p w14:paraId="23C0F466" w14:textId="10343226" w:rsidR="00036919" w:rsidRPr="00036919" w:rsidRDefault="00036919" w:rsidP="007C5B64">
            <w:pPr>
              <w:rPr>
                <w:b/>
                <w:bCs/>
                <w:sz w:val="20"/>
              </w:rPr>
            </w:pPr>
            <w:r w:rsidRPr="00036919">
              <w:rPr>
                <w:b/>
                <w:bCs/>
                <w:sz w:val="20"/>
              </w:rPr>
              <w:t>Eis</w:t>
            </w:r>
          </w:p>
        </w:tc>
        <w:tc>
          <w:tcPr>
            <w:tcW w:w="1979" w:type="dxa"/>
          </w:tcPr>
          <w:p w14:paraId="3C6CA002" w14:textId="0602D1AD" w:rsidR="00036919" w:rsidRPr="007B1C72" w:rsidRDefault="00036919" w:rsidP="007C5B64">
            <w:pPr>
              <w:rPr>
                <w:b/>
                <w:sz w:val="20"/>
              </w:rPr>
            </w:pPr>
            <w:r>
              <w:rPr>
                <w:b/>
                <w:sz w:val="20"/>
              </w:rPr>
              <w:t xml:space="preserve">Akkoord Ja/Nee + korte toelichting </w:t>
            </w:r>
          </w:p>
        </w:tc>
      </w:tr>
      <w:tr w:rsidR="000A6694" w:rsidRPr="007B1C72" w14:paraId="34582955" w14:textId="77777777" w:rsidTr="00392CEC">
        <w:tc>
          <w:tcPr>
            <w:tcW w:w="7083" w:type="dxa"/>
          </w:tcPr>
          <w:p w14:paraId="656E8911" w14:textId="77777777" w:rsidR="000A6694" w:rsidRPr="007B1C72" w:rsidRDefault="000A6694" w:rsidP="007C5B64">
            <w:pPr>
              <w:rPr>
                <w:sz w:val="20"/>
              </w:rPr>
            </w:pPr>
            <w:r w:rsidRPr="007B1C72">
              <w:rPr>
                <w:sz w:val="20"/>
              </w:rPr>
              <w:t>De infrastructuur en de organisatie van Inschrijver zijn adequaat beveiligd volgens ISO/IEC 27001 en 27002 (of gelijkwaardig) en voldoen aan de voorwaarden genoemd in de Algemene verordening Gegevensbescherming (AVG);</w:t>
            </w:r>
          </w:p>
        </w:tc>
        <w:tc>
          <w:tcPr>
            <w:tcW w:w="1979" w:type="dxa"/>
          </w:tcPr>
          <w:p w14:paraId="5C8D508D" w14:textId="77777777" w:rsidR="000A6694" w:rsidRPr="007B1C72" w:rsidRDefault="000A6694" w:rsidP="007C5B64">
            <w:pPr>
              <w:rPr>
                <w:b/>
                <w:sz w:val="20"/>
              </w:rPr>
            </w:pPr>
          </w:p>
        </w:tc>
      </w:tr>
      <w:tr w:rsidR="000A6694" w:rsidRPr="007B1C72" w14:paraId="372884D5" w14:textId="77777777" w:rsidTr="00392CEC">
        <w:tc>
          <w:tcPr>
            <w:tcW w:w="7083" w:type="dxa"/>
          </w:tcPr>
          <w:p w14:paraId="3536823D" w14:textId="6C6901B9" w:rsidR="000A6694" w:rsidRPr="007B1C72" w:rsidRDefault="000A6694" w:rsidP="007C5B64">
            <w:pPr>
              <w:rPr>
                <w:sz w:val="20"/>
              </w:rPr>
            </w:pPr>
            <w:r w:rsidRPr="007B1C72">
              <w:rPr>
                <w:sz w:val="20"/>
              </w:rPr>
              <w:t xml:space="preserve">Inschrijver stelt jaarlijks een </w:t>
            </w:r>
            <w:proofErr w:type="spellStart"/>
            <w:r w:rsidRPr="007B1C72">
              <w:rPr>
                <w:sz w:val="20"/>
              </w:rPr>
              <w:t>Third</w:t>
            </w:r>
            <w:proofErr w:type="spellEnd"/>
            <w:r w:rsidRPr="007B1C72">
              <w:rPr>
                <w:sz w:val="20"/>
              </w:rPr>
              <w:t xml:space="preserve"> Party Mededeling (TPM-verklaring) conform de eisen vanuit ISO/IEC 27001en 27002 op (of gelijkwaardig);</w:t>
            </w:r>
          </w:p>
        </w:tc>
        <w:tc>
          <w:tcPr>
            <w:tcW w:w="1979" w:type="dxa"/>
          </w:tcPr>
          <w:p w14:paraId="072F2845" w14:textId="77777777" w:rsidR="000A6694" w:rsidRPr="007B1C72" w:rsidRDefault="000A6694" w:rsidP="007C5B64">
            <w:pPr>
              <w:rPr>
                <w:b/>
                <w:sz w:val="20"/>
              </w:rPr>
            </w:pPr>
          </w:p>
        </w:tc>
      </w:tr>
      <w:tr w:rsidR="000A6694" w:rsidRPr="007B1C72" w14:paraId="0D785B36" w14:textId="77777777" w:rsidTr="00392CEC">
        <w:tc>
          <w:tcPr>
            <w:tcW w:w="7083" w:type="dxa"/>
          </w:tcPr>
          <w:p w14:paraId="287CA7D6" w14:textId="77777777" w:rsidR="000A6694" w:rsidRPr="007B1C72" w:rsidRDefault="000A6694" w:rsidP="007C5B64">
            <w:pPr>
              <w:rPr>
                <w:sz w:val="20"/>
              </w:rPr>
            </w:pPr>
            <w:r w:rsidRPr="007B1C72">
              <w:rPr>
                <w:sz w:val="20"/>
              </w:rPr>
              <w:t>Er wordt een toereikend recovery proces ingericht waar back-up en restore onderdeel van uit maken;</w:t>
            </w:r>
          </w:p>
        </w:tc>
        <w:tc>
          <w:tcPr>
            <w:tcW w:w="1979" w:type="dxa"/>
          </w:tcPr>
          <w:p w14:paraId="513F8905" w14:textId="77777777" w:rsidR="000A6694" w:rsidRPr="007B1C72" w:rsidRDefault="000A6694" w:rsidP="007C5B64">
            <w:pPr>
              <w:rPr>
                <w:b/>
                <w:sz w:val="20"/>
              </w:rPr>
            </w:pPr>
          </w:p>
        </w:tc>
      </w:tr>
      <w:tr w:rsidR="000A6694" w:rsidRPr="007B1C72" w14:paraId="703BEB8D" w14:textId="77777777" w:rsidTr="00392CEC">
        <w:tc>
          <w:tcPr>
            <w:tcW w:w="7083" w:type="dxa"/>
          </w:tcPr>
          <w:p w14:paraId="5D4FEAA7" w14:textId="77777777" w:rsidR="000A6694" w:rsidRPr="007B1C72" w:rsidRDefault="000A6694" w:rsidP="007C5B64">
            <w:pPr>
              <w:rPr>
                <w:sz w:val="20"/>
              </w:rPr>
            </w:pPr>
            <w:r w:rsidRPr="007B1C72">
              <w:rPr>
                <w:sz w:val="20"/>
              </w:rPr>
              <w:t>Er moet op jaarlijkse basis worden aangetoond dat het terugzetten (</w:t>
            </w:r>
            <w:proofErr w:type="spellStart"/>
            <w:r w:rsidRPr="007B1C72">
              <w:rPr>
                <w:sz w:val="20"/>
              </w:rPr>
              <w:t>restore</w:t>
            </w:r>
            <w:proofErr w:type="spellEnd"/>
            <w:r w:rsidRPr="007B1C72">
              <w:rPr>
                <w:sz w:val="20"/>
              </w:rPr>
              <w:t xml:space="preserve">) van de </w:t>
            </w:r>
            <w:proofErr w:type="spellStart"/>
            <w:r w:rsidRPr="007B1C72">
              <w:rPr>
                <w:sz w:val="20"/>
              </w:rPr>
              <w:t>backups</w:t>
            </w:r>
            <w:proofErr w:type="spellEnd"/>
            <w:r w:rsidRPr="007B1C72">
              <w:rPr>
                <w:sz w:val="20"/>
              </w:rPr>
              <w:t xml:space="preserve"> (volledige Oplossing) succesvol verloopt, dit uiteraard in een tijdelijk daarvoor ingerichte restore omgeving, dus niet direct in Test-/ of Productie omgevingen;</w:t>
            </w:r>
          </w:p>
        </w:tc>
        <w:tc>
          <w:tcPr>
            <w:tcW w:w="1979" w:type="dxa"/>
          </w:tcPr>
          <w:p w14:paraId="5DE9DFCF" w14:textId="77777777" w:rsidR="000A6694" w:rsidRPr="007B1C72" w:rsidRDefault="000A6694" w:rsidP="007C5B64">
            <w:pPr>
              <w:rPr>
                <w:b/>
                <w:sz w:val="20"/>
              </w:rPr>
            </w:pPr>
          </w:p>
        </w:tc>
      </w:tr>
      <w:tr w:rsidR="000A6694" w:rsidRPr="007B1C72" w14:paraId="77E801A1" w14:textId="77777777" w:rsidTr="00392CEC">
        <w:trPr>
          <w:trHeight w:val="2686"/>
        </w:trPr>
        <w:tc>
          <w:tcPr>
            <w:tcW w:w="7083" w:type="dxa"/>
          </w:tcPr>
          <w:p w14:paraId="45C87AE1" w14:textId="77777777" w:rsidR="000A6694" w:rsidRPr="007B1C72" w:rsidRDefault="000A6694" w:rsidP="007C5B64">
            <w:pPr>
              <w:rPr>
                <w:sz w:val="20"/>
              </w:rPr>
            </w:pPr>
            <w:r w:rsidRPr="007B1C72">
              <w:rPr>
                <w:sz w:val="20"/>
              </w:rPr>
              <w:t>"De jaarlijkse TPM moet tenminste inzicht geven in hoeverre onderstaande procedures worden toegepast, op basis van opzet, bestaan en werking.</w:t>
            </w:r>
          </w:p>
          <w:p w14:paraId="371EF0EA" w14:textId="77777777" w:rsidR="000A6694" w:rsidRPr="007B1C72" w:rsidRDefault="000A6694" w:rsidP="007C5B64">
            <w:pPr>
              <w:rPr>
                <w:sz w:val="20"/>
                <w:lang w:val="en-US"/>
              </w:rPr>
            </w:pPr>
            <w:r w:rsidRPr="007B1C72">
              <w:rPr>
                <w:sz w:val="20"/>
                <w:lang w:val="en-US"/>
              </w:rPr>
              <w:t xml:space="preserve">-          </w:t>
            </w:r>
            <w:proofErr w:type="spellStart"/>
            <w:r w:rsidRPr="007B1C72">
              <w:rPr>
                <w:sz w:val="20"/>
                <w:lang w:val="en-US"/>
              </w:rPr>
              <w:t>Assetmanagement</w:t>
            </w:r>
            <w:proofErr w:type="spellEnd"/>
          </w:p>
          <w:p w14:paraId="390D1F6B" w14:textId="77777777" w:rsidR="000A6694" w:rsidRPr="007B1C72" w:rsidRDefault="000A6694" w:rsidP="007C5B64">
            <w:pPr>
              <w:rPr>
                <w:sz w:val="20"/>
                <w:lang w:val="en-US"/>
              </w:rPr>
            </w:pPr>
            <w:r w:rsidRPr="007B1C72">
              <w:rPr>
                <w:sz w:val="20"/>
                <w:lang w:val="en-US"/>
              </w:rPr>
              <w:t>-          Back-up en Restore</w:t>
            </w:r>
          </w:p>
          <w:p w14:paraId="477B209D" w14:textId="77777777" w:rsidR="000A6694" w:rsidRPr="007B1C72" w:rsidRDefault="000A6694" w:rsidP="007C5B64">
            <w:pPr>
              <w:rPr>
                <w:sz w:val="20"/>
                <w:lang w:val="en-US"/>
              </w:rPr>
            </w:pPr>
            <w:r w:rsidRPr="007B1C72">
              <w:rPr>
                <w:sz w:val="20"/>
                <w:lang w:val="en-US"/>
              </w:rPr>
              <w:t xml:space="preserve">-          Business </w:t>
            </w:r>
            <w:proofErr w:type="spellStart"/>
            <w:r w:rsidRPr="007B1C72">
              <w:rPr>
                <w:sz w:val="20"/>
                <w:lang w:val="en-US"/>
              </w:rPr>
              <w:t>Continuiteitsmanagement</w:t>
            </w:r>
            <w:proofErr w:type="spellEnd"/>
          </w:p>
          <w:p w14:paraId="599F1195" w14:textId="77777777" w:rsidR="000A6694" w:rsidRPr="007B1C72" w:rsidRDefault="000A6694" w:rsidP="007C5B64">
            <w:pPr>
              <w:rPr>
                <w:sz w:val="20"/>
              </w:rPr>
            </w:pPr>
            <w:r w:rsidRPr="007B1C72">
              <w:rPr>
                <w:sz w:val="20"/>
              </w:rPr>
              <w:t>-          Risicomanagement</w:t>
            </w:r>
          </w:p>
          <w:p w14:paraId="46726635" w14:textId="77777777" w:rsidR="000A6694" w:rsidRPr="007B1C72" w:rsidRDefault="000A6694" w:rsidP="007C5B64">
            <w:pPr>
              <w:rPr>
                <w:sz w:val="20"/>
              </w:rPr>
            </w:pPr>
            <w:r w:rsidRPr="007B1C72">
              <w:rPr>
                <w:sz w:val="20"/>
              </w:rPr>
              <w:t>-          Changemanagement</w:t>
            </w:r>
          </w:p>
          <w:p w14:paraId="2DC7DA5E" w14:textId="77777777" w:rsidR="000A6694" w:rsidRPr="007B1C72" w:rsidRDefault="000A6694" w:rsidP="007C5B64">
            <w:pPr>
              <w:rPr>
                <w:sz w:val="20"/>
              </w:rPr>
            </w:pPr>
            <w:r w:rsidRPr="007B1C72">
              <w:rPr>
                <w:sz w:val="20"/>
              </w:rPr>
              <w:t>-          Autorisatie en toegangsprocedure</w:t>
            </w:r>
          </w:p>
          <w:p w14:paraId="67111D31" w14:textId="77777777" w:rsidR="000A6694" w:rsidRPr="007B1C72" w:rsidRDefault="000A6694" w:rsidP="007C5B64">
            <w:pPr>
              <w:rPr>
                <w:sz w:val="20"/>
              </w:rPr>
            </w:pPr>
            <w:r w:rsidRPr="007B1C72">
              <w:rPr>
                <w:sz w:val="20"/>
              </w:rPr>
              <w:t>-          Logging en Monitoring</w:t>
            </w:r>
          </w:p>
          <w:p w14:paraId="1699C0DD" w14:textId="77777777" w:rsidR="000A6694" w:rsidRPr="007B1C72" w:rsidRDefault="000A6694" w:rsidP="007C5B64">
            <w:pPr>
              <w:rPr>
                <w:sz w:val="20"/>
              </w:rPr>
            </w:pPr>
            <w:r w:rsidRPr="007B1C72">
              <w:rPr>
                <w:sz w:val="20"/>
              </w:rPr>
              <w:t>-          Incidentmanagement en response</w:t>
            </w:r>
          </w:p>
          <w:p w14:paraId="23888C85" w14:textId="77777777" w:rsidR="000A6694" w:rsidRPr="007B1C72" w:rsidRDefault="000A6694" w:rsidP="007C5B64">
            <w:pPr>
              <w:rPr>
                <w:sz w:val="20"/>
              </w:rPr>
            </w:pPr>
            <w:r w:rsidRPr="007B1C72">
              <w:rPr>
                <w:sz w:val="20"/>
              </w:rPr>
              <w:t xml:space="preserve">-          Malware, </w:t>
            </w:r>
            <w:proofErr w:type="spellStart"/>
            <w:r w:rsidRPr="007B1C72">
              <w:rPr>
                <w:sz w:val="20"/>
              </w:rPr>
              <w:t>patching</w:t>
            </w:r>
            <w:proofErr w:type="spellEnd"/>
            <w:r w:rsidRPr="007B1C72">
              <w:rPr>
                <w:sz w:val="20"/>
              </w:rPr>
              <w:t xml:space="preserve">, </w:t>
            </w:r>
            <w:proofErr w:type="spellStart"/>
            <w:r w:rsidRPr="007B1C72">
              <w:rPr>
                <w:sz w:val="20"/>
              </w:rPr>
              <w:t>hardening</w:t>
            </w:r>
            <w:proofErr w:type="spellEnd"/>
            <w:r w:rsidRPr="007B1C72">
              <w:rPr>
                <w:sz w:val="20"/>
              </w:rPr>
              <w:t>, versleuteling procedures."</w:t>
            </w:r>
          </w:p>
        </w:tc>
        <w:tc>
          <w:tcPr>
            <w:tcW w:w="1979" w:type="dxa"/>
          </w:tcPr>
          <w:p w14:paraId="48838090" w14:textId="77777777" w:rsidR="000A6694" w:rsidRPr="007B1C72" w:rsidRDefault="000A6694" w:rsidP="007C5B64">
            <w:pPr>
              <w:rPr>
                <w:b/>
                <w:sz w:val="20"/>
              </w:rPr>
            </w:pPr>
          </w:p>
        </w:tc>
      </w:tr>
      <w:tr w:rsidR="000A6694" w:rsidRPr="007B1C72" w14:paraId="576F8ED2" w14:textId="77777777" w:rsidTr="00392CEC">
        <w:tc>
          <w:tcPr>
            <w:tcW w:w="7083" w:type="dxa"/>
          </w:tcPr>
          <w:p w14:paraId="1A937E38" w14:textId="137403C1" w:rsidR="000A6694" w:rsidRPr="007B1C72" w:rsidRDefault="000A6694" w:rsidP="007C5B64">
            <w:pPr>
              <w:rPr>
                <w:sz w:val="20"/>
              </w:rPr>
            </w:pPr>
            <w:r w:rsidRPr="005A731A">
              <w:rPr>
                <w:sz w:val="20"/>
              </w:rPr>
              <w:t>Het eigendom van de data ligt te allen tijde bij de Drechtsteden</w:t>
            </w:r>
          </w:p>
        </w:tc>
        <w:tc>
          <w:tcPr>
            <w:tcW w:w="1979" w:type="dxa"/>
          </w:tcPr>
          <w:p w14:paraId="275DE038" w14:textId="77777777" w:rsidR="000A6694" w:rsidRPr="007B1C72" w:rsidRDefault="000A6694" w:rsidP="007C5B64">
            <w:pPr>
              <w:rPr>
                <w:b/>
                <w:sz w:val="20"/>
              </w:rPr>
            </w:pPr>
          </w:p>
        </w:tc>
      </w:tr>
      <w:tr w:rsidR="000A6694" w:rsidRPr="007B1C72" w14:paraId="2F90D0F4" w14:textId="77777777" w:rsidTr="00392CEC">
        <w:tc>
          <w:tcPr>
            <w:tcW w:w="7083" w:type="dxa"/>
          </w:tcPr>
          <w:p w14:paraId="6DC6FD41" w14:textId="77777777" w:rsidR="000A6694" w:rsidRPr="007B1C72" w:rsidRDefault="000A6694" w:rsidP="007C5B64">
            <w:pPr>
              <w:rPr>
                <w:sz w:val="20"/>
              </w:rPr>
            </w:pPr>
            <w:r w:rsidRPr="007B1C72">
              <w:rPr>
                <w:sz w:val="20"/>
              </w:rPr>
              <w:t>Inschrijver zal na gunning een incident response procesketen met de Drechtsteden inrichten en testen.</w:t>
            </w:r>
          </w:p>
        </w:tc>
        <w:tc>
          <w:tcPr>
            <w:tcW w:w="1979" w:type="dxa"/>
          </w:tcPr>
          <w:p w14:paraId="05EEA732" w14:textId="77777777" w:rsidR="000A6694" w:rsidRPr="007B1C72" w:rsidRDefault="000A6694" w:rsidP="007C5B64">
            <w:pPr>
              <w:rPr>
                <w:b/>
                <w:sz w:val="20"/>
              </w:rPr>
            </w:pPr>
          </w:p>
        </w:tc>
      </w:tr>
      <w:tr w:rsidR="000A6694" w:rsidRPr="007B1C72" w14:paraId="790CCB2B" w14:textId="77777777" w:rsidTr="00392CEC">
        <w:tc>
          <w:tcPr>
            <w:tcW w:w="7083" w:type="dxa"/>
          </w:tcPr>
          <w:p w14:paraId="61ACE56C" w14:textId="77777777" w:rsidR="000A6694" w:rsidRPr="007B1C72" w:rsidRDefault="000A6694" w:rsidP="007C5B64">
            <w:pPr>
              <w:rPr>
                <w:sz w:val="20"/>
              </w:rPr>
            </w:pPr>
            <w:r w:rsidRPr="005A731A">
              <w:rPr>
                <w:sz w:val="20"/>
              </w:rPr>
              <w:t>Het eigendom van tussentijds gemaakte back-ups (zowel op file- als ook op blocklevel) ligt te allen tijde bij de Drechtsteden</w:t>
            </w:r>
          </w:p>
        </w:tc>
        <w:tc>
          <w:tcPr>
            <w:tcW w:w="1979" w:type="dxa"/>
          </w:tcPr>
          <w:p w14:paraId="40EA56B2" w14:textId="77777777" w:rsidR="000A6694" w:rsidRPr="007B1C72" w:rsidRDefault="000A6694" w:rsidP="007C5B64">
            <w:pPr>
              <w:rPr>
                <w:b/>
                <w:sz w:val="20"/>
              </w:rPr>
            </w:pPr>
          </w:p>
        </w:tc>
      </w:tr>
      <w:tr w:rsidR="000A6694" w:rsidRPr="007B1C72" w14:paraId="54CF9C1C" w14:textId="77777777" w:rsidTr="00392CEC">
        <w:tc>
          <w:tcPr>
            <w:tcW w:w="7083" w:type="dxa"/>
          </w:tcPr>
          <w:p w14:paraId="7ADB2F06" w14:textId="1AE8315C" w:rsidR="000A6694" w:rsidRPr="007B1C72" w:rsidRDefault="000A6694" w:rsidP="007C5B64">
            <w:pPr>
              <w:rPr>
                <w:sz w:val="20"/>
              </w:rPr>
            </w:pPr>
            <w:r w:rsidRPr="007B1C72">
              <w:rPr>
                <w:sz w:val="20"/>
              </w:rPr>
              <w:t xml:space="preserve">Inschrijver draagt er zorg voor, dat </w:t>
            </w:r>
            <w:r w:rsidR="00CB1869" w:rsidRPr="007B1C72">
              <w:rPr>
                <w:sz w:val="20"/>
              </w:rPr>
              <w:t>m.b.t.</w:t>
            </w:r>
            <w:r w:rsidRPr="007B1C72">
              <w:rPr>
                <w:sz w:val="20"/>
              </w:rPr>
              <w:t xml:space="preserve"> de omgeving waarin de data binnen de applicatie worden verwerkt, passende technische en organisatorische maatregelen zijn opgenomen om te kunnen voldoen aan de wettelijke eisen waaraan de Drechtsteden moet voldoen. Hiervoor gelden BIO / BIG / BIR / AVG / GIBIT.</w:t>
            </w:r>
          </w:p>
        </w:tc>
        <w:tc>
          <w:tcPr>
            <w:tcW w:w="1979" w:type="dxa"/>
          </w:tcPr>
          <w:p w14:paraId="45A7E381" w14:textId="77777777" w:rsidR="000A6694" w:rsidRPr="007B1C72" w:rsidRDefault="000A6694" w:rsidP="007C5B64">
            <w:pPr>
              <w:rPr>
                <w:b/>
                <w:sz w:val="20"/>
              </w:rPr>
            </w:pPr>
          </w:p>
        </w:tc>
      </w:tr>
      <w:tr w:rsidR="000A6694" w:rsidRPr="007B1C72" w14:paraId="26E0630E" w14:textId="77777777" w:rsidTr="00392CEC">
        <w:tc>
          <w:tcPr>
            <w:tcW w:w="7083" w:type="dxa"/>
          </w:tcPr>
          <w:p w14:paraId="099A536C" w14:textId="77777777" w:rsidR="000A6694" w:rsidRPr="007B1C72" w:rsidRDefault="000A6694" w:rsidP="007C5B64">
            <w:pPr>
              <w:rPr>
                <w:sz w:val="20"/>
              </w:rPr>
            </w:pPr>
            <w:r w:rsidRPr="007B1C72">
              <w:rPr>
                <w:sz w:val="20"/>
              </w:rPr>
              <w:t>De leverancier garandeert dat ongeautoriseerde personen geen toegang hebben tot gegevens of gegevensdragers (zoals harde schijven en back-upmedia) die tussentijds of na beëindiging van de overeenkomst worden verwijderd c.q. worden vervangen. Niet meer gebruikte gegevensdragers worden op een gecertificeerde wijze geschoond</w:t>
            </w:r>
          </w:p>
        </w:tc>
        <w:tc>
          <w:tcPr>
            <w:tcW w:w="1979" w:type="dxa"/>
          </w:tcPr>
          <w:p w14:paraId="007F18A0" w14:textId="77777777" w:rsidR="000A6694" w:rsidRPr="007B1C72" w:rsidRDefault="000A6694" w:rsidP="007C5B64">
            <w:pPr>
              <w:rPr>
                <w:b/>
                <w:sz w:val="20"/>
              </w:rPr>
            </w:pPr>
          </w:p>
        </w:tc>
      </w:tr>
      <w:tr w:rsidR="000A6694" w:rsidRPr="007B1C72" w14:paraId="6F741CDC" w14:textId="77777777" w:rsidTr="00392CEC">
        <w:tc>
          <w:tcPr>
            <w:tcW w:w="7083" w:type="dxa"/>
          </w:tcPr>
          <w:p w14:paraId="0944DB05" w14:textId="77777777" w:rsidR="000A6694" w:rsidRPr="007B1C72" w:rsidRDefault="000A6694" w:rsidP="007C5B64">
            <w:pPr>
              <w:rPr>
                <w:sz w:val="20"/>
              </w:rPr>
            </w:pPr>
            <w:r w:rsidRPr="007B1C72">
              <w:rPr>
                <w:sz w:val="20"/>
              </w:rPr>
              <w:t xml:space="preserve">Voor gebruikers die vanuit het LAN inloggen op het systeem kunnen bij voorkeur via single </w:t>
            </w:r>
            <w:proofErr w:type="spellStart"/>
            <w:r w:rsidRPr="007B1C72">
              <w:rPr>
                <w:sz w:val="20"/>
              </w:rPr>
              <w:t>sign</w:t>
            </w:r>
            <w:proofErr w:type="spellEnd"/>
            <w:r w:rsidRPr="007B1C72">
              <w:rPr>
                <w:sz w:val="20"/>
              </w:rPr>
              <w:t xml:space="preserve"> on of via username/wachtwoord combinatie inloggen. </w:t>
            </w:r>
          </w:p>
        </w:tc>
        <w:tc>
          <w:tcPr>
            <w:tcW w:w="1979" w:type="dxa"/>
          </w:tcPr>
          <w:p w14:paraId="31930002" w14:textId="77777777" w:rsidR="000A6694" w:rsidRPr="007B1C72" w:rsidRDefault="000A6694" w:rsidP="007C5B64">
            <w:pPr>
              <w:rPr>
                <w:b/>
                <w:sz w:val="20"/>
              </w:rPr>
            </w:pPr>
          </w:p>
        </w:tc>
      </w:tr>
      <w:tr w:rsidR="000A6694" w:rsidRPr="007B1C72" w14:paraId="6C0001FA" w14:textId="77777777" w:rsidTr="00392CEC">
        <w:tc>
          <w:tcPr>
            <w:tcW w:w="7083" w:type="dxa"/>
          </w:tcPr>
          <w:p w14:paraId="54841B18" w14:textId="5C136F8B" w:rsidR="000A6694" w:rsidRPr="007B1C72" w:rsidRDefault="000A6694" w:rsidP="007C5B64">
            <w:pPr>
              <w:rPr>
                <w:sz w:val="20"/>
              </w:rPr>
            </w:pPr>
            <w:r w:rsidRPr="007B1C72">
              <w:rPr>
                <w:sz w:val="20"/>
              </w:rPr>
              <w:t xml:space="preserve">Bij datacommunicatie voor bestandsuitwisseling en voor de user interface wordt gebruik gemaakt van SSL versie 3 (Secure Sockets </w:t>
            </w:r>
            <w:proofErr w:type="spellStart"/>
            <w:r w:rsidRPr="007B1C72">
              <w:rPr>
                <w:sz w:val="20"/>
              </w:rPr>
              <w:t>Layer</w:t>
            </w:r>
            <w:proofErr w:type="spellEnd"/>
            <w:r w:rsidRPr="007B1C72">
              <w:rPr>
                <w:sz w:val="20"/>
              </w:rPr>
              <w:t>) en cliënt- en servercertificaat technologie User  -&gt; SaaS SSLv3 en enkelvoudig geldig certificaat.</w:t>
            </w:r>
            <w:r w:rsidR="00873CC2">
              <w:rPr>
                <w:sz w:val="20"/>
              </w:rPr>
              <w:t xml:space="preserve"> </w:t>
            </w:r>
            <w:r w:rsidRPr="007B1C72">
              <w:rPr>
                <w:sz w:val="20"/>
              </w:rPr>
              <w:t>LAN &lt;--&gt; SaaS: Tweezijdig authenticatie middels certificaten.</w:t>
            </w:r>
          </w:p>
        </w:tc>
        <w:tc>
          <w:tcPr>
            <w:tcW w:w="1979" w:type="dxa"/>
          </w:tcPr>
          <w:p w14:paraId="6B1050FE" w14:textId="77777777" w:rsidR="000A6694" w:rsidRPr="007B1C72" w:rsidRDefault="000A6694" w:rsidP="007C5B64">
            <w:pPr>
              <w:rPr>
                <w:b/>
                <w:sz w:val="20"/>
              </w:rPr>
            </w:pPr>
          </w:p>
        </w:tc>
      </w:tr>
      <w:tr w:rsidR="000A6694" w:rsidRPr="007B1C72" w14:paraId="49CA8B54" w14:textId="77777777" w:rsidTr="00392CEC">
        <w:tc>
          <w:tcPr>
            <w:tcW w:w="7083" w:type="dxa"/>
          </w:tcPr>
          <w:p w14:paraId="5758CEA0" w14:textId="77777777" w:rsidR="000A6694" w:rsidRPr="007B1C72" w:rsidRDefault="000A6694" w:rsidP="007C5B64">
            <w:pPr>
              <w:rPr>
                <w:sz w:val="20"/>
              </w:rPr>
            </w:pPr>
            <w:r w:rsidRPr="007B1C72">
              <w:rPr>
                <w:sz w:val="20"/>
              </w:rPr>
              <w:lastRenderedPageBreak/>
              <w:t>De medewerker van de leverancier heeft in het systeem alleen toegang tot de aan hem geautoriseerde functies en gegevens. Leverancier kan dit op verzoek aantonen.</w:t>
            </w:r>
          </w:p>
        </w:tc>
        <w:tc>
          <w:tcPr>
            <w:tcW w:w="1979" w:type="dxa"/>
          </w:tcPr>
          <w:p w14:paraId="04FBC53E" w14:textId="77777777" w:rsidR="000A6694" w:rsidRPr="007B1C72" w:rsidRDefault="000A6694" w:rsidP="007C5B64">
            <w:pPr>
              <w:rPr>
                <w:b/>
                <w:sz w:val="20"/>
              </w:rPr>
            </w:pPr>
          </w:p>
        </w:tc>
      </w:tr>
      <w:tr w:rsidR="000A6694" w:rsidRPr="007B1C72" w14:paraId="423EACAA" w14:textId="77777777" w:rsidTr="00392CEC">
        <w:tc>
          <w:tcPr>
            <w:tcW w:w="7083" w:type="dxa"/>
          </w:tcPr>
          <w:p w14:paraId="7A4FEB01" w14:textId="77777777" w:rsidR="000A6694" w:rsidRPr="007B1C72" w:rsidRDefault="000A6694" w:rsidP="007C5B64">
            <w:pPr>
              <w:rPr>
                <w:sz w:val="20"/>
              </w:rPr>
            </w:pPr>
            <w:r w:rsidRPr="007B1C72">
              <w:rPr>
                <w:sz w:val="20"/>
              </w:rPr>
              <w:t>Er is een totaaloverzicht beschikbaar van alle autorisaties van zowel de leverancier als de gemeente.</w:t>
            </w:r>
          </w:p>
        </w:tc>
        <w:tc>
          <w:tcPr>
            <w:tcW w:w="1979" w:type="dxa"/>
          </w:tcPr>
          <w:p w14:paraId="66F78F3B" w14:textId="77777777" w:rsidR="000A6694" w:rsidRPr="007B1C72" w:rsidRDefault="000A6694" w:rsidP="007C5B64">
            <w:pPr>
              <w:rPr>
                <w:b/>
                <w:sz w:val="20"/>
              </w:rPr>
            </w:pPr>
          </w:p>
        </w:tc>
      </w:tr>
      <w:tr w:rsidR="000A6694" w:rsidRPr="007B1C72" w14:paraId="30D237C1" w14:textId="77777777" w:rsidTr="00392CEC">
        <w:tc>
          <w:tcPr>
            <w:tcW w:w="7083" w:type="dxa"/>
          </w:tcPr>
          <w:p w14:paraId="7972D49D" w14:textId="77777777" w:rsidR="000A6694" w:rsidRPr="007B1C72" w:rsidRDefault="000A6694" w:rsidP="007C5B64">
            <w:pPr>
              <w:rPr>
                <w:sz w:val="20"/>
              </w:rPr>
            </w:pPr>
            <w:r w:rsidRPr="007B1C72">
              <w:rPr>
                <w:sz w:val="20"/>
              </w:rPr>
              <w:t>IT voorzieningen en apparatuur bij de leverancier zijn fysiek beschermd tegen toegang door onbevoegden en tegen schade en storingen. De geboden bescherming is in overeenstemming met de vastgestelde risico’s</w:t>
            </w:r>
          </w:p>
        </w:tc>
        <w:tc>
          <w:tcPr>
            <w:tcW w:w="1979" w:type="dxa"/>
          </w:tcPr>
          <w:p w14:paraId="45538997" w14:textId="77777777" w:rsidR="000A6694" w:rsidRPr="007B1C72" w:rsidRDefault="000A6694" w:rsidP="007C5B64">
            <w:pPr>
              <w:rPr>
                <w:b/>
                <w:sz w:val="20"/>
              </w:rPr>
            </w:pPr>
          </w:p>
        </w:tc>
      </w:tr>
      <w:tr w:rsidR="000A6694" w:rsidRPr="007B1C72" w14:paraId="06285496" w14:textId="77777777" w:rsidTr="00392CEC">
        <w:tc>
          <w:tcPr>
            <w:tcW w:w="7083" w:type="dxa"/>
          </w:tcPr>
          <w:p w14:paraId="0BB1AF0C" w14:textId="77777777" w:rsidR="000A6694" w:rsidRPr="007B1C72" w:rsidRDefault="000A6694" w:rsidP="007C5B64">
            <w:pPr>
              <w:rPr>
                <w:sz w:val="20"/>
              </w:rPr>
            </w:pPr>
            <w:r w:rsidRPr="007B1C72">
              <w:rPr>
                <w:sz w:val="20"/>
              </w:rPr>
              <w:t xml:space="preserve">Systeemsoftware die bij de leverancier in gebruik is, wordt up-to-date gehouden. </w:t>
            </w:r>
          </w:p>
        </w:tc>
        <w:tc>
          <w:tcPr>
            <w:tcW w:w="1979" w:type="dxa"/>
          </w:tcPr>
          <w:p w14:paraId="3A952139" w14:textId="77777777" w:rsidR="000A6694" w:rsidRPr="007B1C72" w:rsidRDefault="000A6694" w:rsidP="007C5B64">
            <w:pPr>
              <w:rPr>
                <w:b/>
                <w:sz w:val="20"/>
              </w:rPr>
            </w:pPr>
          </w:p>
        </w:tc>
      </w:tr>
      <w:tr w:rsidR="000A6694" w:rsidRPr="007B1C72" w14:paraId="3CFE5042" w14:textId="77777777" w:rsidTr="00392CEC">
        <w:tc>
          <w:tcPr>
            <w:tcW w:w="7083" w:type="dxa"/>
          </w:tcPr>
          <w:p w14:paraId="5441BFE7" w14:textId="77777777" w:rsidR="000A6694" w:rsidRPr="007B1C72" w:rsidRDefault="000A6694" w:rsidP="007C5B64">
            <w:pPr>
              <w:rPr>
                <w:sz w:val="20"/>
              </w:rPr>
            </w:pPr>
            <w:r w:rsidRPr="007B1C72">
              <w:rPr>
                <w:sz w:val="20"/>
              </w:rPr>
              <w:t>Situaties waarin meer dan normale kwetsbaarheden of risico’s aanwezig worden onmiddellijk gemeld aan en besproken met de Drechtsteden.</w:t>
            </w:r>
          </w:p>
        </w:tc>
        <w:tc>
          <w:tcPr>
            <w:tcW w:w="1979" w:type="dxa"/>
          </w:tcPr>
          <w:p w14:paraId="796BF0B5" w14:textId="77777777" w:rsidR="000A6694" w:rsidRPr="007B1C72" w:rsidRDefault="000A6694" w:rsidP="007C5B64">
            <w:pPr>
              <w:rPr>
                <w:b/>
                <w:sz w:val="20"/>
              </w:rPr>
            </w:pPr>
          </w:p>
        </w:tc>
      </w:tr>
      <w:tr w:rsidR="000A6694" w:rsidRPr="007B1C72" w14:paraId="1402DE17" w14:textId="77777777" w:rsidTr="00392CEC">
        <w:tc>
          <w:tcPr>
            <w:tcW w:w="7083" w:type="dxa"/>
          </w:tcPr>
          <w:p w14:paraId="0359BB3D" w14:textId="77777777" w:rsidR="000A6694" w:rsidRPr="007B1C72" w:rsidRDefault="000A6694" w:rsidP="007C5B64">
            <w:pPr>
              <w:rPr>
                <w:sz w:val="20"/>
              </w:rPr>
            </w:pPr>
            <w:r w:rsidRPr="007B1C72">
              <w:rPr>
                <w:sz w:val="20"/>
              </w:rPr>
              <w:t>Uw beleid voor informatiebeveiliging is onderdeel van het kwaliteitsbeleid van de  organisatie. Het is aantoonbaar in een ISAE3402 type 2 ISO en 27001 ISO of vergelijkbare certificeringen.</w:t>
            </w:r>
          </w:p>
        </w:tc>
        <w:tc>
          <w:tcPr>
            <w:tcW w:w="1979" w:type="dxa"/>
          </w:tcPr>
          <w:p w14:paraId="2470BCAC" w14:textId="77777777" w:rsidR="000A6694" w:rsidRPr="007B1C72" w:rsidRDefault="000A6694" w:rsidP="007C5B64">
            <w:pPr>
              <w:rPr>
                <w:b/>
                <w:sz w:val="20"/>
              </w:rPr>
            </w:pPr>
          </w:p>
        </w:tc>
      </w:tr>
      <w:tr w:rsidR="000A6694" w:rsidRPr="007B1C72" w14:paraId="3CA22AB2" w14:textId="77777777" w:rsidTr="00392CEC">
        <w:tc>
          <w:tcPr>
            <w:tcW w:w="7083" w:type="dxa"/>
          </w:tcPr>
          <w:p w14:paraId="4D0ED665" w14:textId="14EEBC19" w:rsidR="000A6694" w:rsidRPr="007B1C72" w:rsidRDefault="2480A816" w:rsidP="7CB8B780">
            <w:pPr>
              <w:rPr>
                <w:sz w:val="20"/>
              </w:rPr>
            </w:pPr>
            <w:r w:rsidRPr="007B1C72">
              <w:rPr>
                <w:sz w:val="20"/>
              </w:rPr>
              <w:t>De leverancier verleent medewerking aan het uitoefenen van controle door of namens de gemeente op bewaring en gebruik van gegevens en dat hij zijn verplichting tot adequate beveiliging nakomt. Een bezwaar van de leverancier tegen een door de gemeente uit te voeren audit is niet acceptabel</w:t>
            </w:r>
          </w:p>
        </w:tc>
        <w:tc>
          <w:tcPr>
            <w:tcW w:w="1979" w:type="dxa"/>
          </w:tcPr>
          <w:p w14:paraId="4D43C9D1" w14:textId="77777777" w:rsidR="000A6694" w:rsidRPr="007B1C72" w:rsidRDefault="000A6694" w:rsidP="007C5B64">
            <w:pPr>
              <w:rPr>
                <w:b/>
                <w:sz w:val="20"/>
              </w:rPr>
            </w:pPr>
          </w:p>
        </w:tc>
      </w:tr>
      <w:tr w:rsidR="000A6694" w:rsidRPr="007B1C72" w14:paraId="11D7EF02" w14:textId="77777777" w:rsidTr="00392CEC">
        <w:tc>
          <w:tcPr>
            <w:tcW w:w="7083" w:type="dxa"/>
          </w:tcPr>
          <w:p w14:paraId="344CCB5A" w14:textId="77777777" w:rsidR="000A6694" w:rsidRPr="007B1C72" w:rsidRDefault="000A6694" w:rsidP="007C5B64">
            <w:pPr>
              <w:rPr>
                <w:sz w:val="20"/>
              </w:rPr>
            </w:pPr>
            <w:r w:rsidRPr="007B1C72">
              <w:rPr>
                <w:sz w:val="20"/>
              </w:rPr>
              <w:t>Inschrijver is verplicht de persoonsgegevens adequaat te beveiligen volgens de daarvoor van toepassing zijnde dataclassificatie. Inschrijver maakt expliciet welke beveiligingsmaatregelen met betrekking tot de door de Drechtsteden verzamelde persoonsgegevens worden genomen. Bij de beveiligingsmaatregelen moet worden gedacht aan de eisen die hieronder onder Informatieveiligheid zijn omschreven. Tevens moet een actuele en volledige beschrijving van het gehanteerde beveiligingsbeleid beschikbaar zijn voor de Drechtsteden</w:t>
            </w:r>
          </w:p>
        </w:tc>
        <w:tc>
          <w:tcPr>
            <w:tcW w:w="1979" w:type="dxa"/>
          </w:tcPr>
          <w:p w14:paraId="012209A0" w14:textId="77777777" w:rsidR="000A6694" w:rsidRPr="007B1C72" w:rsidRDefault="000A6694" w:rsidP="007C5B64">
            <w:pPr>
              <w:rPr>
                <w:b/>
                <w:sz w:val="20"/>
              </w:rPr>
            </w:pPr>
          </w:p>
        </w:tc>
      </w:tr>
      <w:tr w:rsidR="000A6694" w:rsidRPr="007B1C72" w14:paraId="595A55CD" w14:textId="77777777" w:rsidTr="00392CEC">
        <w:tc>
          <w:tcPr>
            <w:tcW w:w="7083" w:type="dxa"/>
          </w:tcPr>
          <w:p w14:paraId="23F8D5D4" w14:textId="77777777" w:rsidR="000A6694" w:rsidRPr="005A731A" w:rsidRDefault="000A6694" w:rsidP="007C5B64">
            <w:pPr>
              <w:pStyle w:val="Tekstopmerking"/>
              <w:rPr>
                <w:szCs w:val="22"/>
              </w:rPr>
            </w:pPr>
            <w:r w:rsidRPr="005A731A">
              <w:rPr>
                <w:szCs w:val="22"/>
              </w:rPr>
              <w:t xml:space="preserve">De persoonsgegevens moeten encrypted worden opgeslagen conform </w:t>
            </w:r>
            <w:r>
              <w:rPr>
                <w:szCs w:val="22"/>
              </w:rPr>
              <w:t>ISO 27001/BIO. H</w:t>
            </w:r>
            <w:r w:rsidRPr="005A731A">
              <w:rPr>
                <w:szCs w:val="22"/>
              </w:rPr>
              <w:t xml:space="preserve">et </w:t>
            </w:r>
            <w:proofErr w:type="spellStart"/>
            <w:r w:rsidRPr="005A731A">
              <w:rPr>
                <w:szCs w:val="22"/>
              </w:rPr>
              <w:t>encrypten</w:t>
            </w:r>
            <w:proofErr w:type="spellEnd"/>
            <w:r w:rsidRPr="005A731A">
              <w:rPr>
                <w:szCs w:val="22"/>
              </w:rPr>
              <w:t xml:space="preserve"> in het </w:t>
            </w:r>
            <w:proofErr w:type="spellStart"/>
            <w:r w:rsidRPr="005A731A">
              <w:rPr>
                <w:szCs w:val="22"/>
              </w:rPr>
              <w:t>lifecycleproces</w:t>
            </w:r>
            <w:proofErr w:type="spellEnd"/>
            <w:r w:rsidRPr="005A731A">
              <w:rPr>
                <w:szCs w:val="22"/>
              </w:rPr>
              <w:t xml:space="preserve"> van data </w:t>
            </w:r>
            <w:r>
              <w:rPr>
                <w:szCs w:val="22"/>
              </w:rPr>
              <w:t xml:space="preserve">gebeurt </w:t>
            </w:r>
            <w:r w:rsidRPr="005A731A">
              <w:rPr>
                <w:szCs w:val="22"/>
              </w:rPr>
              <w:t>gedurende:</w:t>
            </w:r>
          </w:p>
          <w:p w14:paraId="1C2FEA8A" w14:textId="77777777" w:rsidR="000A6694" w:rsidRDefault="000A6694" w:rsidP="007C5B64">
            <w:pPr>
              <w:pStyle w:val="Tekstopmerking"/>
              <w:numPr>
                <w:ilvl w:val="0"/>
                <w:numId w:val="1"/>
              </w:numPr>
              <w:rPr>
                <w:szCs w:val="22"/>
              </w:rPr>
            </w:pPr>
            <w:r w:rsidRPr="005A731A">
              <w:rPr>
                <w:szCs w:val="22"/>
              </w:rPr>
              <w:t>Creatie van data</w:t>
            </w:r>
          </w:p>
          <w:p w14:paraId="75457B05" w14:textId="77777777" w:rsidR="000A6694" w:rsidRDefault="000A6694" w:rsidP="007C5B64">
            <w:pPr>
              <w:pStyle w:val="Tekstopmerking"/>
              <w:numPr>
                <w:ilvl w:val="0"/>
                <w:numId w:val="1"/>
              </w:numPr>
              <w:rPr>
                <w:szCs w:val="22"/>
              </w:rPr>
            </w:pPr>
            <w:r w:rsidRPr="005A731A">
              <w:rPr>
                <w:szCs w:val="22"/>
              </w:rPr>
              <w:t>Storage van data</w:t>
            </w:r>
          </w:p>
          <w:p w14:paraId="058D70EF" w14:textId="77777777" w:rsidR="000A6694" w:rsidRDefault="000A6694" w:rsidP="007C5B64">
            <w:pPr>
              <w:pStyle w:val="Tekstopmerking"/>
              <w:numPr>
                <w:ilvl w:val="0"/>
                <w:numId w:val="1"/>
              </w:numPr>
              <w:rPr>
                <w:szCs w:val="22"/>
              </w:rPr>
            </w:pPr>
            <w:proofErr w:type="spellStart"/>
            <w:r w:rsidRPr="005A731A">
              <w:rPr>
                <w:szCs w:val="22"/>
              </w:rPr>
              <w:t>Use</w:t>
            </w:r>
            <w:proofErr w:type="spellEnd"/>
            <w:r w:rsidRPr="005A731A">
              <w:rPr>
                <w:szCs w:val="22"/>
              </w:rPr>
              <w:t xml:space="preserve"> van data</w:t>
            </w:r>
          </w:p>
          <w:p w14:paraId="1E32314E" w14:textId="77777777" w:rsidR="000A6694" w:rsidRDefault="000A6694" w:rsidP="007C5B64">
            <w:pPr>
              <w:pStyle w:val="Tekstopmerking"/>
              <w:numPr>
                <w:ilvl w:val="0"/>
                <w:numId w:val="1"/>
              </w:numPr>
              <w:rPr>
                <w:szCs w:val="22"/>
              </w:rPr>
            </w:pPr>
            <w:r w:rsidRPr="005A731A">
              <w:rPr>
                <w:szCs w:val="22"/>
              </w:rPr>
              <w:t>Share(delen)van data</w:t>
            </w:r>
          </w:p>
          <w:p w14:paraId="069A44D2" w14:textId="77777777" w:rsidR="000A6694" w:rsidRDefault="000A6694" w:rsidP="007C5B64">
            <w:pPr>
              <w:pStyle w:val="Tekstopmerking"/>
              <w:numPr>
                <w:ilvl w:val="0"/>
                <w:numId w:val="1"/>
              </w:numPr>
              <w:rPr>
                <w:szCs w:val="22"/>
              </w:rPr>
            </w:pPr>
            <w:proofErr w:type="spellStart"/>
            <w:r w:rsidRPr="005A731A">
              <w:rPr>
                <w:szCs w:val="22"/>
              </w:rPr>
              <w:t>Archive</w:t>
            </w:r>
            <w:proofErr w:type="spellEnd"/>
            <w:r w:rsidRPr="005A731A">
              <w:rPr>
                <w:szCs w:val="22"/>
              </w:rPr>
              <w:t xml:space="preserve"> van data</w:t>
            </w:r>
          </w:p>
          <w:p w14:paraId="674EEAB4" w14:textId="77777777" w:rsidR="000A6694" w:rsidRPr="005A731A" w:rsidRDefault="000A6694" w:rsidP="007C5B64">
            <w:pPr>
              <w:pStyle w:val="Tekstopmerking"/>
              <w:numPr>
                <w:ilvl w:val="0"/>
                <w:numId w:val="1"/>
              </w:numPr>
              <w:rPr>
                <w:szCs w:val="22"/>
              </w:rPr>
            </w:pPr>
            <w:proofErr w:type="spellStart"/>
            <w:r w:rsidRPr="005A731A">
              <w:t>Destroy</w:t>
            </w:r>
            <w:proofErr w:type="spellEnd"/>
            <w:r w:rsidRPr="005A731A">
              <w:t xml:space="preserve"> van data</w:t>
            </w:r>
          </w:p>
        </w:tc>
        <w:tc>
          <w:tcPr>
            <w:tcW w:w="1979" w:type="dxa"/>
          </w:tcPr>
          <w:p w14:paraId="598EE0FE" w14:textId="77777777" w:rsidR="000A6694" w:rsidRPr="007B1C72" w:rsidRDefault="000A6694" w:rsidP="007C5B64">
            <w:pPr>
              <w:rPr>
                <w:b/>
                <w:sz w:val="20"/>
              </w:rPr>
            </w:pPr>
          </w:p>
        </w:tc>
      </w:tr>
      <w:tr w:rsidR="000A6694" w:rsidRPr="007B1C72" w14:paraId="133F35E0" w14:textId="77777777" w:rsidTr="00392CEC">
        <w:tc>
          <w:tcPr>
            <w:tcW w:w="7083" w:type="dxa"/>
          </w:tcPr>
          <w:p w14:paraId="799A7807" w14:textId="77777777" w:rsidR="000A6694" w:rsidRPr="007B1C72" w:rsidRDefault="000A6694" w:rsidP="007C5B64">
            <w:pPr>
              <w:rPr>
                <w:sz w:val="20"/>
              </w:rPr>
            </w:pPr>
            <w:r w:rsidRPr="007B1C72">
              <w:rPr>
                <w:sz w:val="20"/>
              </w:rPr>
              <w:t>Inschrijver heeft een proces ingericht om beveiligingsincidenten en datalekken te constateren en onverwijld te melden aan de Drechtsteden en leeft deze na. Inschrijver heeft een gedetailleerd logboek van de beveiligingsincidenten en de maatregelen die op de beveiligingsincidenten zijn genomen. Drechtsteden mag dat inzien, wanneer zij daarom vraagt.</w:t>
            </w:r>
          </w:p>
        </w:tc>
        <w:tc>
          <w:tcPr>
            <w:tcW w:w="1979" w:type="dxa"/>
          </w:tcPr>
          <w:p w14:paraId="35FBAD96" w14:textId="77777777" w:rsidR="000A6694" w:rsidRPr="007B1C72" w:rsidRDefault="000A6694" w:rsidP="007C5B64">
            <w:pPr>
              <w:rPr>
                <w:b/>
                <w:sz w:val="20"/>
              </w:rPr>
            </w:pPr>
          </w:p>
        </w:tc>
      </w:tr>
      <w:tr w:rsidR="000A6694" w:rsidRPr="007B1C72" w14:paraId="62DE3D73" w14:textId="77777777" w:rsidTr="00392CEC">
        <w:tc>
          <w:tcPr>
            <w:tcW w:w="7083" w:type="dxa"/>
          </w:tcPr>
          <w:p w14:paraId="7B0298CE" w14:textId="0615957A" w:rsidR="000A6694" w:rsidRPr="007B1C72" w:rsidRDefault="000A6694" w:rsidP="007C5B64">
            <w:pPr>
              <w:rPr>
                <w:sz w:val="20"/>
              </w:rPr>
            </w:pPr>
            <w:r w:rsidRPr="007B1C72">
              <w:rPr>
                <w:sz w:val="20"/>
              </w:rPr>
              <w:t>Inschrijver beschikt over een recent certificaat of verklaring van een auditor (maximaal 1 jaar oud), waaruit blijkt dat de volledige, voor de aanbieding relevante, omgeving voldoet aan ISO27001, ISO27002 (of gelijkwaardig), BIO en AVG standaarden;</w:t>
            </w:r>
          </w:p>
        </w:tc>
        <w:tc>
          <w:tcPr>
            <w:tcW w:w="1979" w:type="dxa"/>
          </w:tcPr>
          <w:p w14:paraId="2DAD0D26" w14:textId="77777777" w:rsidR="000A6694" w:rsidRPr="007B1C72" w:rsidRDefault="000A6694" w:rsidP="007C5B64">
            <w:pPr>
              <w:rPr>
                <w:b/>
                <w:sz w:val="20"/>
              </w:rPr>
            </w:pPr>
          </w:p>
        </w:tc>
      </w:tr>
      <w:tr w:rsidR="000A6694" w:rsidRPr="007B1C72" w14:paraId="7D86675B" w14:textId="77777777" w:rsidTr="00392CEC">
        <w:tc>
          <w:tcPr>
            <w:tcW w:w="7083" w:type="dxa"/>
          </w:tcPr>
          <w:p w14:paraId="02E84C08" w14:textId="77777777" w:rsidR="000A6694" w:rsidRPr="005A731A" w:rsidRDefault="000A6694" w:rsidP="007C5B64">
            <w:pPr>
              <w:rPr>
                <w:sz w:val="20"/>
              </w:rPr>
            </w:pPr>
            <w:r w:rsidRPr="005A731A">
              <w:rPr>
                <w:sz w:val="20"/>
              </w:rPr>
              <w:t>De Drechtste</w:t>
            </w:r>
            <w:r>
              <w:rPr>
                <w:sz w:val="20"/>
              </w:rPr>
              <w:t xml:space="preserve">den hebben een ‘right </w:t>
            </w:r>
            <w:proofErr w:type="spellStart"/>
            <w:r>
              <w:rPr>
                <w:sz w:val="20"/>
              </w:rPr>
              <w:t>to</w:t>
            </w:r>
            <w:proofErr w:type="spellEnd"/>
            <w:r>
              <w:rPr>
                <w:sz w:val="20"/>
              </w:rPr>
              <w:t xml:space="preserve"> audit’</w:t>
            </w:r>
          </w:p>
        </w:tc>
        <w:tc>
          <w:tcPr>
            <w:tcW w:w="1979" w:type="dxa"/>
          </w:tcPr>
          <w:p w14:paraId="24B98DEC" w14:textId="77777777" w:rsidR="000A6694" w:rsidRPr="007B1C72" w:rsidRDefault="000A6694" w:rsidP="007C5B64">
            <w:pPr>
              <w:rPr>
                <w:b/>
                <w:sz w:val="20"/>
              </w:rPr>
            </w:pPr>
          </w:p>
        </w:tc>
      </w:tr>
    </w:tbl>
    <w:p w14:paraId="28380FFC" w14:textId="77777777" w:rsidR="000A6694" w:rsidRPr="007B1C72" w:rsidRDefault="000A6694" w:rsidP="000A6694">
      <w:pPr>
        <w:rPr>
          <w:b/>
        </w:rPr>
      </w:pPr>
    </w:p>
    <w:p w14:paraId="09CA0F31" w14:textId="77777777" w:rsidR="007034F1" w:rsidRDefault="007034F1"/>
    <w:sectPr w:rsidR="007034F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CCB1" w14:textId="77777777" w:rsidR="00951DC7" w:rsidRDefault="00951DC7" w:rsidP="00A3213F">
      <w:pPr>
        <w:spacing w:after="0" w:line="240" w:lineRule="auto"/>
      </w:pPr>
      <w:r>
        <w:separator/>
      </w:r>
    </w:p>
  </w:endnote>
  <w:endnote w:type="continuationSeparator" w:id="0">
    <w:p w14:paraId="69D73733" w14:textId="77777777" w:rsidR="00951DC7" w:rsidRDefault="00951DC7" w:rsidP="00A3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61D7" w14:textId="77777777" w:rsidR="00951DC7" w:rsidRDefault="00951DC7" w:rsidP="00A3213F">
      <w:pPr>
        <w:spacing w:after="0" w:line="240" w:lineRule="auto"/>
      </w:pPr>
      <w:r>
        <w:separator/>
      </w:r>
    </w:p>
  </w:footnote>
  <w:footnote w:type="continuationSeparator" w:id="0">
    <w:p w14:paraId="2AD16C83" w14:textId="77777777" w:rsidR="00951DC7" w:rsidRDefault="00951DC7" w:rsidP="00A3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22A" w14:textId="31CF60D8" w:rsidR="00CE693D" w:rsidRDefault="00CE693D">
    <w:pPr>
      <w:pStyle w:val="Koptekst"/>
    </w:pPr>
    <w:r>
      <w:rPr>
        <w:noProof/>
      </w:rPr>
      <w:drawing>
        <wp:anchor distT="0" distB="0" distL="114300" distR="114300" simplePos="0" relativeHeight="251659264" behindDoc="1" locked="0" layoutInCell="1" allowOverlap="1" wp14:anchorId="7BC31E00" wp14:editId="1379F9DD">
          <wp:simplePos x="0" y="0"/>
          <wp:positionH relativeFrom="margin">
            <wp:posOffset>-65837</wp:posOffset>
          </wp:positionH>
          <wp:positionV relativeFrom="paragraph">
            <wp:posOffset>-260782</wp:posOffset>
          </wp:positionV>
          <wp:extent cx="2371725" cy="585470"/>
          <wp:effectExtent l="0" t="0" r="9525" b="5080"/>
          <wp:wrapTight wrapText="bothSides">
            <wp:wrapPolygon edited="0">
              <wp:start x="3470" y="0"/>
              <wp:lineTo x="1041" y="2108"/>
              <wp:lineTo x="0" y="6325"/>
              <wp:lineTo x="0" y="20382"/>
              <wp:lineTo x="6940" y="21085"/>
              <wp:lineTo x="16482" y="21085"/>
              <wp:lineTo x="21513" y="15462"/>
              <wp:lineTo x="21513" y="8434"/>
              <wp:lineTo x="7113" y="0"/>
              <wp:lineTo x="3470" y="0"/>
            </wp:wrapPolygon>
          </wp:wrapTight>
          <wp:docPr id="3199554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336F6"/>
    <w:multiLevelType w:val="hybridMultilevel"/>
    <w:tmpl w:val="907EC5B4"/>
    <w:lvl w:ilvl="0" w:tplc="8F1A411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5833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94"/>
    <w:rsid w:val="000222D8"/>
    <w:rsid w:val="00031153"/>
    <w:rsid w:val="00032B74"/>
    <w:rsid w:val="00036919"/>
    <w:rsid w:val="00070352"/>
    <w:rsid w:val="000A6694"/>
    <w:rsid w:val="000B2916"/>
    <w:rsid w:val="000E37EA"/>
    <w:rsid w:val="00121182"/>
    <w:rsid w:val="00135876"/>
    <w:rsid w:val="0018014E"/>
    <w:rsid w:val="00191871"/>
    <w:rsid w:val="001B2C45"/>
    <w:rsid w:val="00210811"/>
    <w:rsid w:val="00266FDF"/>
    <w:rsid w:val="00286EF4"/>
    <w:rsid w:val="00302FAD"/>
    <w:rsid w:val="00344364"/>
    <w:rsid w:val="00392CEC"/>
    <w:rsid w:val="003A386B"/>
    <w:rsid w:val="00451270"/>
    <w:rsid w:val="00475C6F"/>
    <w:rsid w:val="004A0914"/>
    <w:rsid w:val="005426B6"/>
    <w:rsid w:val="00563084"/>
    <w:rsid w:val="005B0402"/>
    <w:rsid w:val="005B415F"/>
    <w:rsid w:val="005C0E56"/>
    <w:rsid w:val="00601EDB"/>
    <w:rsid w:val="00607D66"/>
    <w:rsid w:val="00636830"/>
    <w:rsid w:val="006823E8"/>
    <w:rsid w:val="006E6C74"/>
    <w:rsid w:val="007028C8"/>
    <w:rsid w:val="007034F1"/>
    <w:rsid w:val="00733A0D"/>
    <w:rsid w:val="007566E7"/>
    <w:rsid w:val="007A24BE"/>
    <w:rsid w:val="007B251D"/>
    <w:rsid w:val="007C5B64"/>
    <w:rsid w:val="00873CC2"/>
    <w:rsid w:val="008805C4"/>
    <w:rsid w:val="008F1268"/>
    <w:rsid w:val="00951DC7"/>
    <w:rsid w:val="00990FBD"/>
    <w:rsid w:val="00A062C2"/>
    <w:rsid w:val="00A3213F"/>
    <w:rsid w:val="00AA25A5"/>
    <w:rsid w:val="00AD7D04"/>
    <w:rsid w:val="00AE3F42"/>
    <w:rsid w:val="00B131C5"/>
    <w:rsid w:val="00B402FF"/>
    <w:rsid w:val="00B40E0A"/>
    <w:rsid w:val="00BC4A49"/>
    <w:rsid w:val="00C70CE7"/>
    <w:rsid w:val="00CA5938"/>
    <w:rsid w:val="00CB1869"/>
    <w:rsid w:val="00CB4568"/>
    <w:rsid w:val="00CE5CB9"/>
    <w:rsid w:val="00CE693D"/>
    <w:rsid w:val="00D11B03"/>
    <w:rsid w:val="00D542F9"/>
    <w:rsid w:val="00D852FC"/>
    <w:rsid w:val="00DD43BB"/>
    <w:rsid w:val="00E06956"/>
    <w:rsid w:val="00E45D8E"/>
    <w:rsid w:val="00E97CA4"/>
    <w:rsid w:val="00F40128"/>
    <w:rsid w:val="00F82F6E"/>
    <w:rsid w:val="00FC7C51"/>
    <w:rsid w:val="00FE3F25"/>
    <w:rsid w:val="0A2E01E8"/>
    <w:rsid w:val="1C08A0AF"/>
    <w:rsid w:val="1E0F2D1F"/>
    <w:rsid w:val="2480A816"/>
    <w:rsid w:val="3DCBF950"/>
    <w:rsid w:val="3DFDF8CF"/>
    <w:rsid w:val="6B1F2F44"/>
    <w:rsid w:val="7CB8B7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AB3E"/>
  <w15:chartTrackingRefBased/>
  <w15:docId w15:val="{C517C039-BCE2-4CA3-ABB5-34037E43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69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A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0A6694"/>
    <w:pPr>
      <w:spacing w:line="240" w:lineRule="auto"/>
    </w:pPr>
    <w:rPr>
      <w:sz w:val="20"/>
      <w:szCs w:val="20"/>
    </w:rPr>
  </w:style>
  <w:style w:type="character" w:customStyle="1" w:styleId="TekstopmerkingChar">
    <w:name w:val="Tekst opmerking Char"/>
    <w:basedOn w:val="Standaardalinea-lettertype"/>
    <w:link w:val="Tekstopmerking"/>
    <w:uiPriority w:val="99"/>
    <w:rsid w:val="000A6694"/>
    <w:rPr>
      <w:sz w:val="20"/>
      <w:szCs w:val="20"/>
    </w:rPr>
  </w:style>
  <w:style w:type="character" w:styleId="Verwijzingopmerking">
    <w:name w:val="annotation reference"/>
    <w:basedOn w:val="Standaardalinea-lettertype"/>
    <w:uiPriority w:val="99"/>
    <w:semiHidden/>
    <w:unhideWhenUsed/>
    <w:rsid w:val="007566E7"/>
    <w:rPr>
      <w:sz w:val="16"/>
      <w:szCs w:val="16"/>
    </w:rPr>
  </w:style>
  <w:style w:type="paragraph" w:styleId="Onderwerpvanopmerking">
    <w:name w:val="annotation subject"/>
    <w:basedOn w:val="Tekstopmerking"/>
    <w:next w:val="Tekstopmerking"/>
    <w:link w:val="OnderwerpvanopmerkingChar"/>
    <w:uiPriority w:val="99"/>
    <w:semiHidden/>
    <w:unhideWhenUsed/>
    <w:rsid w:val="007566E7"/>
    <w:rPr>
      <w:b/>
      <w:bCs/>
    </w:rPr>
  </w:style>
  <w:style w:type="character" w:customStyle="1" w:styleId="OnderwerpvanopmerkingChar">
    <w:name w:val="Onderwerp van opmerking Char"/>
    <w:basedOn w:val="TekstopmerkingChar"/>
    <w:link w:val="Onderwerpvanopmerking"/>
    <w:uiPriority w:val="99"/>
    <w:semiHidden/>
    <w:rsid w:val="007566E7"/>
    <w:rPr>
      <w:b/>
      <w:bCs/>
      <w:sz w:val="20"/>
      <w:szCs w:val="20"/>
    </w:rPr>
  </w:style>
  <w:style w:type="character" w:styleId="Vermelding">
    <w:name w:val="Mention"/>
    <w:basedOn w:val="Standaardalinea-lettertype"/>
    <w:uiPriority w:val="99"/>
    <w:unhideWhenUsed/>
    <w:rsid w:val="007566E7"/>
    <w:rPr>
      <w:color w:val="2B579A"/>
      <w:shd w:val="clear" w:color="auto" w:fill="E1DFDD"/>
    </w:rPr>
  </w:style>
  <w:style w:type="paragraph" w:styleId="Koptekst">
    <w:name w:val="header"/>
    <w:basedOn w:val="Standaard"/>
    <w:link w:val="KoptekstChar"/>
    <w:uiPriority w:val="99"/>
    <w:unhideWhenUsed/>
    <w:rsid w:val="00A321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213F"/>
  </w:style>
  <w:style w:type="paragraph" w:styleId="Voettekst">
    <w:name w:val="footer"/>
    <w:basedOn w:val="Standaard"/>
    <w:link w:val="VoettekstChar"/>
    <w:uiPriority w:val="99"/>
    <w:unhideWhenUsed/>
    <w:rsid w:val="00A321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131505">
      <w:bodyDiv w:val="1"/>
      <w:marLeft w:val="0"/>
      <w:marRight w:val="0"/>
      <w:marTop w:val="0"/>
      <w:marBottom w:val="0"/>
      <w:divBdr>
        <w:top w:val="none" w:sz="0" w:space="0" w:color="auto"/>
        <w:left w:val="none" w:sz="0" w:space="0" w:color="auto"/>
        <w:bottom w:val="none" w:sz="0" w:space="0" w:color="auto"/>
        <w:right w:val="none" w:sz="0" w:space="0" w:color="auto"/>
      </w:divBdr>
    </w:div>
    <w:div w:id="15344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F600CBCF30D34FAF9939926758DE2F" ma:contentTypeVersion="3" ma:contentTypeDescription="Een nieuw document maken." ma:contentTypeScope="" ma:versionID="4c34d291470ebdf25587046ddd39ab59">
  <xsd:schema xmlns:xsd="http://www.w3.org/2001/XMLSchema" xmlns:xs="http://www.w3.org/2001/XMLSchema" xmlns:p="http://schemas.microsoft.com/office/2006/metadata/properties" xmlns:ns2="2ce6d3f0-4aa6-47fe-9530-919eda81f9d5" targetNamespace="http://schemas.microsoft.com/office/2006/metadata/properties" ma:root="true" ma:fieldsID="5085a112bbef92d54e6c9a9525ceafe3" ns2:_="">
    <xsd:import namespace="2ce6d3f0-4aa6-47fe-9530-919eda81f9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6d3f0-4aa6-47fe-9530-919eda81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5BF9B-1B51-43CD-8813-84BBA377C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6262EF-C875-43D9-9FA4-8FAC6A71F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6d3f0-4aa6-47fe-9530-919eda81f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FD95A-3DCD-440E-B9A7-38C2FDDFB537}">
  <ds:schemaRefs>
    <ds:schemaRef ds:uri="http://schemas.microsoft.com/sharepoint/v3/contenttype/forms"/>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783</Words>
  <Characters>4821</Characters>
  <Application>Microsoft Office Word</Application>
  <DocSecurity>0</DocSecurity>
  <Lines>126</Lines>
  <Paragraphs>53</Paragraphs>
  <ScaleCrop>false</ScaleCrop>
  <Company>Drechtsteden</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Visscher, V (Valerie)</dc:creator>
  <cp:keywords/>
  <dc:description/>
  <cp:lastModifiedBy>Jong, M de (Marco)</cp:lastModifiedBy>
  <cp:revision>16</cp:revision>
  <dcterms:created xsi:type="dcterms:W3CDTF">2025-07-01T10:08:00Z</dcterms:created>
  <dcterms:modified xsi:type="dcterms:W3CDTF">2026-06-22T11:18:00Z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0x0101000DF600CBCF30D34FAF9939926758DE2F</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