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7" w:type="dxa"/>
        <w:tblInd w:w="-4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84"/>
        <w:gridCol w:w="8723"/>
      </w:tblGrid>
      <w:tr w:rsidR="004F5BCA" w:rsidRPr="004F5BCA" w14:paraId="044130B7" w14:textId="77777777" w:rsidTr="00B76C65">
        <w:trPr>
          <w:trHeight w:val="141"/>
        </w:trPr>
        <w:tc>
          <w:tcPr>
            <w:tcW w:w="784" w:type="dxa"/>
            <w:tcBorders>
              <w:top w:val="double" w:sz="6" w:space="0" w:color="auto"/>
              <w:left w:val="double" w:sz="6" w:space="0" w:color="auto"/>
              <w:bottom w:val="double" w:sz="6" w:space="0" w:color="auto"/>
            </w:tcBorders>
            <w:shd w:val="pct5" w:color="auto" w:fill="auto"/>
            <w:vAlign w:val="center"/>
          </w:tcPr>
          <w:p w14:paraId="2A48AE9C" w14:textId="77777777" w:rsidR="004F5BCA" w:rsidRPr="004F5BCA" w:rsidRDefault="004F5BCA" w:rsidP="004F5BCA">
            <w:pPr>
              <w:tabs>
                <w:tab w:val="left" w:pos="851"/>
              </w:tabs>
              <w:spacing w:after="0" w:line="255" w:lineRule="atLeast"/>
              <w:ind w:left="851" w:hanging="284"/>
              <w:rPr>
                <w:rFonts w:ascii="Merriweather Light" w:eastAsia="Times New Roman" w:hAnsi="Merriweather Light" w:cs="Times New Roman"/>
                <w:color w:val="000000"/>
                <w:kern w:val="0"/>
                <w:sz w:val="18"/>
                <w:szCs w:val="18"/>
                <w14:ligatures w14:val="none"/>
                <w14:numForm w14:val="oldStyle"/>
              </w:rPr>
            </w:pPr>
          </w:p>
        </w:tc>
        <w:tc>
          <w:tcPr>
            <w:tcW w:w="8723" w:type="dxa"/>
            <w:tcBorders>
              <w:top w:val="double" w:sz="6" w:space="0" w:color="auto"/>
              <w:left w:val="double" w:sz="6" w:space="0" w:color="auto"/>
              <w:bottom w:val="double" w:sz="6" w:space="0" w:color="auto"/>
            </w:tcBorders>
            <w:shd w:val="pct5" w:color="auto" w:fill="auto"/>
            <w:vAlign w:val="center"/>
          </w:tcPr>
          <w:p w14:paraId="415F68B8" w14:textId="42907CB5" w:rsidR="004F5BCA" w:rsidRPr="004F5BCA" w:rsidRDefault="004F5BCA" w:rsidP="004F5BCA">
            <w:pPr>
              <w:spacing w:after="120" w:line="264" w:lineRule="auto"/>
              <w:rPr>
                <w:rFonts w:ascii="Merriweather Light" w:eastAsia="Times New Roman" w:hAnsi="Merriweather Light" w:cs="Arial"/>
                <w:b/>
                <w:color w:val="193254"/>
                <w:kern w:val="0"/>
                <w:sz w:val="24"/>
                <w:szCs w:val="24"/>
                <w14:ligatures w14:val="none"/>
              </w:rPr>
            </w:pPr>
            <w:r w:rsidRPr="004F5BCA">
              <w:rPr>
                <w:rFonts w:ascii="Merriweather Light" w:eastAsia="Times New Roman" w:hAnsi="Merriweather Light" w:cs="Arial"/>
                <w:b/>
                <w:color w:val="193254"/>
                <w:kern w:val="0"/>
                <w:sz w:val="24"/>
                <w:szCs w:val="24"/>
                <w14:ligatures w14:val="none"/>
              </w:rPr>
              <w:t xml:space="preserve">Programma van Eisen </w:t>
            </w:r>
            <w:r w:rsidR="00C76CDD">
              <w:rPr>
                <w:rFonts w:ascii="Merriweather Light" w:eastAsia="Times New Roman" w:hAnsi="Merriweather Light" w:cs="Arial"/>
                <w:b/>
                <w:color w:val="193254"/>
                <w:kern w:val="0"/>
                <w:sz w:val="24"/>
                <w:szCs w:val="24"/>
                <w14:ligatures w14:val="none"/>
              </w:rPr>
              <w:t xml:space="preserve">Transportgoederen </w:t>
            </w:r>
            <w:r w:rsidRPr="004F5BCA">
              <w:rPr>
                <w:rFonts w:ascii="Merriweather Light" w:eastAsia="Times New Roman" w:hAnsi="Merriweather Light" w:cs="Arial"/>
                <w:b/>
                <w:color w:val="193254"/>
                <w:kern w:val="0"/>
                <w:sz w:val="24"/>
                <w:szCs w:val="24"/>
                <w14:ligatures w14:val="none"/>
              </w:rPr>
              <w:t xml:space="preserve">–  Bevolkingsonderzoek Nederland </w:t>
            </w:r>
          </w:p>
        </w:tc>
      </w:tr>
      <w:tr w:rsidR="004F5BCA" w:rsidRPr="004F5BCA" w14:paraId="713064F9" w14:textId="77777777" w:rsidTr="00B76C65">
        <w:trPr>
          <w:trHeight w:val="141"/>
        </w:trPr>
        <w:tc>
          <w:tcPr>
            <w:tcW w:w="784" w:type="dxa"/>
            <w:tcBorders>
              <w:top w:val="single" w:sz="6" w:space="0" w:color="000000"/>
              <w:left w:val="double" w:sz="6" w:space="0" w:color="auto"/>
              <w:bottom w:val="single" w:sz="6" w:space="0" w:color="000000"/>
            </w:tcBorders>
          </w:tcPr>
          <w:p w14:paraId="53F69619" w14:textId="77777777" w:rsidR="004F5BCA" w:rsidRPr="004F5BCA" w:rsidRDefault="004F5BCA" w:rsidP="004F5BCA">
            <w:pPr>
              <w:spacing w:after="0" w:line="240" w:lineRule="auto"/>
              <w:jc w:val="center"/>
              <w:rPr>
                <w:rFonts w:ascii="Merriweather Light" w:eastAsia="Times New Roman" w:hAnsi="Merriweather Light" w:cs="Arial"/>
                <w:bCs/>
                <w:kern w:val="0"/>
                <w:sz w:val="18"/>
                <w:szCs w:val="18"/>
                <w14:ligatures w14:val="none"/>
              </w:rPr>
            </w:pPr>
            <w:r w:rsidRPr="004F5BCA">
              <w:rPr>
                <w:rFonts w:ascii="Merriweather Light" w:eastAsia="Times New Roman" w:hAnsi="Merriweather Light" w:cs="Arial"/>
                <w:bCs/>
                <w:kern w:val="0"/>
                <w:sz w:val="18"/>
                <w:szCs w:val="18"/>
                <w14:ligatures w14:val="none"/>
              </w:rPr>
              <w:t>1.</w:t>
            </w:r>
          </w:p>
        </w:tc>
        <w:tc>
          <w:tcPr>
            <w:tcW w:w="8723" w:type="dxa"/>
            <w:tcBorders>
              <w:top w:val="single" w:sz="6" w:space="0" w:color="000000"/>
              <w:left w:val="double" w:sz="6" w:space="0" w:color="auto"/>
              <w:bottom w:val="single" w:sz="6" w:space="0" w:color="000000"/>
            </w:tcBorders>
          </w:tcPr>
          <w:p w14:paraId="35E93112" w14:textId="77777777" w:rsidR="004F5BCA" w:rsidRPr="004F5BCA" w:rsidRDefault="004F5BCA" w:rsidP="004F5BCA">
            <w:pPr>
              <w:spacing w:after="0" w:line="240" w:lineRule="auto"/>
              <w:rPr>
                <w:rFonts w:ascii="Merriweather Light" w:eastAsia="Times New Roman" w:hAnsi="Merriweather Light" w:cs="Arial"/>
                <w:b/>
                <w:bCs/>
                <w:kern w:val="0"/>
                <w:sz w:val="18"/>
                <w:szCs w:val="18"/>
                <w14:ligatures w14:val="none"/>
              </w:rPr>
            </w:pPr>
            <w:r w:rsidRPr="004F5BCA">
              <w:rPr>
                <w:rFonts w:ascii="Merriweather Light" w:eastAsia="Times New Roman" w:hAnsi="Merriweather Light" w:cs="Arial"/>
                <w:b/>
                <w:bCs/>
                <w:kern w:val="0"/>
                <w:sz w:val="18"/>
                <w:szCs w:val="18"/>
                <w14:ligatures w14:val="none"/>
              </w:rPr>
              <w:t>Verzekerde</w:t>
            </w:r>
          </w:p>
          <w:p w14:paraId="4E0C6045" w14:textId="77777777" w:rsidR="004F5BCA" w:rsidRPr="004F5BCA" w:rsidRDefault="004F5BCA" w:rsidP="004F5BCA">
            <w:pPr>
              <w:spacing w:after="0" w:line="255" w:lineRule="atLeast"/>
              <w:rPr>
                <w:rFonts w:ascii="Merriweather Light" w:eastAsia="Times New Roman" w:hAnsi="Merriweather Light" w:cs="Times New Roman"/>
                <w:bCs/>
                <w:color w:val="000000"/>
                <w:kern w:val="0"/>
                <w:sz w:val="18"/>
                <w:szCs w:val="18"/>
                <w14:ligatures w14:val="none"/>
                <w14:numForm w14:val="oldStyle"/>
              </w:rPr>
            </w:pPr>
            <w:r w:rsidRPr="004F5BCA">
              <w:rPr>
                <w:rFonts w:ascii="Merriweather Light" w:eastAsia="Times New Roman" w:hAnsi="Merriweather Light" w:cs="Times New Roman"/>
                <w:bCs/>
                <w:color w:val="000000"/>
                <w:kern w:val="0"/>
                <w:sz w:val="18"/>
                <w:szCs w:val="18"/>
                <w14:ligatures w14:val="none"/>
                <w14:numForm w14:val="oldStyle"/>
              </w:rPr>
              <w:t>Bevolkingsonderzoek Nederland</w:t>
            </w:r>
          </w:p>
          <w:p w14:paraId="4BD62403"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p>
        </w:tc>
      </w:tr>
      <w:tr w:rsidR="004F5BCA" w:rsidRPr="004F5BCA" w14:paraId="7B200CC6" w14:textId="77777777" w:rsidTr="00B76C65">
        <w:trPr>
          <w:trHeight w:val="141"/>
        </w:trPr>
        <w:tc>
          <w:tcPr>
            <w:tcW w:w="784" w:type="dxa"/>
            <w:tcBorders>
              <w:top w:val="single" w:sz="6" w:space="0" w:color="000000"/>
              <w:left w:val="double" w:sz="6" w:space="0" w:color="auto"/>
              <w:bottom w:val="single" w:sz="6" w:space="0" w:color="000000"/>
            </w:tcBorders>
          </w:tcPr>
          <w:p w14:paraId="689E9526" w14:textId="77777777" w:rsidR="004F5BCA" w:rsidRPr="004F5BCA" w:rsidRDefault="004F5BCA" w:rsidP="004F5BCA">
            <w:pPr>
              <w:spacing w:after="0" w:line="240" w:lineRule="auto"/>
              <w:jc w:val="center"/>
              <w:rPr>
                <w:rFonts w:ascii="Merriweather Light" w:eastAsia="Times New Roman" w:hAnsi="Merriweather Light" w:cs="Arial"/>
                <w:bCs/>
                <w:kern w:val="0"/>
                <w:sz w:val="18"/>
                <w:szCs w:val="18"/>
                <w14:ligatures w14:val="none"/>
              </w:rPr>
            </w:pPr>
            <w:r w:rsidRPr="004F5BCA">
              <w:rPr>
                <w:rFonts w:ascii="Merriweather Light" w:eastAsia="Times New Roman" w:hAnsi="Merriweather Light" w:cs="Arial"/>
                <w:bCs/>
                <w:kern w:val="0"/>
                <w:sz w:val="18"/>
                <w:szCs w:val="18"/>
                <w14:ligatures w14:val="none"/>
              </w:rPr>
              <w:t>2.</w:t>
            </w:r>
          </w:p>
        </w:tc>
        <w:tc>
          <w:tcPr>
            <w:tcW w:w="8723" w:type="dxa"/>
            <w:tcBorders>
              <w:top w:val="single" w:sz="6" w:space="0" w:color="000000"/>
              <w:left w:val="double" w:sz="6" w:space="0" w:color="auto"/>
              <w:bottom w:val="single" w:sz="6" w:space="0" w:color="000000"/>
            </w:tcBorders>
          </w:tcPr>
          <w:p w14:paraId="26CCB3D7" w14:textId="77777777" w:rsidR="004F5BCA" w:rsidRPr="004F5BCA" w:rsidRDefault="004F5BCA" w:rsidP="004F5BCA">
            <w:pPr>
              <w:spacing w:after="0" w:line="240" w:lineRule="auto"/>
              <w:rPr>
                <w:rFonts w:ascii="Merriweather Light" w:eastAsia="Times New Roman" w:hAnsi="Merriweather Light" w:cs="Arial"/>
                <w:b/>
                <w:bCs/>
                <w:kern w:val="0"/>
                <w:sz w:val="18"/>
                <w:szCs w:val="18"/>
                <w14:ligatures w14:val="none"/>
              </w:rPr>
            </w:pPr>
            <w:r w:rsidRPr="004F5BCA">
              <w:rPr>
                <w:rFonts w:ascii="Merriweather Light" w:eastAsia="Times New Roman" w:hAnsi="Merriweather Light" w:cs="Arial"/>
                <w:b/>
                <w:bCs/>
                <w:kern w:val="0"/>
                <w:sz w:val="18"/>
                <w:szCs w:val="18"/>
                <w14:ligatures w14:val="none"/>
              </w:rPr>
              <w:t>Verzekerde rubrieken</w:t>
            </w:r>
          </w:p>
          <w:p w14:paraId="161BFB33" w14:textId="77777777" w:rsidR="004F5BCA" w:rsidRPr="004F5BCA" w:rsidRDefault="004F5BCA" w:rsidP="004F5BCA">
            <w:pPr>
              <w:tabs>
                <w:tab w:val="left" w:pos="519"/>
                <w:tab w:val="decimal" w:pos="1937"/>
                <w:tab w:val="left" w:pos="2362"/>
              </w:tabs>
              <w:spacing w:after="0" w:line="240" w:lineRule="auto"/>
              <w:outlineLvl w:val="0"/>
              <w:rPr>
                <w:rFonts w:ascii="Merriweather Light" w:eastAsia="Times New Roman" w:hAnsi="Merriweather Light" w:cs="Arial"/>
                <w:b/>
                <w:bCs/>
                <w:color w:val="808080"/>
                <w:kern w:val="0"/>
                <w:sz w:val="18"/>
                <w:szCs w:val="18"/>
                <w:lang w:eastAsia="nl-NL"/>
                <w14:ligatures w14:val="none"/>
              </w:rPr>
            </w:pPr>
          </w:p>
          <w:p w14:paraId="4A80A0EE" w14:textId="4A9D468B" w:rsidR="004F5BCA" w:rsidRPr="004F5BCA" w:rsidRDefault="004F5BCA" w:rsidP="004F5BCA">
            <w:pPr>
              <w:spacing w:after="0" w:line="240" w:lineRule="auto"/>
              <w:outlineLvl w:val="0"/>
              <w:rPr>
                <w:rFonts w:ascii="Merriweather Light" w:eastAsia="Times New Roman" w:hAnsi="Merriweather Light" w:cs="Arial"/>
                <w:bCs/>
                <w:kern w:val="0"/>
                <w:sz w:val="18"/>
                <w:szCs w:val="18"/>
                <w:lang w:eastAsia="nl-NL"/>
                <w14:ligatures w14:val="none"/>
              </w:rPr>
            </w:pPr>
            <w:r w:rsidRPr="004F5BCA">
              <w:rPr>
                <w:rFonts w:ascii="Merriweather Light" w:eastAsia="Times New Roman" w:hAnsi="Merriweather Light" w:cs="Arial"/>
                <w:bCs/>
                <w:kern w:val="0"/>
                <w:sz w:val="18"/>
                <w:szCs w:val="18"/>
                <w:lang w:eastAsia="nl-NL"/>
                <w14:ligatures w14:val="none"/>
              </w:rPr>
              <w:t>€ 4</w:t>
            </w:r>
            <w:r w:rsidR="00921ED9">
              <w:rPr>
                <w:rFonts w:ascii="Merriweather Light" w:eastAsia="Times New Roman" w:hAnsi="Merriweather Light" w:cs="Arial"/>
                <w:bCs/>
                <w:kern w:val="0"/>
                <w:sz w:val="18"/>
                <w:szCs w:val="18"/>
                <w:lang w:eastAsia="nl-NL"/>
                <w14:ligatures w14:val="none"/>
              </w:rPr>
              <w:t>8</w:t>
            </w:r>
            <w:r w:rsidRPr="004F5BCA">
              <w:rPr>
                <w:rFonts w:ascii="Merriweather Light" w:eastAsia="Times New Roman" w:hAnsi="Merriweather Light" w:cs="Arial"/>
                <w:bCs/>
                <w:kern w:val="0"/>
                <w:sz w:val="18"/>
                <w:szCs w:val="18"/>
                <w:lang w:eastAsia="nl-NL"/>
                <w14:ligatures w14:val="none"/>
              </w:rPr>
              <w:t>.</w:t>
            </w:r>
            <w:r w:rsidR="00921ED9">
              <w:rPr>
                <w:rFonts w:ascii="Merriweather Light" w:eastAsia="Times New Roman" w:hAnsi="Merriweather Light" w:cs="Arial"/>
                <w:bCs/>
                <w:kern w:val="0"/>
                <w:sz w:val="18"/>
                <w:szCs w:val="18"/>
                <w:lang w:eastAsia="nl-NL"/>
                <w14:ligatures w14:val="none"/>
              </w:rPr>
              <w:t>125</w:t>
            </w:r>
            <w:r w:rsidRPr="004F5BCA">
              <w:rPr>
                <w:rFonts w:ascii="Merriweather Light" w:eastAsia="Times New Roman" w:hAnsi="Merriweather Light" w:cs="Arial"/>
                <w:bCs/>
                <w:kern w:val="0"/>
                <w:sz w:val="18"/>
                <w:szCs w:val="18"/>
                <w:lang w:eastAsia="nl-NL"/>
                <w14:ligatures w14:val="none"/>
              </w:rPr>
              <w:t>.000,00 in totaal, met een maximum van € 3.750.000,00 per locatie;</w:t>
            </w:r>
          </w:p>
          <w:p w14:paraId="43AA964A" w14:textId="77777777" w:rsidR="004F5BCA" w:rsidRPr="004F5BCA" w:rsidRDefault="004F5BCA" w:rsidP="004F5BCA">
            <w:pPr>
              <w:spacing w:after="0" w:line="255" w:lineRule="atLeast"/>
              <w:rPr>
                <w:rFonts w:ascii="Merriweather Light" w:eastAsia="Times New Roman" w:hAnsi="Merriweather Light" w:cs="Arial"/>
                <w:bCs/>
                <w:kern w:val="0"/>
                <w:sz w:val="18"/>
                <w:szCs w:val="18"/>
                <w:lang w:eastAsia="nl-NL"/>
                <w14:ligatures w14:val="none"/>
                <w14:numForm w14:val="oldStyle"/>
              </w:rPr>
            </w:pPr>
            <w:r w:rsidRPr="004F5BCA">
              <w:rPr>
                <w:rFonts w:ascii="Merriweather Light" w:eastAsia="Times New Roman" w:hAnsi="Merriweather Light" w:cs="Arial"/>
                <w:bCs/>
                <w:kern w:val="0"/>
                <w:sz w:val="18"/>
                <w:szCs w:val="18"/>
                <w:lang w:eastAsia="nl-NL"/>
                <w14:ligatures w14:val="none"/>
                <w14:numForm w14:val="oldStyle"/>
              </w:rPr>
              <w:t xml:space="preserve">€ 250.000,00 als premier </w:t>
            </w:r>
            <w:proofErr w:type="spellStart"/>
            <w:r w:rsidRPr="004F5BCA">
              <w:rPr>
                <w:rFonts w:ascii="Merriweather Light" w:eastAsia="Times New Roman" w:hAnsi="Merriweather Light" w:cs="Arial"/>
                <w:bCs/>
                <w:kern w:val="0"/>
                <w:sz w:val="18"/>
                <w:szCs w:val="18"/>
                <w:lang w:eastAsia="nl-NL"/>
                <w14:ligatures w14:val="none"/>
                <w14:numForm w14:val="oldStyle"/>
              </w:rPr>
              <w:t>risque</w:t>
            </w:r>
            <w:proofErr w:type="spellEnd"/>
            <w:r w:rsidRPr="004F5BCA">
              <w:rPr>
                <w:rFonts w:ascii="Merriweather Light" w:eastAsia="Times New Roman" w:hAnsi="Merriweather Light" w:cs="Arial"/>
                <w:bCs/>
                <w:kern w:val="0"/>
                <w:sz w:val="18"/>
                <w:szCs w:val="18"/>
                <w:lang w:eastAsia="nl-NL"/>
                <w14:ligatures w14:val="none"/>
                <w14:numForm w14:val="oldStyle"/>
              </w:rPr>
              <w:t xml:space="preserve"> per gebeurtenis op opruimings- en/of vernietigingskosten als nader omschreven in artikel 38, 39 en 40 van de Algemene Voorwaarden Transport Goederen T0601.</w:t>
            </w:r>
          </w:p>
          <w:p w14:paraId="025467D5"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lang w:eastAsia="nl-NL"/>
                <w14:ligatures w14:val="none"/>
                <w14:numForm w14:val="oldStyle"/>
              </w:rPr>
            </w:pPr>
          </w:p>
        </w:tc>
      </w:tr>
      <w:tr w:rsidR="004F5BCA" w:rsidRPr="004F5BCA" w14:paraId="2B34485A" w14:textId="77777777" w:rsidTr="00B76C65">
        <w:trPr>
          <w:trHeight w:val="141"/>
        </w:trPr>
        <w:tc>
          <w:tcPr>
            <w:tcW w:w="784" w:type="dxa"/>
            <w:tcBorders>
              <w:top w:val="single" w:sz="6" w:space="0" w:color="000000"/>
              <w:left w:val="double" w:sz="6" w:space="0" w:color="auto"/>
              <w:bottom w:val="single" w:sz="6" w:space="0" w:color="000000"/>
            </w:tcBorders>
          </w:tcPr>
          <w:p w14:paraId="17970331" w14:textId="77777777" w:rsidR="004F5BCA" w:rsidRPr="004F5BCA" w:rsidRDefault="004F5BCA" w:rsidP="004F5BCA">
            <w:pPr>
              <w:spacing w:after="0" w:line="240" w:lineRule="auto"/>
              <w:jc w:val="center"/>
              <w:rPr>
                <w:rFonts w:ascii="Merriweather Light" w:eastAsia="Times New Roman" w:hAnsi="Merriweather Light" w:cs="Arial"/>
                <w:bCs/>
                <w:kern w:val="0"/>
                <w:sz w:val="18"/>
                <w:szCs w:val="18"/>
                <w14:ligatures w14:val="none"/>
              </w:rPr>
            </w:pPr>
            <w:r w:rsidRPr="004F5BCA">
              <w:rPr>
                <w:rFonts w:ascii="Merriweather Light" w:eastAsia="Times New Roman" w:hAnsi="Merriweather Light" w:cs="Arial"/>
                <w:bCs/>
                <w:kern w:val="0"/>
                <w:sz w:val="18"/>
                <w:szCs w:val="18"/>
                <w14:ligatures w14:val="none"/>
              </w:rPr>
              <w:t>3.</w:t>
            </w:r>
          </w:p>
        </w:tc>
        <w:tc>
          <w:tcPr>
            <w:tcW w:w="8723" w:type="dxa"/>
            <w:tcBorders>
              <w:top w:val="single" w:sz="6" w:space="0" w:color="000000"/>
              <w:left w:val="double" w:sz="6" w:space="0" w:color="auto"/>
              <w:bottom w:val="single" w:sz="6" w:space="0" w:color="000000"/>
            </w:tcBorders>
          </w:tcPr>
          <w:p w14:paraId="17623191" w14:textId="77777777" w:rsidR="004F5BCA" w:rsidRPr="004F5BCA" w:rsidRDefault="004F5BCA" w:rsidP="004F5BCA">
            <w:pPr>
              <w:spacing w:after="0" w:line="240" w:lineRule="auto"/>
              <w:rPr>
                <w:rFonts w:ascii="Merriweather Light" w:eastAsia="Times New Roman" w:hAnsi="Merriweather Light" w:cs="Arial"/>
                <w:b/>
                <w:bCs/>
                <w:kern w:val="0"/>
                <w:sz w:val="18"/>
                <w:szCs w:val="18"/>
                <w14:ligatures w14:val="none"/>
              </w:rPr>
            </w:pPr>
            <w:r w:rsidRPr="004F5BCA">
              <w:rPr>
                <w:rFonts w:ascii="Merriweather Light" w:eastAsia="Times New Roman" w:hAnsi="Merriweather Light" w:cs="Arial"/>
                <w:b/>
                <w:bCs/>
                <w:kern w:val="0"/>
                <w:sz w:val="18"/>
                <w:szCs w:val="18"/>
                <w14:ligatures w14:val="none"/>
              </w:rPr>
              <w:t>Verzekerde objecten</w:t>
            </w:r>
          </w:p>
          <w:p w14:paraId="2D143515"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Conform objectenspecificatie als bijgevoegd in de bijlagen bij dit aanbestedingsdocument.</w:t>
            </w:r>
          </w:p>
          <w:p w14:paraId="7B454350"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xml:space="preserve">In hoofdzaak gaat het om mobiele units, incluis de medische apparatuur (bijvoorbeeld, maar niet limitatief, </w:t>
            </w:r>
            <w:proofErr w:type="spellStart"/>
            <w:r w:rsidRPr="004F5BCA">
              <w:rPr>
                <w:rFonts w:ascii="Merriweather Light" w:eastAsia="Times New Roman" w:hAnsi="Merriweather Light" w:cs="Times New Roman"/>
                <w:color w:val="000000"/>
                <w:kern w:val="0"/>
                <w:sz w:val="18"/>
                <w:szCs w:val="18"/>
                <w14:ligatures w14:val="none"/>
                <w14:numForm w14:val="oldStyle"/>
              </w:rPr>
              <w:t>mammografen</w:t>
            </w:r>
            <w:proofErr w:type="spellEnd"/>
            <w:r w:rsidRPr="004F5BCA">
              <w:rPr>
                <w:rFonts w:ascii="Merriweather Light" w:eastAsia="Times New Roman" w:hAnsi="Merriweather Light" w:cs="Times New Roman"/>
                <w:color w:val="000000"/>
                <w:kern w:val="0"/>
                <w:sz w:val="18"/>
                <w:szCs w:val="18"/>
                <w14:ligatures w14:val="none"/>
                <w14:numForm w14:val="oldStyle"/>
              </w:rPr>
              <w:t>) die zich hierin bevindt. Het bestand kan gedurende de looptijd fluctueren.</w:t>
            </w:r>
          </w:p>
        </w:tc>
      </w:tr>
      <w:tr w:rsidR="004F5BCA" w:rsidRPr="004F5BCA" w14:paraId="608EB28B" w14:textId="77777777" w:rsidTr="00B76C65">
        <w:trPr>
          <w:trHeight w:val="141"/>
        </w:trPr>
        <w:tc>
          <w:tcPr>
            <w:tcW w:w="784" w:type="dxa"/>
            <w:tcBorders>
              <w:top w:val="single" w:sz="6" w:space="0" w:color="000000"/>
              <w:left w:val="double" w:sz="6" w:space="0" w:color="auto"/>
              <w:bottom w:val="single" w:sz="6" w:space="0" w:color="000000"/>
            </w:tcBorders>
          </w:tcPr>
          <w:p w14:paraId="0FC87AF1" w14:textId="77777777" w:rsidR="004F5BCA" w:rsidRPr="004F5BCA" w:rsidRDefault="004F5BCA" w:rsidP="004F5BCA">
            <w:pPr>
              <w:spacing w:after="0" w:line="240" w:lineRule="auto"/>
              <w:jc w:val="center"/>
              <w:rPr>
                <w:rFonts w:ascii="Merriweather Light" w:eastAsia="Times New Roman" w:hAnsi="Merriweather Light" w:cs="Arial"/>
                <w:bCs/>
                <w:kern w:val="0"/>
                <w:sz w:val="18"/>
                <w:szCs w:val="18"/>
                <w14:ligatures w14:val="none"/>
              </w:rPr>
            </w:pPr>
            <w:r w:rsidRPr="004F5BCA">
              <w:rPr>
                <w:rFonts w:ascii="Merriweather Light" w:eastAsia="Times New Roman" w:hAnsi="Merriweather Light" w:cs="Arial"/>
                <w:bCs/>
                <w:kern w:val="0"/>
                <w:sz w:val="18"/>
                <w:szCs w:val="18"/>
                <w14:ligatures w14:val="none"/>
              </w:rPr>
              <w:t>4.</w:t>
            </w:r>
          </w:p>
        </w:tc>
        <w:tc>
          <w:tcPr>
            <w:tcW w:w="8723" w:type="dxa"/>
            <w:tcBorders>
              <w:top w:val="single" w:sz="6" w:space="0" w:color="000000"/>
              <w:left w:val="double" w:sz="6" w:space="0" w:color="auto"/>
              <w:bottom w:val="single" w:sz="6" w:space="0" w:color="000000"/>
            </w:tcBorders>
          </w:tcPr>
          <w:p w14:paraId="192125A7" w14:textId="77777777" w:rsidR="004F5BCA" w:rsidRPr="004F5BCA" w:rsidRDefault="004F5BCA" w:rsidP="004F5BCA">
            <w:pPr>
              <w:spacing w:after="0" w:line="240" w:lineRule="auto"/>
              <w:rPr>
                <w:rFonts w:ascii="Merriweather Light" w:eastAsia="Times New Roman" w:hAnsi="Merriweather Light" w:cs="Arial"/>
                <w:b/>
                <w:bCs/>
                <w:kern w:val="0"/>
                <w:sz w:val="18"/>
                <w:szCs w:val="18"/>
                <w14:ligatures w14:val="none"/>
              </w:rPr>
            </w:pPr>
            <w:r w:rsidRPr="004F5BCA">
              <w:rPr>
                <w:rFonts w:ascii="Merriweather Light" w:eastAsia="Times New Roman" w:hAnsi="Merriweather Light" w:cs="Arial"/>
                <w:b/>
                <w:bCs/>
                <w:kern w:val="0"/>
                <w:sz w:val="18"/>
                <w:szCs w:val="18"/>
                <w14:ligatures w14:val="none"/>
              </w:rPr>
              <w:t>Dekkingsgebied</w:t>
            </w:r>
          </w:p>
          <w:p w14:paraId="27AE30B1"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Arial"/>
                <w:bCs/>
                <w:kern w:val="0"/>
                <w:sz w:val="18"/>
                <w:szCs w:val="18"/>
                <w14:ligatures w14:val="none"/>
              </w:rPr>
              <w:t xml:space="preserve">Tijdens transport, verblijf en gebruik in Europa. Verder volgens de aanvullende voorwaarden "Uitsluiting verzekerd gebied Oekraïne, Rusland en Belarus". </w:t>
            </w:r>
          </w:p>
        </w:tc>
      </w:tr>
      <w:tr w:rsidR="004F5BCA" w:rsidRPr="004F5BCA" w14:paraId="091EBA3D" w14:textId="77777777" w:rsidTr="00B76C65">
        <w:trPr>
          <w:trHeight w:val="141"/>
        </w:trPr>
        <w:tc>
          <w:tcPr>
            <w:tcW w:w="784" w:type="dxa"/>
            <w:tcBorders>
              <w:top w:val="single" w:sz="6" w:space="0" w:color="000000"/>
              <w:left w:val="double" w:sz="6" w:space="0" w:color="auto"/>
              <w:bottom w:val="single" w:sz="6" w:space="0" w:color="000000"/>
            </w:tcBorders>
          </w:tcPr>
          <w:p w14:paraId="5D6459D5" w14:textId="77777777" w:rsidR="004F5BCA" w:rsidRPr="004F5BCA" w:rsidRDefault="004F5BCA" w:rsidP="004F5BCA">
            <w:pPr>
              <w:spacing w:after="120" w:line="264" w:lineRule="auto"/>
              <w:jc w:val="center"/>
              <w:rPr>
                <w:rFonts w:ascii="Merriweather Light" w:eastAsia="Times New Roman" w:hAnsi="Merriweather Light" w:cs="Arial"/>
                <w:bCs/>
                <w:kern w:val="0"/>
                <w:sz w:val="18"/>
                <w:szCs w:val="18"/>
                <w14:ligatures w14:val="none"/>
              </w:rPr>
            </w:pPr>
            <w:r w:rsidRPr="004F5BCA">
              <w:rPr>
                <w:rFonts w:ascii="Merriweather Light" w:eastAsia="Times New Roman" w:hAnsi="Merriweather Light" w:cs="Arial"/>
                <w:bCs/>
                <w:kern w:val="0"/>
                <w:sz w:val="18"/>
                <w:szCs w:val="18"/>
                <w14:ligatures w14:val="none"/>
              </w:rPr>
              <w:t>5.</w:t>
            </w:r>
          </w:p>
        </w:tc>
        <w:tc>
          <w:tcPr>
            <w:tcW w:w="8723" w:type="dxa"/>
            <w:tcBorders>
              <w:top w:val="single" w:sz="6" w:space="0" w:color="000000"/>
              <w:left w:val="double" w:sz="6" w:space="0" w:color="auto"/>
              <w:bottom w:val="single" w:sz="6" w:space="0" w:color="000000"/>
            </w:tcBorders>
          </w:tcPr>
          <w:p w14:paraId="6DD72A53"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Ingangsdatum en Looptijd</w:t>
            </w:r>
          </w:p>
          <w:p w14:paraId="727FAC35" w14:textId="747D65B1" w:rsidR="004F5BCA" w:rsidRPr="004F5BCA" w:rsidRDefault="004F5BCA" w:rsidP="004F5BCA">
            <w:pPr>
              <w:spacing w:after="0" w:line="255" w:lineRule="atLeast"/>
              <w:rPr>
                <w:rFonts w:ascii="Merriweather Light" w:eastAsia="Times New Roman" w:hAnsi="Merriweather Light" w:cs="Times New Roman"/>
                <w:kern w:val="0"/>
                <w:sz w:val="18"/>
                <w:szCs w:val="18"/>
                <w14:ligatures w14:val="none"/>
                <w14:numForm w14:val="oldStyle"/>
              </w:rPr>
            </w:pPr>
            <w:r w:rsidRPr="004F5BCA">
              <w:rPr>
                <w:rFonts w:ascii="Merriweather Light" w:eastAsia="Times New Roman" w:hAnsi="Merriweather Light" w:cs="Times New Roman"/>
                <w:kern w:val="0"/>
                <w:sz w:val="18"/>
                <w:szCs w:val="18"/>
                <w14:ligatures w14:val="none"/>
                <w14:numForm w14:val="oldStyle"/>
              </w:rPr>
              <w:t>Ingaande 01-01-202</w:t>
            </w:r>
            <w:r w:rsidR="00C76CDD">
              <w:rPr>
                <w:rFonts w:ascii="Merriweather Light" w:eastAsia="Times New Roman" w:hAnsi="Merriweather Light" w:cs="Times New Roman"/>
                <w:kern w:val="0"/>
                <w:sz w:val="18"/>
                <w:szCs w:val="18"/>
                <w14:ligatures w14:val="none"/>
                <w14:numForm w14:val="oldStyle"/>
              </w:rPr>
              <w:t>7</w:t>
            </w:r>
            <w:r w:rsidRPr="004F5BCA">
              <w:rPr>
                <w:rFonts w:ascii="Merriweather Light" w:eastAsia="Times New Roman" w:hAnsi="Merriweather Light" w:cs="Times New Roman"/>
                <w:kern w:val="0"/>
                <w:sz w:val="18"/>
                <w:szCs w:val="18"/>
                <w14:ligatures w14:val="none"/>
                <w14:numForm w14:val="oldStyle"/>
              </w:rPr>
              <w:t xml:space="preserve"> tot 01-01-202</w:t>
            </w:r>
            <w:r w:rsidR="00C76CDD">
              <w:rPr>
                <w:rFonts w:ascii="Merriweather Light" w:eastAsia="Times New Roman" w:hAnsi="Merriweather Light" w:cs="Times New Roman"/>
                <w:kern w:val="0"/>
                <w:sz w:val="18"/>
                <w:szCs w:val="18"/>
                <w14:ligatures w14:val="none"/>
                <w14:numForm w14:val="oldStyle"/>
              </w:rPr>
              <w:t>8</w:t>
            </w:r>
            <w:r w:rsidRPr="004F5BCA">
              <w:rPr>
                <w:rFonts w:ascii="Merriweather Light" w:eastAsia="Times New Roman" w:hAnsi="Merriweather Light" w:cs="Times New Roman"/>
                <w:kern w:val="0"/>
                <w:sz w:val="18"/>
                <w:szCs w:val="18"/>
                <w14:ligatures w14:val="none"/>
                <w14:numForm w14:val="oldStyle"/>
              </w:rPr>
              <w:t xml:space="preserve"> en voorts voor 12 maanden doorlopend. </w:t>
            </w:r>
          </w:p>
          <w:p w14:paraId="26FE6969" w14:textId="77777777" w:rsidR="004F5BCA" w:rsidRPr="004F5BCA" w:rsidRDefault="004F5BCA" w:rsidP="004F5BCA">
            <w:pPr>
              <w:spacing w:after="0" w:line="255" w:lineRule="atLeast"/>
              <w:rPr>
                <w:rFonts w:ascii="Merriweather Light" w:eastAsia="Times New Roman" w:hAnsi="Merriweather Light" w:cs="Arial"/>
                <w:bCs/>
                <w:kern w:val="0"/>
                <w:sz w:val="18"/>
                <w:szCs w:val="18"/>
                <w14:ligatures w14:val="none"/>
                <w14:numForm w14:val="oldStyle"/>
              </w:rPr>
            </w:pPr>
            <w:r w:rsidRPr="004F5BCA">
              <w:rPr>
                <w:rFonts w:ascii="Merriweather Light" w:eastAsia="Times New Roman" w:hAnsi="Merriweather Light" w:cs="Times New Roman"/>
                <w:kern w:val="0"/>
                <w:sz w:val="18"/>
                <w:szCs w:val="18"/>
                <w14:ligatures w14:val="none"/>
                <w14:numForm w14:val="oldStyle"/>
              </w:rPr>
              <w:t>Er geldt een wederzijdse opzegtermijn van 3 maanden.</w:t>
            </w:r>
          </w:p>
        </w:tc>
      </w:tr>
      <w:tr w:rsidR="004F5BCA" w:rsidRPr="004F5BCA" w14:paraId="0B402310" w14:textId="77777777" w:rsidTr="00B76C65">
        <w:trPr>
          <w:trHeight w:val="141"/>
        </w:trPr>
        <w:tc>
          <w:tcPr>
            <w:tcW w:w="784" w:type="dxa"/>
            <w:tcBorders>
              <w:top w:val="single" w:sz="6" w:space="0" w:color="000000"/>
              <w:left w:val="double" w:sz="6" w:space="0" w:color="auto"/>
              <w:bottom w:val="single" w:sz="6" w:space="0" w:color="000000"/>
            </w:tcBorders>
          </w:tcPr>
          <w:p w14:paraId="7ADB6882" w14:textId="77777777" w:rsidR="004F5BCA" w:rsidRPr="004F5BCA" w:rsidRDefault="004F5BCA" w:rsidP="004F5BCA">
            <w:pPr>
              <w:spacing w:after="120" w:line="264" w:lineRule="auto"/>
              <w:jc w:val="center"/>
              <w:rPr>
                <w:rFonts w:ascii="Merriweather Light" w:eastAsia="Times New Roman" w:hAnsi="Merriweather Light" w:cs="Arial"/>
                <w:bCs/>
                <w:kern w:val="0"/>
                <w:sz w:val="18"/>
                <w:szCs w:val="18"/>
                <w14:ligatures w14:val="none"/>
              </w:rPr>
            </w:pPr>
            <w:r w:rsidRPr="004F5BCA">
              <w:rPr>
                <w:rFonts w:ascii="Merriweather Light" w:eastAsia="Times New Roman" w:hAnsi="Merriweather Light" w:cs="Arial"/>
                <w:bCs/>
                <w:kern w:val="0"/>
                <w:sz w:val="18"/>
                <w:szCs w:val="18"/>
                <w14:ligatures w14:val="none"/>
              </w:rPr>
              <w:t>6.</w:t>
            </w:r>
          </w:p>
        </w:tc>
        <w:tc>
          <w:tcPr>
            <w:tcW w:w="8723" w:type="dxa"/>
            <w:tcBorders>
              <w:top w:val="single" w:sz="6" w:space="0" w:color="000000"/>
              <w:left w:val="double" w:sz="6" w:space="0" w:color="auto"/>
              <w:bottom w:val="single" w:sz="6" w:space="0" w:color="000000"/>
            </w:tcBorders>
          </w:tcPr>
          <w:p w14:paraId="4E4545D3"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Voorwaarden</w:t>
            </w:r>
          </w:p>
          <w:p w14:paraId="5294A092"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Voorblad Nederlandse Beurs Goederen 2006</w:t>
            </w:r>
          </w:p>
          <w:p w14:paraId="2AE0D09D"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Nederlandse Beurs-Goederenpolis 2006 - Algemene voorwaarden</w:t>
            </w:r>
          </w:p>
          <w:p w14:paraId="0DAFED22"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Algemene Voorwaarden Transport Goederen T0601</w:t>
            </w:r>
          </w:p>
          <w:p w14:paraId="3128D984"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xml:space="preserve">- G13 </w:t>
            </w:r>
            <w:proofErr w:type="spellStart"/>
            <w:r w:rsidRPr="004F5BCA">
              <w:rPr>
                <w:rFonts w:ascii="Merriweather Light" w:eastAsia="Times New Roman" w:hAnsi="Merriweather Light" w:cs="Times New Roman"/>
                <w:color w:val="000000"/>
                <w:kern w:val="0"/>
                <w:sz w:val="18"/>
                <w:szCs w:val="18"/>
                <w14:ligatures w14:val="none"/>
                <w14:numForm w14:val="oldStyle"/>
              </w:rPr>
              <w:t>All</w:t>
            </w:r>
            <w:proofErr w:type="spellEnd"/>
            <w:r w:rsidRPr="004F5BCA">
              <w:rPr>
                <w:rFonts w:ascii="Merriweather Light" w:eastAsia="Times New Roman" w:hAnsi="Merriweather Light" w:cs="Times New Roman"/>
                <w:color w:val="000000"/>
                <w:kern w:val="0"/>
                <w:sz w:val="18"/>
                <w:szCs w:val="18"/>
                <w14:ligatures w14:val="none"/>
                <w14:numForm w14:val="oldStyle"/>
              </w:rPr>
              <w:t xml:space="preserve"> Risks-clausule (2006)</w:t>
            </w:r>
          </w:p>
          <w:p w14:paraId="072D5E38"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M3 - Clausule Oorlogs- en stakersrisico 2006</w:t>
            </w:r>
          </w:p>
          <w:p w14:paraId="728445D6"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Terrorismedekking - NHT</w:t>
            </w:r>
          </w:p>
          <w:p w14:paraId="5778051F"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Terrorisme (12.02.2002)</w:t>
            </w:r>
          </w:p>
          <w:p w14:paraId="32696322"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Uitsluiting Cyber Transport T2011</w:t>
            </w:r>
          </w:p>
          <w:p w14:paraId="100CE646"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uitsluiting besmettelijke ziekte AL2009</w:t>
            </w:r>
          </w:p>
          <w:p w14:paraId="59EAB384"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Uitsluiting verzekerd gebied Oekraïne, Rusland en Belarus</w:t>
            </w:r>
          </w:p>
          <w:p w14:paraId="1BF5AF9D"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Prioriteitenbepaling AL1809</w:t>
            </w:r>
          </w:p>
          <w:p w14:paraId="3B5ED9A6"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Clausule Handels en Economische Sancties AL1905</w:t>
            </w:r>
          </w:p>
          <w:p w14:paraId="40D09750" w14:textId="77777777" w:rsidR="004F5BCA" w:rsidRPr="004F5BCA" w:rsidRDefault="004F5BCA" w:rsidP="004F5BCA">
            <w:pPr>
              <w:numPr>
                <w:ilvl w:val="0"/>
                <w:numId w:val="1"/>
              </w:num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Five Powers War Clause VNAB</w:t>
            </w:r>
          </w:p>
          <w:p w14:paraId="1D49A205"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p>
          <w:p w14:paraId="2CD95802"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xml:space="preserve">In de bijlagen treft u de </w:t>
            </w:r>
            <w:proofErr w:type="spellStart"/>
            <w:r w:rsidRPr="004F5BCA">
              <w:rPr>
                <w:rFonts w:ascii="Merriweather Light" w:eastAsia="Times New Roman" w:hAnsi="Merriweather Light" w:cs="Times New Roman"/>
                <w:color w:val="000000"/>
                <w:kern w:val="0"/>
                <w:sz w:val="18"/>
                <w:szCs w:val="18"/>
                <w14:ligatures w14:val="none"/>
                <w14:numForm w14:val="oldStyle"/>
              </w:rPr>
              <w:t>poliscondities</w:t>
            </w:r>
            <w:proofErr w:type="spellEnd"/>
            <w:r w:rsidRPr="004F5BCA">
              <w:rPr>
                <w:rFonts w:ascii="Merriweather Light" w:eastAsia="Times New Roman" w:hAnsi="Merriweather Light" w:cs="Times New Roman"/>
                <w:color w:val="000000"/>
                <w:kern w:val="0"/>
                <w:sz w:val="18"/>
                <w:szCs w:val="18"/>
                <w14:ligatures w14:val="none"/>
                <w14:numForm w14:val="oldStyle"/>
              </w:rPr>
              <w:t xml:space="preserve"> aan.</w:t>
            </w:r>
          </w:p>
          <w:p w14:paraId="2912156D"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p>
          <w:p w14:paraId="35CCC220"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Het staat Inschrijvers vrij zich te conformeren aan deze voorwaarden dan wel eigen polisvoorwaarden te hanteren, mits deze voorwaarden minimaal gelijk zijn aan de voorwaarden als bijgevoegd, het Programma van Eisen en eventuele nadere aanpassingen in de Nota(‘s) van Inlichtingen.</w:t>
            </w:r>
          </w:p>
        </w:tc>
      </w:tr>
      <w:tr w:rsidR="004F5BCA" w:rsidRPr="004F5BCA" w14:paraId="3B420CD9" w14:textId="77777777" w:rsidTr="00B76C65">
        <w:trPr>
          <w:trHeight w:val="141"/>
        </w:trPr>
        <w:tc>
          <w:tcPr>
            <w:tcW w:w="784" w:type="dxa"/>
            <w:tcBorders>
              <w:top w:val="single" w:sz="6" w:space="0" w:color="000000"/>
              <w:left w:val="double" w:sz="6" w:space="0" w:color="auto"/>
              <w:bottom w:val="single" w:sz="6" w:space="0" w:color="000000"/>
            </w:tcBorders>
          </w:tcPr>
          <w:p w14:paraId="368DE3B2" w14:textId="77777777" w:rsidR="004F5BCA" w:rsidRPr="004F5BCA" w:rsidRDefault="004F5BCA" w:rsidP="004F5BCA">
            <w:pPr>
              <w:spacing w:after="120" w:line="264" w:lineRule="auto"/>
              <w:jc w:val="center"/>
              <w:rPr>
                <w:rFonts w:ascii="Merriweather Light" w:eastAsia="Times New Roman" w:hAnsi="Merriweather Light" w:cs="Arial"/>
                <w:bCs/>
                <w:kern w:val="0"/>
                <w:sz w:val="18"/>
                <w:szCs w:val="18"/>
                <w14:ligatures w14:val="none"/>
              </w:rPr>
            </w:pPr>
            <w:r w:rsidRPr="004F5BCA">
              <w:rPr>
                <w:rFonts w:ascii="Merriweather" w:eastAsia="Times New Roman" w:hAnsi="Merriweather" w:cs="Times New Roman"/>
                <w:color w:val="000000"/>
                <w:kern w:val="0"/>
                <w:sz w:val="18"/>
                <w:szCs w:val="18"/>
                <w:lang w:eastAsia="nl-NL"/>
                <w14:ligatures w14:val="none"/>
              </w:rPr>
              <w:br w:type="page"/>
            </w:r>
            <w:r w:rsidRPr="004F5BCA">
              <w:rPr>
                <w:rFonts w:ascii="Merriweather Light" w:eastAsia="Times New Roman" w:hAnsi="Merriweather Light" w:cs="Arial"/>
                <w:bCs/>
                <w:kern w:val="0"/>
                <w:sz w:val="18"/>
                <w:szCs w:val="18"/>
                <w14:ligatures w14:val="none"/>
              </w:rPr>
              <w:t>7.</w:t>
            </w:r>
          </w:p>
        </w:tc>
        <w:tc>
          <w:tcPr>
            <w:tcW w:w="8723" w:type="dxa"/>
            <w:tcBorders>
              <w:top w:val="single" w:sz="6" w:space="0" w:color="000000"/>
              <w:left w:val="double" w:sz="6" w:space="0" w:color="auto"/>
              <w:bottom w:val="single" w:sz="6" w:space="0" w:color="000000"/>
            </w:tcBorders>
          </w:tcPr>
          <w:p w14:paraId="7C64F70E"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Aanvullende voorwaarden</w:t>
            </w:r>
          </w:p>
          <w:p w14:paraId="4866DAA8"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lang w:eastAsia="nl-NL"/>
                <w14:ligatures w14:val="none"/>
                <w14:numForm w14:val="oldStyle"/>
              </w:rPr>
            </w:pPr>
          </w:p>
          <w:p w14:paraId="2CDF4190"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Uitbreiding begrip stakersrisico</w:t>
            </w:r>
          </w:p>
          <w:p w14:paraId="0BE305AF" w14:textId="77777777" w:rsidR="004F5BCA" w:rsidRPr="004F5BCA" w:rsidRDefault="004F5BCA" w:rsidP="004F5BCA">
            <w:pPr>
              <w:spacing w:after="0" w:line="255" w:lineRule="atLeast"/>
              <w:rPr>
                <w:rFonts w:ascii="Merriweather Light" w:eastAsia="Times New Roman" w:hAnsi="Merriweather Light" w:cs="Times New Roman"/>
                <w:bCs/>
                <w:color w:val="000000"/>
                <w:kern w:val="0"/>
                <w:sz w:val="18"/>
                <w:szCs w:val="18"/>
                <w14:ligatures w14:val="none"/>
                <w14:numForm w14:val="oldStyle"/>
              </w:rPr>
            </w:pPr>
            <w:r w:rsidRPr="004F5BCA">
              <w:rPr>
                <w:rFonts w:ascii="Merriweather Light" w:eastAsia="Times New Roman" w:hAnsi="Merriweather Light" w:cs="Times New Roman"/>
                <w:bCs/>
                <w:color w:val="000000"/>
                <w:kern w:val="0"/>
                <w:sz w:val="18"/>
                <w:szCs w:val="18"/>
                <w14:ligatures w14:val="none"/>
                <w14:numForm w14:val="oldStyle"/>
              </w:rPr>
              <w:t>De begripsomschrijving van het stakersrisico als vermeld in clausule Oorlogs- en stakersrisico M3 wordt geacht te zijn aangepast als volgt: "terrorisme en gewelddaden gepleegd uit politieke overwegingen".</w:t>
            </w:r>
          </w:p>
          <w:p w14:paraId="1F5DD248"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p>
          <w:p w14:paraId="5ABEE856" w14:textId="77777777" w:rsidR="00C76CDD" w:rsidRDefault="00C76CDD"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p>
          <w:p w14:paraId="12A8DA01" w14:textId="77777777" w:rsidR="00C76CDD" w:rsidRDefault="00C76CDD"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p>
          <w:p w14:paraId="6D58E779" w14:textId="68E41FE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lastRenderedPageBreak/>
              <w:t>Eigen gebrek</w:t>
            </w:r>
          </w:p>
          <w:p w14:paraId="06B50C90" w14:textId="77777777" w:rsidR="004F5BCA" w:rsidRPr="004F5BCA" w:rsidRDefault="004F5BCA" w:rsidP="004F5BCA">
            <w:pPr>
              <w:spacing w:after="0" w:line="255" w:lineRule="atLeast"/>
              <w:rPr>
                <w:rFonts w:ascii="Merriweather Light" w:eastAsia="Times New Roman" w:hAnsi="Merriweather Light" w:cs="Times New Roman"/>
                <w:bCs/>
                <w:color w:val="000000"/>
                <w:kern w:val="0"/>
                <w:sz w:val="18"/>
                <w:szCs w:val="18"/>
                <w14:ligatures w14:val="none"/>
                <w14:numForm w14:val="oldStyle"/>
              </w:rPr>
            </w:pPr>
            <w:r w:rsidRPr="004F5BCA">
              <w:rPr>
                <w:rFonts w:ascii="Merriweather Light" w:eastAsia="Times New Roman" w:hAnsi="Merriweather Light" w:cs="Times New Roman"/>
                <w:bCs/>
                <w:color w:val="000000"/>
                <w:kern w:val="0"/>
                <w:sz w:val="18"/>
                <w:szCs w:val="18"/>
                <w14:ligatures w14:val="none"/>
                <w14:numForm w14:val="oldStyle"/>
              </w:rPr>
              <w:t>Eigen gebrek is van de dekking uitgesloten. Echter, verzekeraars vergoeden de schade door verlies of beschadiging van het verzekerde object of een deel daarvan door brand, ontploffing, botsen, aanraken, stoten, slippen, omslaan of te water of van de weg geraken als gevolg van de aard of een gebrek van het verzekerde object zelf.</w:t>
            </w:r>
          </w:p>
          <w:p w14:paraId="6AAFB0AC"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p>
          <w:p w14:paraId="7119B7CF"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Clausule automatische dekking</w:t>
            </w:r>
          </w:p>
          <w:p w14:paraId="02AD6DAC" w14:textId="419831F6" w:rsidR="004F5BCA" w:rsidRPr="004F5BCA" w:rsidRDefault="004F5BCA" w:rsidP="004F5BCA">
            <w:pPr>
              <w:spacing w:after="0" w:line="255" w:lineRule="atLeast"/>
              <w:rPr>
                <w:rFonts w:ascii="Merriweather Light" w:eastAsia="Times New Roman" w:hAnsi="Merriweather Light" w:cs="Times New Roman"/>
                <w:bCs/>
                <w:color w:val="000000"/>
                <w:kern w:val="0"/>
                <w:sz w:val="18"/>
                <w:szCs w:val="18"/>
                <w14:ligatures w14:val="none"/>
                <w14:numForm w14:val="oldStyle"/>
              </w:rPr>
            </w:pPr>
            <w:r w:rsidRPr="004F5BCA">
              <w:rPr>
                <w:rFonts w:ascii="Merriweather Light" w:eastAsia="Times New Roman" w:hAnsi="Merriweather Light" w:cs="Times New Roman"/>
                <w:bCs/>
                <w:color w:val="000000"/>
                <w:kern w:val="0"/>
                <w:sz w:val="18"/>
                <w:szCs w:val="18"/>
                <w14:ligatures w14:val="none"/>
                <w14:numForm w14:val="oldStyle"/>
              </w:rPr>
              <w:t xml:space="preserve">Nieuwe, gekochte, gehuurde en/of anderszins bij verzekerde in gebruik zijnde en/of onder beheer komende objecten zijn automatisch gedekt vanaf het moment, dat deze objecten voor risico en/of verantwoordelijkheid van verzekerde zijn. Objecten met een waarde vanaf € 2.500.000,00 dienen voorafgaand aan het risico separaat aan </w:t>
            </w:r>
            <w:proofErr w:type="spellStart"/>
            <w:r>
              <w:rPr>
                <w:rFonts w:ascii="Merriweather Light" w:eastAsia="Times New Roman" w:hAnsi="Merriweather Light" w:cs="Times New Roman"/>
                <w:bCs/>
                <w:color w:val="000000"/>
                <w:kern w:val="0"/>
                <w:sz w:val="18"/>
                <w:szCs w:val="18"/>
                <w14:ligatures w14:val="none"/>
                <w14:numForm w14:val="oldStyle"/>
              </w:rPr>
              <w:t>Acrisure</w:t>
            </w:r>
            <w:proofErr w:type="spellEnd"/>
            <w:r>
              <w:rPr>
                <w:rFonts w:ascii="Merriweather Light" w:eastAsia="Times New Roman" w:hAnsi="Merriweather Light" w:cs="Times New Roman"/>
                <w:bCs/>
                <w:color w:val="000000"/>
                <w:kern w:val="0"/>
                <w:sz w:val="18"/>
                <w:szCs w:val="18"/>
                <w14:ligatures w14:val="none"/>
                <w14:numForm w14:val="oldStyle"/>
              </w:rPr>
              <w:t xml:space="preserve"> Netherlands</w:t>
            </w:r>
            <w:r w:rsidRPr="004F5BCA">
              <w:rPr>
                <w:rFonts w:ascii="Merriweather Light" w:eastAsia="Times New Roman" w:hAnsi="Merriweather Light" w:cs="Times New Roman"/>
                <w:bCs/>
                <w:color w:val="000000"/>
                <w:kern w:val="0"/>
                <w:sz w:val="18"/>
                <w:szCs w:val="18"/>
                <w14:ligatures w14:val="none"/>
                <w14:numForm w14:val="oldStyle"/>
              </w:rPr>
              <w:t xml:space="preserve"> B.V. te worden opgegeven.</w:t>
            </w:r>
          </w:p>
          <w:p w14:paraId="5255217F" w14:textId="1F3E8F2F" w:rsidR="004F5BCA" w:rsidRPr="004F5BCA" w:rsidRDefault="004F5BCA" w:rsidP="004F5BCA">
            <w:pPr>
              <w:spacing w:after="0" w:line="255" w:lineRule="atLeast"/>
              <w:rPr>
                <w:rFonts w:ascii="Merriweather Light" w:eastAsia="Times New Roman" w:hAnsi="Merriweather Light" w:cs="Times New Roman"/>
                <w:bCs/>
                <w:color w:val="000000"/>
                <w:kern w:val="0"/>
                <w:sz w:val="18"/>
                <w:szCs w:val="18"/>
                <w14:ligatures w14:val="none"/>
                <w14:numForm w14:val="oldStyle"/>
              </w:rPr>
            </w:pPr>
            <w:r w:rsidRPr="004F5BCA">
              <w:rPr>
                <w:rFonts w:ascii="Merriweather Light" w:eastAsia="Times New Roman" w:hAnsi="Merriweather Light" w:cs="Times New Roman"/>
                <w:bCs/>
                <w:color w:val="000000"/>
                <w:kern w:val="0"/>
                <w:sz w:val="18"/>
                <w:szCs w:val="18"/>
                <w14:ligatures w14:val="none"/>
                <w14:numForm w14:val="oldStyle"/>
              </w:rPr>
              <w:t xml:space="preserve">Verzekerde heeft echter de verplichting </w:t>
            </w:r>
            <w:proofErr w:type="spellStart"/>
            <w:r>
              <w:rPr>
                <w:rFonts w:ascii="Merriweather Light" w:eastAsia="Times New Roman" w:hAnsi="Merriweather Light" w:cs="Times New Roman"/>
                <w:bCs/>
                <w:color w:val="000000"/>
                <w:kern w:val="0"/>
                <w:sz w:val="18"/>
                <w:szCs w:val="18"/>
                <w14:ligatures w14:val="none"/>
                <w14:numForm w14:val="oldStyle"/>
              </w:rPr>
              <w:t>Acrisure</w:t>
            </w:r>
            <w:proofErr w:type="spellEnd"/>
            <w:r>
              <w:rPr>
                <w:rFonts w:ascii="Merriweather Light" w:eastAsia="Times New Roman" w:hAnsi="Merriweather Light" w:cs="Times New Roman"/>
                <w:bCs/>
                <w:color w:val="000000"/>
                <w:kern w:val="0"/>
                <w:sz w:val="18"/>
                <w:szCs w:val="18"/>
                <w14:ligatures w14:val="none"/>
                <w14:numForm w14:val="oldStyle"/>
              </w:rPr>
              <w:t xml:space="preserve"> Netherlands</w:t>
            </w:r>
            <w:r w:rsidRPr="004F5BCA">
              <w:rPr>
                <w:rFonts w:ascii="Merriweather Light" w:eastAsia="Times New Roman" w:hAnsi="Merriweather Light" w:cs="Times New Roman"/>
                <w:bCs/>
                <w:color w:val="000000"/>
                <w:kern w:val="0"/>
                <w:sz w:val="18"/>
                <w:szCs w:val="18"/>
                <w14:ligatures w14:val="none"/>
                <w14:numForm w14:val="oldStyle"/>
              </w:rPr>
              <w:t xml:space="preserve"> B.V. uiterlijk binnen 90 dagen hiervan een opgave te doen. Indien hieraan niet is voldaan, zijn verzekeraars niet gehouden een eventuele schade en/of verlies voor hun rekening te nemen.</w:t>
            </w:r>
          </w:p>
          <w:p w14:paraId="26F2DFF4"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p>
          <w:p w14:paraId="4E8663D0"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 xml:space="preserve">"Total </w:t>
            </w:r>
            <w:proofErr w:type="spellStart"/>
            <w:r w:rsidRPr="004F5BCA">
              <w:rPr>
                <w:rFonts w:ascii="Merriweather Light" w:eastAsia="Times New Roman" w:hAnsi="Merriweather Light" w:cs="Times New Roman"/>
                <w:b/>
                <w:color w:val="000000"/>
                <w:kern w:val="0"/>
                <w:sz w:val="18"/>
                <w:szCs w:val="18"/>
                <w14:ligatures w14:val="none"/>
                <w14:numForm w14:val="oldStyle"/>
              </w:rPr>
              <w:t>loss</w:t>
            </w:r>
            <w:proofErr w:type="spellEnd"/>
            <w:r w:rsidRPr="004F5BCA">
              <w:rPr>
                <w:rFonts w:ascii="Merriweather Light" w:eastAsia="Times New Roman" w:hAnsi="Merriweather Light" w:cs="Times New Roman"/>
                <w:b/>
                <w:color w:val="000000"/>
                <w:kern w:val="0"/>
                <w:sz w:val="18"/>
                <w:szCs w:val="18"/>
                <w14:ligatures w14:val="none"/>
                <w14:numForm w14:val="oldStyle"/>
              </w:rPr>
              <w:t>" ten gevolge van een ongeval</w:t>
            </w:r>
          </w:p>
          <w:p w14:paraId="14B00A0B" w14:textId="77777777" w:rsidR="004F5BCA" w:rsidRPr="004F5BCA" w:rsidRDefault="004F5BCA" w:rsidP="004F5BCA">
            <w:pPr>
              <w:spacing w:after="0" w:line="255" w:lineRule="atLeast"/>
              <w:rPr>
                <w:rFonts w:ascii="Merriweather Light" w:eastAsia="Times New Roman" w:hAnsi="Merriweather Light" w:cs="Times New Roman"/>
                <w:bCs/>
                <w:color w:val="000000"/>
                <w:kern w:val="0"/>
                <w:sz w:val="18"/>
                <w:szCs w:val="18"/>
                <w14:ligatures w14:val="none"/>
                <w14:numForm w14:val="oldStyle"/>
              </w:rPr>
            </w:pPr>
            <w:r w:rsidRPr="004F5BCA">
              <w:rPr>
                <w:rFonts w:ascii="Merriweather Light" w:eastAsia="Times New Roman" w:hAnsi="Merriweather Light" w:cs="Times New Roman"/>
                <w:bCs/>
                <w:color w:val="000000"/>
                <w:kern w:val="0"/>
                <w:sz w:val="18"/>
                <w:szCs w:val="18"/>
                <w14:ligatures w14:val="none"/>
                <w14:numForm w14:val="oldStyle"/>
              </w:rPr>
              <w:t xml:space="preserve">Indien ten gevolge van een ongeval het verzekerde object als totaal verloren wordt beschouwd zullen de kosten van: aanleggen, installeren van alle (technische) apparatuur en toebehoren, inclusief materiaal en verlichting; betimmeringen voor de (technische) apparatuur, zoals houten frames, tafels, wandkasten met laden, vakken, rekken, bekleding, gordijnen </w:t>
            </w:r>
            <w:proofErr w:type="spellStart"/>
            <w:r w:rsidRPr="004F5BCA">
              <w:rPr>
                <w:rFonts w:ascii="Merriweather Light" w:eastAsia="Times New Roman" w:hAnsi="Merriweather Light" w:cs="Times New Roman"/>
                <w:bCs/>
                <w:color w:val="000000"/>
                <w:kern w:val="0"/>
                <w:sz w:val="18"/>
                <w:szCs w:val="18"/>
                <w14:ligatures w14:val="none"/>
                <w14:numForm w14:val="oldStyle"/>
              </w:rPr>
              <w:t>etc</w:t>
            </w:r>
            <w:proofErr w:type="spellEnd"/>
            <w:r w:rsidRPr="004F5BCA">
              <w:rPr>
                <w:rFonts w:ascii="Merriweather Light" w:eastAsia="Times New Roman" w:hAnsi="Merriweather Light" w:cs="Times New Roman"/>
                <w:bCs/>
                <w:color w:val="000000"/>
                <w:kern w:val="0"/>
                <w:sz w:val="18"/>
                <w:szCs w:val="18"/>
                <w14:ligatures w14:val="none"/>
                <w14:numForm w14:val="oldStyle"/>
              </w:rPr>
              <w:t>; inmeten, in- en afregelen van de (technische) apparatuur eveneens onder deze polis worden vergoed, zulks tot een maximum van het verzekerd bedrag, ongeacht of de bij deze polis verzekerde zaken al of niet beschadigd zijn. Eventuele vergoeding als hiervoor bedoeld zal slechts plaatsvinden indien verzekerde naar aanleiding van een verzekerd totaal verlies een nieuw object moet inrichten.</w:t>
            </w:r>
          </w:p>
          <w:p w14:paraId="407DF58E"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lang w:eastAsia="nl-NL"/>
                <w14:ligatures w14:val="none"/>
                <w14:numForm w14:val="oldStyle"/>
              </w:rPr>
            </w:pPr>
          </w:p>
        </w:tc>
      </w:tr>
      <w:tr w:rsidR="004F5BCA" w:rsidRPr="004F5BCA" w14:paraId="146447AE" w14:textId="77777777" w:rsidTr="00B76C65">
        <w:trPr>
          <w:trHeight w:val="141"/>
        </w:trPr>
        <w:tc>
          <w:tcPr>
            <w:tcW w:w="784" w:type="dxa"/>
            <w:tcBorders>
              <w:top w:val="single" w:sz="6" w:space="0" w:color="000000"/>
              <w:left w:val="double" w:sz="6" w:space="0" w:color="auto"/>
              <w:bottom w:val="single" w:sz="6" w:space="0" w:color="000000"/>
            </w:tcBorders>
          </w:tcPr>
          <w:p w14:paraId="6FF3A683" w14:textId="77777777" w:rsidR="004F5BCA" w:rsidRPr="004F5BCA" w:rsidRDefault="004F5BCA" w:rsidP="004F5BCA">
            <w:pPr>
              <w:spacing w:after="0" w:line="255" w:lineRule="atLeast"/>
              <w:jc w:val="center"/>
              <w:rPr>
                <w:rFonts w:ascii="Merriweather Light" w:eastAsia="Times New Roman" w:hAnsi="Merriweather Light" w:cs="Times New Roman"/>
                <w:color w:val="000000"/>
                <w:kern w:val="0"/>
                <w:sz w:val="18"/>
                <w:szCs w:val="18"/>
                <w:lang w:eastAsia="nl-NL"/>
                <w14:ligatures w14:val="none"/>
                <w14:numForm w14:val="oldStyle"/>
              </w:rPr>
            </w:pPr>
            <w:r w:rsidRPr="004F5BCA">
              <w:rPr>
                <w:rFonts w:ascii="Merriweather Light" w:eastAsia="Times New Roman" w:hAnsi="Merriweather Light" w:cs="Times New Roman"/>
                <w:color w:val="000000"/>
                <w:kern w:val="0"/>
                <w:sz w:val="18"/>
                <w:szCs w:val="18"/>
                <w:lang w:eastAsia="nl-NL"/>
                <w14:ligatures w14:val="none"/>
                <w14:numForm w14:val="oldStyle"/>
              </w:rPr>
              <w:lastRenderedPageBreak/>
              <w:t>8.</w:t>
            </w:r>
          </w:p>
        </w:tc>
        <w:tc>
          <w:tcPr>
            <w:tcW w:w="8723" w:type="dxa"/>
            <w:tcBorders>
              <w:top w:val="single" w:sz="6" w:space="0" w:color="000000"/>
              <w:left w:val="double" w:sz="6" w:space="0" w:color="auto"/>
              <w:bottom w:val="single" w:sz="6" w:space="0" w:color="000000"/>
            </w:tcBorders>
          </w:tcPr>
          <w:p w14:paraId="7147ECF1"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Eigen risico’s</w:t>
            </w:r>
          </w:p>
          <w:p w14:paraId="6F59D568"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p>
          <w:p w14:paraId="5931E4B2" w14:textId="77777777" w:rsid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r w:rsidRPr="004F5BCA">
              <w:rPr>
                <w:rFonts w:ascii="Merriweather Light" w:eastAsia="Times New Roman" w:hAnsi="Merriweather Light" w:cs="Times New Roman"/>
                <w:color w:val="000000"/>
                <w:kern w:val="0"/>
                <w:sz w:val="18"/>
                <w:szCs w:val="18"/>
                <w14:ligatures w14:val="none"/>
                <w14:numForm w14:val="oldStyle"/>
              </w:rPr>
              <w:t>€ 5.000,00 per gebeurtenis of reeks van gebeurtenissen door één en dezelfde oorzaak.</w:t>
            </w:r>
          </w:p>
          <w:p w14:paraId="510DAAF5" w14:textId="48A56242"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p>
        </w:tc>
      </w:tr>
      <w:tr w:rsidR="004F5BCA" w:rsidRPr="004F5BCA" w14:paraId="2E0F5E65" w14:textId="77777777" w:rsidTr="00B76C65">
        <w:trPr>
          <w:trHeight w:val="141"/>
        </w:trPr>
        <w:tc>
          <w:tcPr>
            <w:tcW w:w="784" w:type="dxa"/>
            <w:tcBorders>
              <w:top w:val="single" w:sz="6" w:space="0" w:color="000000"/>
              <w:left w:val="double" w:sz="6" w:space="0" w:color="auto"/>
              <w:bottom w:val="single" w:sz="6" w:space="0" w:color="000000"/>
            </w:tcBorders>
          </w:tcPr>
          <w:p w14:paraId="661EAD68" w14:textId="77777777" w:rsidR="004F5BCA" w:rsidRPr="004F5BCA" w:rsidRDefault="004F5BCA" w:rsidP="004F5BCA">
            <w:pPr>
              <w:spacing w:after="0" w:line="255" w:lineRule="atLeast"/>
              <w:jc w:val="center"/>
              <w:rPr>
                <w:rFonts w:ascii="Merriweather Light" w:eastAsia="Times New Roman" w:hAnsi="Merriweather Light" w:cs="Times New Roman"/>
                <w:color w:val="000000"/>
                <w:kern w:val="0"/>
                <w:sz w:val="18"/>
                <w:szCs w:val="18"/>
                <w:lang w:eastAsia="nl-NL"/>
                <w14:ligatures w14:val="none"/>
                <w14:numForm w14:val="oldStyle"/>
              </w:rPr>
            </w:pPr>
            <w:r w:rsidRPr="004F5BCA">
              <w:rPr>
                <w:rFonts w:ascii="Merriweather Light" w:eastAsia="Times New Roman" w:hAnsi="Merriweather Light" w:cs="Times New Roman"/>
                <w:color w:val="000000"/>
                <w:kern w:val="0"/>
                <w:sz w:val="18"/>
                <w:szCs w:val="18"/>
                <w:lang w:eastAsia="nl-NL"/>
                <w14:ligatures w14:val="none"/>
                <w14:numForm w14:val="oldStyle"/>
              </w:rPr>
              <w:t>9.</w:t>
            </w:r>
          </w:p>
        </w:tc>
        <w:tc>
          <w:tcPr>
            <w:tcW w:w="8723" w:type="dxa"/>
            <w:tcBorders>
              <w:top w:val="single" w:sz="6" w:space="0" w:color="000000"/>
              <w:left w:val="double" w:sz="6" w:space="0" w:color="auto"/>
              <w:bottom w:val="single" w:sz="6" w:space="0" w:color="000000"/>
            </w:tcBorders>
          </w:tcPr>
          <w:p w14:paraId="41EF6EC2" w14:textId="77777777" w:rsidR="004F5BCA" w:rsidRPr="004F5BCA" w:rsidRDefault="004F5BCA" w:rsidP="004F5BCA">
            <w:pPr>
              <w:spacing w:after="0" w:line="255" w:lineRule="atLeast"/>
              <w:rPr>
                <w:rFonts w:ascii="Merriweather Light" w:eastAsia="Times New Roman" w:hAnsi="Merriweather Light" w:cs="Times New Roman"/>
                <w:b/>
                <w:color w:val="000000"/>
                <w:kern w:val="0"/>
                <w:sz w:val="18"/>
                <w:szCs w:val="18"/>
                <w14:ligatures w14:val="none"/>
                <w14:numForm w14:val="oldStyle"/>
              </w:rPr>
            </w:pPr>
            <w:r w:rsidRPr="004F5BCA">
              <w:rPr>
                <w:rFonts w:ascii="Merriweather Light" w:eastAsia="Times New Roman" w:hAnsi="Merriweather Light" w:cs="Times New Roman"/>
                <w:b/>
                <w:color w:val="000000"/>
                <w:kern w:val="0"/>
                <w:sz w:val="18"/>
                <w:szCs w:val="18"/>
                <w14:ligatures w14:val="none"/>
                <w14:numForm w14:val="oldStyle"/>
              </w:rPr>
              <w:t>Premie’s</w:t>
            </w:r>
          </w:p>
          <w:p w14:paraId="1978EB9C"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lang w:eastAsia="nl-NL"/>
                <w14:ligatures w14:val="none"/>
                <w14:numForm w14:val="oldStyle"/>
              </w:rPr>
            </w:pPr>
            <w:r w:rsidRPr="004F5BCA">
              <w:rPr>
                <w:rFonts w:ascii="Merriweather Light" w:eastAsia="Times New Roman" w:hAnsi="Merriweather Light" w:cs="Times New Roman"/>
                <w:color w:val="000000"/>
                <w:kern w:val="0"/>
                <w:sz w:val="18"/>
                <w:szCs w:val="18"/>
                <w:lang w:eastAsia="nl-NL"/>
                <w14:ligatures w14:val="none"/>
                <w14:numForm w14:val="oldStyle"/>
              </w:rPr>
              <w:t>De premie per object dient als volgt te worden opgebouwd. De objectenspecificatie is hiertoe als inschrijfstaat ingericht.</w:t>
            </w:r>
          </w:p>
          <w:p w14:paraId="6E5E55E9" w14:textId="77777777"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lang w:eastAsia="nl-NL"/>
                <w14:ligatures w14:val="none"/>
                <w14:numForm w14:val="oldStyle"/>
              </w:rPr>
            </w:pPr>
            <w:r w:rsidRPr="004F5BCA">
              <w:rPr>
                <w:rFonts w:ascii="Merriweather Light" w:eastAsia="Times New Roman" w:hAnsi="Merriweather Light" w:cs="Times New Roman"/>
                <w:color w:val="000000"/>
                <w:kern w:val="0"/>
                <w:sz w:val="18"/>
                <w:szCs w:val="18"/>
                <w:lang w:eastAsia="nl-NL"/>
                <w14:ligatures w14:val="none"/>
                <w14:numForm w14:val="oldStyle"/>
              </w:rPr>
              <w:t>X% over de totale verzekerde waarde bij een eigen risico van € 5.000.</w:t>
            </w:r>
          </w:p>
          <w:p w14:paraId="4F9BFB95" w14:textId="1B9545D9" w:rsidR="004F5BCA" w:rsidRPr="004F5BCA" w:rsidRDefault="004F5BCA" w:rsidP="004F5BCA">
            <w:pPr>
              <w:spacing w:after="0" w:line="255" w:lineRule="atLeast"/>
              <w:rPr>
                <w:rFonts w:ascii="Merriweather Light" w:eastAsia="Times New Roman" w:hAnsi="Merriweather Light" w:cs="Times New Roman"/>
                <w:color w:val="000000"/>
                <w:kern w:val="0"/>
                <w:sz w:val="18"/>
                <w:szCs w:val="18"/>
                <w14:ligatures w14:val="none"/>
                <w14:numForm w14:val="oldStyle"/>
              </w:rPr>
            </w:pPr>
          </w:p>
        </w:tc>
      </w:tr>
    </w:tbl>
    <w:p w14:paraId="2DFC1921" w14:textId="77777777" w:rsidR="006B61D1" w:rsidRDefault="006B61D1"/>
    <w:sectPr w:rsidR="006B61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91CE" w14:textId="77777777" w:rsidR="00FF1A7F" w:rsidRDefault="00FF1A7F" w:rsidP="004F5BCA">
      <w:pPr>
        <w:spacing w:after="0" w:line="240" w:lineRule="auto"/>
      </w:pPr>
      <w:r>
        <w:separator/>
      </w:r>
    </w:p>
  </w:endnote>
  <w:endnote w:type="continuationSeparator" w:id="0">
    <w:p w14:paraId="4B7ED946" w14:textId="77777777" w:rsidR="00FF1A7F" w:rsidRDefault="00FF1A7F" w:rsidP="004F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3348" w14:textId="77777777" w:rsidR="00FF1A7F" w:rsidRDefault="00FF1A7F" w:rsidP="004F5BCA">
      <w:pPr>
        <w:spacing w:after="0" w:line="240" w:lineRule="auto"/>
      </w:pPr>
      <w:r>
        <w:separator/>
      </w:r>
    </w:p>
  </w:footnote>
  <w:footnote w:type="continuationSeparator" w:id="0">
    <w:p w14:paraId="60186E85" w14:textId="77777777" w:rsidR="00FF1A7F" w:rsidRDefault="00FF1A7F" w:rsidP="004F5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CCD0" w14:textId="447C826F" w:rsidR="004F5BCA" w:rsidRDefault="004F5BCA">
    <w:pPr>
      <w:pStyle w:val="Koptekst"/>
    </w:pPr>
    <w:r>
      <w:rPr>
        <w:rFonts w:ascii="Times New Roman"/>
        <w:noProof/>
        <w:sz w:val="13"/>
      </w:rPr>
      <w:drawing>
        <wp:anchor distT="0" distB="0" distL="114300" distR="114300" simplePos="0" relativeHeight="251659264" behindDoc="0" locked="0" layoutInCell="1" allowOverlap="1" wp14:anchorId="4AC10EAF" wp14:editId="30547302">
          <wp:simplePos x="0" y="0"/>
          <wp:positionH relativeFrom="margin">
            <wp:posOffset>0</wp:posOffset>
          </wp:positionH>
          <wp:positionV relativeFrom="paragraph">
            <wp:posOffset>-122555</wp:posOffset>
          </wp:positionV>
          <wp:extent cx="3004820" cy="414020"/>
          <wp:effectExtent l="0" t="0" r="5080" b="5080"/>
          <wp:wrapSquare wrapText="bothSides"/>
          <wp:docPr id="967299104"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p>
  <w:p w14:paraId="18AEA41C" w14:textId="77777777" w:rsidR="004F5BCA" w:rsidRDefault="004F5B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904"/>
    <w:multiLevelType w:val="hybridMultilevel"/>
    <w:tmpl w:val="3112E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82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CA"/>
    <w:rsid w:val="000425D2"/>
    <w:rsid w:val="00050B8A"/>
    <w:rsid w:val="001216BB"/>
    <w:rsid w:val="00294BBF"/>
    <w:rsid w:val="003F0118"/>
    <w:rsid w:val="004F5BCA"/>
    <w:rsid w:val="00614B5A"/>
    <w:rsid w:val="006B61D1"/>
    <w:rsid w:val="0070227C"/>
    <w:rsid w:val="0089675E"/>
    <w:rsid w:val="00914C98"/>
    <w:rsid w:val="00921ED9"/>
    <w:rsid w:val="00B34735"/>
    <w:rsid w:val="00C76CDD"/>
    <w:rsid w:val="00CD1341"/>
    <w:rsid w:val="00E47C03"/>
    <w:rsid w:val="00E71B64"/>
    <w:rsid w:val="00EE2D92"/>
    <w:rsid w:val="00F00A47"/>
    <w:rsid w:val="00F10A67"/>
    <w:rsid w:val="00FB3112"/>
    <w:rsid w:val="00FF1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2B26"/>
  <w15:chartTrackingRefBased/>
  <w15:docId w15:val="{7E11E706-F7E9-46E5-996C-C675029B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4C9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914C9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semiHidden/>
    <w:unhideWhenUsed/>
    <w:qFormat/>
    <w:rsid w:val="004F5B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B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B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B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B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B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B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MVB">
    <w:name w:val="Kop 1 MVB"/>
    <w:basedOn w:val="Kop1"/>
    <w:next w:val="StandaardMVB"/>
    <w:link w:val="Kop1MVBChar"/>
    <w:qFormat/>
    <w:rsid w:val="00914C98"/>
    <w:rPr>
      <w:rFonts w:ascii="Arial" w:hAnsi="Arial" w:cs="Arial"/>
      <w:b/>
      <w:bCs/>
      <w:sz w:val="20"/>
      <w:szCs w:val="20"/>
    </w:rPr>
  </w:style>
  <w:style w:type="character" w:customStyle="1" w:styleId="Kop1MVBChar">
    <w:name w:val="Kop 1 MVB Char"/>
    <w:basedOn w:val="Kop1Char"/>
    <w:link w:val="Kop1MVB"/>
    <w:rsid w:val="00914C98"/>
    <w:rPr>
      <w:rFonts w:ascii="Arial" w:eastAsiaTheme="majorEastAsia" w:hAnsi="Arial" w:cs="Arial"/>
      <w:b/>
      <w:bCs/>
      <w:color w:val="0F4761" w:themeColor="accent1" w:themeShade="BF"/>
      <w:sz w:val="20"/>
      <w:szCs w:val="20"/>
    </w:rPr>
  </w:style>
  <w:style w:type="character" w:customStyle="1" w:styleId="Kop1Char">
    <w:name w:val="Kop 1 Char"/>
    <w:basedOn w:val="Standaardalinea-lettertype"/>
    <w:link w:val="Kop1"/>
    <w:uiPriority w:val="9"/>
    <w:rsid w:val="00914C98"/>
    <w:rPr>
      <w:rFonts w:asciiTheme="majorHAnsi" w:eastAsiaTheme="majorEastAsia" w:hAnsiTheme="majorHAnsi" w:cstheme="majorBidi"/>
      <w:color w:val="0F4761" w:themeColor="accent1" w:themeShade="BF"/>
      <w:sz w:val="32"/>
      <w:szCs w:val="32"/>
    </w:rPr>
  </w:style>
  <w:style w:type="paragraph" w:customStyle="1" w:styleId="Kop2MVB">
    <w:name w:val="Kop 2 MVB"/>
    <w:basedOn w:val="Kop2"/>
    <w:next w:val="StandaardMVB"/>
    <w:link w:val="Kop2MVBChar"/>
    <w:qFormat/>
    <w:rsid w:val="0070227C"/>
    <w:rPr>
      <w:rFonts w:ascii="Arial" w:hAnsi="Arial"/>
      <w:i/>
      <w:iCs/>
      <w:color w:val="0070C0"/>
      <w:sz w:val="20"/>
      <w:lang w:eastAsia="nl-NL"/>
    </w:rPr>
  </w:style>
  <w:style w:type="character" w:customStyle="1" w:styleId="Kop2MVBChar">
    <w:name w:val="Kop 2 MVB Char"/>
    <w:basedOn w:val="Standaardalinea-lettertype"/>
    <w:link w:val="Kop2MVB"/>
    <w:rsid w:val="0070227C"/>
    <w:rPr>
      <w:rFonts w:ascii="Arial" w:eastAsiaTheme="majorEastAsia" w:hAnsi="Arial" w:cstheme="majorBidi"/>
      <w:i/>
      <w:iCs/>
      <w:color w:val="0070C0"/>
      <w:sz w:val="20"/>
      <w:szCs w:val="26"/>
      <w:lang w:eastAsia="nl-NL"/>
    </w:rPr>
  </w:style>
  <w:style w:type="paragraph" w:styleId="Inhopg3">
    <w:name w:val="toc 3"/>
    <w:basedOn w:val="Standaard"/>
    <w:next w:val="Standaard"/>
    <w:autoRedefine/>
    <w:uiPriority w:val="39"/>
    <w:semiHidden/>
    <w:unhideWhenUsed/>
    <w:rsid w:val="00914C98"/>
    <w:pPr>
      <w:spacing w:after="100"/>
      <w:ind w:left="440"/>
    </w:pPr>
  </w:style>
  <w:style w:type="character" w:customStyle="1" w:styleId="Kop2Char">
    <w:name w:val="Kop 2 Char"/>
    <w:basedOn w:val="Standaardalinea-lettertype"/>
    <w:link w:val="Kop2"/>
    <w:uiPriority w:val="9"/>
    <w:semiHidden/>
    <w:rsid w:val="00914C98"/>
    <w:rPr>
      <w:rFonts w:asciiTheme="majorHAnsi" w:eastAsiaTheme="majorEastAsia" w:hAnsiTheme="majorHAnsi" w:cstheme="majorBidi"/>
      <w:color w:val="0F4761" w:themeColor="accent1" w:themeShade="BF"/>
      <w:sz w:val="26"/>
      <w:szCs w:val="26"/>
    </w:rPr>
  </w:style>
  <w:style w:type="paragraph" w:customStyle="1" w:styleId="StandaardMVB">
    <w:name w:val="Standaard MVB"/>
    <w:basedOn w:val="Geenafstand"/>
    <w:link w:val="StandaardMVBChar"/>
    <w:qFormat/>
    <w:rsid w:val="0070227C"/>
    <w:rPr>
      <w:rFonts w:ascii="Arial" w:hAnsi="Arial"/>
      <w:sz w:val="20"/>
    </w:rPr>
  </w:style>
  <w:style w:type="character" w:customStyle="1" w:styleId="StandaardMVBChar">
    <w:name w:val="Standaard MVB Char"/>
    <w:basedOn w:val="Standaardalinea-lettertype"/>
    <w:link w:val="StandaardMVB"/>
    <w:rsid w:val="0070227C"/>
    <w:rPr>
      <w:rFonts w:ascii="Arial" w:hAnsi="Arial"/>
      <w:sz w:val="20"/>
    </w:rPr>
  </w:style>
  <w:style w:type="paragraph" w:styleId="Geenafstand">
    <w:name w:val="No Spacing"/>
    <w:uiPriority w:val="1"/>
    <w:qFormat/>
    <w:rsid w:val="0070227C"/>
    <w:pPr>
      <w:spacing w:after="0" w:line="240" w:lineRule="auto"/>
    </w:pPr>
  </w:style>
  <w:style w:type="character" w:customStyle="1" w:styleId="Kop3Char">
    <w:name w:val="Kop 3 Char"/>
    <w:basedOn w:val="Standaardalinea-lettertype"/>
    <w:link w:val="Kop3"/>
    <w:uiPriority w:val="9"/>
    <w:semiHidden/>
    <w:rsid w:val="004F5B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B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B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B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B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B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BCA"/>
    <w:rPr>
      <w:rFonts w:eastAsiaTheme="majorEastAsia" w:cstheme="majorBidi"/>
      <w:color w:val="272727" w:themeColor="text1" w:themeTint="D8"/>
    </w:rPr>
  </w:style>
  <w:style w:type="paragraph" w:styleId="Titel">
    <w:name w:val="Title"/>
    <w:basedOn w:val="Standaard"/>
    <w:next w:val="Standaard"/>
    <w:link w:val="TitelChar"/>
    <w:uiPriority w:val="10"/>
    <w:qFormat/>
    <w:rsid w:val="004F5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B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B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B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B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BCA"/>
    <w:rPr>
      <w:i/>
      <w:iCs/>
      <w:color w:val="404040" w:themeColor="text1" w:themeTint="BF"/>
    </w:rPr>
  </w:style>
  <w:style w:type="paragraph" w:styleId="Lijstalinea">
    <w:name w:val="List Paragraph"/>
    <w:basedOn w:val="Standaard"/>
    <w:uiPriority w:val="34"/>
    <w:qFormat/>
    <w:rsid w:val="004F5BCA"/>
    <w:pPr>
      <w:ind w:left="720"/>
      <w:contextualSpacing/>
    </w:pPr>
  </w:style>
  <w:style w:type="character" w:styleId="Intensievebenadrukking">
    <w:name w:val="Intense Emphasis"/>
    <w:basedOn w:val="Standaardalinea-lettertype"/>
    <w:uiPriority w:val="21"/>
    <w:qFormat/>
    <w:rsid w:val="004F5BCA"/>
    <w:rPr>
      <w:i/>
      <w:iCs/>
      <w:color w:val="0F4761" w:themeColor="accent1" w:themeShade="BF"/>
    </w:rPr>
  </w:style>
  <w:style w:type="paragraph" w:styleId="Duidelijkcitaat">
    <w:name w:val="Intense Quote"/>
    <w:basedOn w:val="Standaard"/>
    <w:next w:val="Standaard"/>
    <w:link w:val="DuidelijkcitaatChar"/>
    <w:uiPriority w:val="30"/>
    <w:qFormat/>
    <w:rsid w:val="004F5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BCA"/>
    <w:rPr>
      <w:i/>
      <w:iCs/>
      <w:color w:val="0F4761" w:themeColor="accent1" w:themeShade="BF"/>
    </w:rPr>
  </w:style>
  <w:style w:type="character" w:styleId="Intensieveverwijzing">
    <w:name w:val="Intense Reference"/>
    <w:basedOn w:val="Standaardalinea-lettertype"/>
    <w:uiPriority w:val="32"/>
    <w:qFormat/>
    <w:rsid w:val="004F5BCA"/>
    <w:rPr>
      <w:b/>
      <w:bCs/>
      <w:smallCaps/>
      <w:color w:val="0F4761" w:themeColor="accent1" w:themeShade="BF"/>
      <w:spacing w:val="5"/>
    </w:rPr>
  </w:style>
  <w:style w:type="paragraph" w:styleId="Koptekst">
    <w:name w:val="header"/>
    <w:basedOn w:val="Standaard"/>
    <w:link w:val="KoptekstChar"/>
    <w:uiPriority w:val="99"/>
    <w:unhideWhenUsed/>
    <w:rsid w:val="004F5B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5BCA"/>
  </w:style>
  <w:style w:type="paragraph" w:styleId="Voettekst">
    <w:name w:val="footer"/>
    <w:basedOn w:val="Standaard"/>
    <w:link w:val="VoettekstChar"/>
    <w:uiPriority w:val="99"/>
    <w:unhideWhenUsed/>
    <w:rsid w:val="004F5B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Bekkum - Mul</dc:creator>
  <cp:keywords/>
  <dc:description/>
  <cp:lastModifiedBy>Victor van der Vliet</cp:lastModifiedBy>
  <cp:revision>2</cp:revision>
  <dcterms:created xsi:type="dcterms:W3CDTF">2026-06-22T13:35:00Z</dcterms:created>
  <dcterms:modified xsi:type="dcterms:W3CDTF">2026-06-22T13:35:00Z</dcterms:modified>
</cp:coreProperties>
</file>