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B4B" w:rsidRDefault="00000000">
      <w:pPr>
        <w:pStyle w:val="Kop1"/>
        <w:pBdr>
          <w:bottom w:val="single" w:sz="6" w:space="4" w:color="2E75B6"/>
        </w:pBdr>
      </w:pPr>
      <w:r>
        <w:t>Bijlage 3. Programma van Eisen</w:t>
      </w:r>
    </w:p>
    <w:p w:rsidR="002D1B4B" w:rsidRDefault="002D1B4B">
      <w:pPr>
        <w:pStyle w:val="Kop2"/>
      </w:pPr>
    </w:p>
    <w:tbl>
      <w:tblPr>
        <w:tblStyle w:val="a0"/>
        <w:tblW w:w="9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000"/>
        <w:gridCol w:w="5660"/>
        <w:gridCol w:w="1200"/>
      </w:tblGrid>
      <w:tr w:rsidR="002D1B4B">
        <w:trPr>
          <w:tblHeader/>
        </w:trPr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Categorie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gramStart"/>
            <w:r>
              <w:rPr>
                <w:b/>
                <w:bCs/>
                <w:sz w:val="20"/>
                <w:szCs w:val="20"/>
              </w:rPr>
              <w:t>Eis /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Vereiste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Type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E-01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biedt volledige ondersteuning van de Microsoft-stack (</w:t>
            </w:r>
            <w:proofErr w:type="spellStart"/>
            <w:r>
              <w:rPr>
                <w:sz w:val="20"/>
                <w:szCs w:val="20"/>
              </w:rPr>
              <w:t>Defender</w:t>
            </w:r>
            <w:proofErr w:type="spellEnd"/>
            <w:r>
              <w:rPr>
                <w:sz w:val="20"/>
                <w:szCs w:val="20"/>
              </w:rPr>
              <w:t xml:space="preserve"> XDR, Microsoft </w:t>
            </w:r>
            <w:proofErr w:type="spellStart"/>
            <w:r>
              <w:rPr>
                <w:sz w:val="20"/>
                <w:szCs w:val="20"/>
              </w:rPr>
              <w:t>Sentinel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Entra</w:t>
            </w:r>
            <w:proofErr w:type="spellEnd"/>
            <w:r>
              <w:rPr>
                <w:sz w:val="20"/>
                <w:szCs w:val="20"/>
              </w:rPr>
              <w:t xml:space="preserve"> ID e.d.).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E-02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De oplossing ondersteunt zowel </w:t>
            </w:r>
            <w:proofErr w:type="spellStart"/>
            <w:r>
              <w:rPr>
                <w:sz w:val="20"/>
                <w:szCs w:val="20"/>
              </w:rPr>
              <w:t>cloud</w:t>
            </w:r>
            <w:proofErr w:type="spellEnd"/>
            <w:r>
              <w:rPr>
                <w:sz w:val="20"/>
                <w:szCs w:val="20"/>
              </w:rPr>
              <w:t>- als on-</w:t>
            </w:r>
            <w:proofErr w:type="spellStart"/>
            <w:r>
              <w:rPr>
                <w:sz w:val="20"/>
                <w:szCs w:val="20"/>
              </w:rPr>
              <w:t>premises</w:t>
            </w:r>
            <w:proofErr w:type="spellEnd"/>
            <w:r>
              <w:rPr>
                <w:sz w:val="20"/>
                <w:szCs w:val="20"/>
              </w:rPr>
              <w:t xml:space="preserve"> omgevingen. Ondersteuning van OT-monitoring is een pré.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E-03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heeft aantoonbare ervaring met omgevingen van vergelijkbare omvang (circa 2.000 gebruikers).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E-04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oplossing ondersteunt hybride omgevingen (on-</w:t>
            </w:r>
            <w:proofErr w:type="spellStart"/>
            <w:r>
              <w:rPr>
                <w:sz w:val="20"/>
                <w:szCs w:val="20"/>
              </w:rPr>
              <w:t>premise</w:t>
            </w:r>
            <w:proofErr w:type="spellEnd"/>
            <w:r>
              <w:rPr>
                <w:sz w:val="20"/>
                <w:szCs w:val="20"/>
              </w:rPr>
              <w:t xml:space="preserve"> en </w:t>
            </w:r>
            <w:proofErr w:type="spellStart"/>
            <w:r>
              <w:rPr>
                <w:sz w:val="20"/>
                <w:szCs w:val="20"/>
              </w:rPr>
              <w:t>cloud</w:t>
            </w:r>
            <w:proofErr w:type="spellEnd"/>
            <w:r>
              <w:rPr>
                <w:sz w:val="20"/>
                <w:szCs w:val="20"/>
              </w:rPr>
              <w:t>) en integratie met bestaande securitytools.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Detectie vindt plaats op netwerk-, </w:t>
            </w:r>
            <w:proofErr w:type="spellStart"/>
            <w:r>
              <w:rPr>
                <w:sz w:val="20"/>
                <w:szCs w:val="20"/>
              </w:rPr>
              <w:t>endpoint</w:t>
            </w:r>
            <w:proofErr w:type="spellEnd"/>
            <w:r>
              <w:rPr>
                <w:sz w:val="20"/>
                <w:szCs w:val="20"/>
              </w:rPr>
              <w:t xml:space="preserve">- en applicatieniveau (conform de Gartner SOC </w:t>
            </w:r>
            <w:proofErr w:type="spellStart"/>
            <w:r>
              <w:rPr>
                <w:sz w:val="20"/>
                <w:szCs w:val="20"/>
              </w:rPr>
              <w:t>Visibility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Triad</w:t>
            </w:r>
            <w:proofErr w:type="spellEnd"/>
            <w:r>
              <w:rPr>
                <w:sz w:val="20"/>
                <w:szCs w:val="20"/>
              </w:rPr>
              <w:t>: NDR, EDR en SIEM/UEBA).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E-06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Scope &amp; Techniek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heeft ervaring met OT-security (ICS/SCADA/</w:t>
            </w:r>
            <w:proofErr w:type="spellStart"/>
            <w:r>
              <w:rPr>
                <w:sz w:val="20"/>
                <w:szCs w:val="20"/>
              </w:rPr>
              <w:t>IoT</w:t>
            </w:r>
            <w:proofErr w:type="spellEnd"/>
            <w:r>
              <w:rPr>
                <w:sz w:val="20"/>
                <w:szCs w:val="20"/>
              </w:rPr>
              <w:t>/IACS).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385724"/>
                <w:sz w:val="20"/>
                <w:szCs w:val="20"/>
              </w:rPr>
              <w:t>Wens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E-07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levert 24/7 monitoring van security events.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E-08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Security events worden gecorreleerd via SIEM-functionaliteit.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E-09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De leverancier verzorgt actieve triage van meldingen (bijv. op basis van </w:t>
            </w:r>
            <w:proofErr w:type="spellStart"/>
            <w:r>
              <w:rPr>
                <w:sz w:val="20"/>
                <w:szCs w:val="20"/>
              </w:rPr>
              <w:t>use</w:t>
            </w:r>
            <w:proofErr w:type="spellEnd"/>
            <w:r>
              <w:rPr>
                <w:sz w:val="20"/>
                <w:szCs w:val="20"/>
              </w:rPr>
              <w:t xml:space="preserve">-cases, historische gebeurtenissen en omgevingskennis), inclusief het reduceren van </w:t>
            </w:r>
            <w:proofErr w:type="spellStart"/>
            <w:r>
              <w:rPr>
                <w:sz w:val="20"/>
                <w:szCs w:val="20"/>
              </w:rPr>
              <w:t>false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positives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E-10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heeft aantoonbare ervaring met het tunen, onderhouden en aanmaken van nieuwe detectieregels.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E-11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oplossing maakt gebruik van actuele dreigingsinformatie (</w:t>
            </w:r>
            <w:proofErr w:type="spellStart"/>
            <w:r>
              <w:rPr>
                <w:sz w:val="20"/>
                <w:szCs w:val="20"/>
              </w:rPr>
              <w:t>threat</w:t>
            </w:r>
            <w:proofErr w:type="spellEnd"/>
            <w:r>
              <w:rPr>
                <w:sz w:val="20"/>
                <w:szCs w:val="20"/>
              </w:rPr>
              <w:t xml:space="preserve"> intelligence feeds) en werkt proactief, niet alleen reactief.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E-12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Monitoring &amp; Detectie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oplossing ondersteunt logverzameling uit meerdere bronnen.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E-13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levert incident response ondersteuning.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E-14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Incidenten worden helder geclassificeerd (bijv. </w:t>
            </w:r>
            <w:proofErr w:type="gramStart"/>
            <w:r>
              <w:rPr>
                <w:sz w:val="20"/>
                <w:szCs w:val="20"/>
              </w:rPr>
              <w:t>Critical /</w:t>
            </w:r>
            <w:proofErr w:type="gramEnd"/>
            <w:r>
              <w:rPr>
                <w:sz w:val="20"/>
                <w:szCs w:val="20"/>
              </w:rPr>
              <w:t xml:space="preserve"> High / Medium / Low).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Relevante incidenten worden tijdig geëscaleerd conform een overeengekomen escalatiematrix.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E-16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Bij incidentmeldingen levert de leverancier een duidelijke analyse en duiding (wat is er gebeurd, wat is de impact, welk advies wordt gegeven).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lastRenderedPageBreak/>
              <w:t>E-17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 richting eindgebruikers verloopt uitsluitend via de interne ICT-organisatie; de leverancier communiceert niet rechtstreeks met eindgebruikers.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E-18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Incident &amp; Response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MDR richt zich primair op detectie, analyse en opvolging richting interne ICT. Waar mogelijk kunnen afspraken worden gemaakt over actieve opvolging.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E-19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stelt vaste aanspreekpunten beschikbaar voor operationele, tactische en technische afstemming.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E-20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is buiten kantooruren bereikbaar voor kritieke incidenten.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E-21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 verloopt in het Nederlands en is begrijpelijk voor de doelgroep (o.a. systeembeheerders en netwerkbeheerders, niet alleen informatiebeveiligingsspecialisten).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E-22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Communicatie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verzorgt maandelijkse service-reviews en periodieke overleggen over trends, ontwikkelingen, technologieën en verbeterpunten.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E-23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Rapportage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levert maandelijkse rapportages met trends, risico's en dreigingen.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E-24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Rapportage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maandrapportage geeft inzicht in: aantal incidenten (incl. prioriteit), soorten incidenten, aanvallen/dreigingen en actieve en terugkerende kwetsbaarheden.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Rapportage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biedt transparantie over gebruikte detectiemechanismen en het opvolgproces.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E-26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Rapportage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De leverancier levert maandelijkse externe </w:t>
            </w:r>
            <w:proofErr w:type="gramStart"/>
            <w:r>
              <w:rPr>
                <w:sz w:val="20"/>
                <w:szCs w:val="20"/>
              </w:rPr>
              <w:t>pentests /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vulnerability</w:t>
            </w:r>
            <w:proofErr w:type="spellEnd"/>
            <w:r>
              <w:rPr>
                <w:sz w:val="20"/>
                <w:szCs w:val="20"/>
              </w:rPr>
              <w:t xml:space="preserve"> scans op externe adressen.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E-27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Rapportage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levert rapportages over security incidenten.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E-28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heeft aantoonbare ervaring binnen (semi-)overheidsorganisaties.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E-29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heeft kennis van en aantoonbare ervaring met BIO2, ENSIA, AVG en NIS2.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E-30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Alle dataverwerking en </w:t>
            </w:r>
            <w:proofErr w:type="spellStart"/>
            <w:r>
              <w:rPr>
                <w:sz w:val="20"/>
                <w:szCs w:val="20"/>
              </w:rPr>
              <w:t>logging</w:t>
            </w:r>
            <w:proofErr w:type="spellEnd"/>
            <w:r>
              <w:rPr>
                <w:sz w:val="20"/>
                <w:szCs w:val="20"/>
              </w:rPr>
              <w:t xml:space="preserve"> vindt plaats binnen de Europese Unie.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E-31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inrichting van de dienstverlening ondersteunt audit- en verantwoordingsdoeleinden.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E-32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begrijpt de beschikbaarheidseisen van publieke dienstverlening.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E-33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proofErr w:type="spellStart"/>
            <w:r>
              <w:rPr>
                <w:sz w:val="20"/>
                <w:szCs w:val="20"/>
              </w:rPr>
              <w:t>Governance</w:t>
            </w:r>
            <w:proofErr w:type="spellEnd"/>
            <w:r>
              <w:rPr>
                <w:sz w:val="20"/>
                <w:szCs w:val="20"/>
              </w:rPr>
              <w:t xml:space="preserve"> &amp; Compliance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Het platform bevat bij voorkeur een module waarmee compliance aan BIO2, ENSIA, AVG en NIS2 meetbaar is.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385724"/>
                <w:sz w:val="20"/>
                <w:szCs w:val="20"/>
              </w:rPr>
              <w:t>Wens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E-34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Regie &amp; Verbetering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Er is een duidelijke verantwoordelijkheidsverdeling tussen de MDR-leverancier en de afnemende organisatie vastgelegd.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Regie &amp; Verbetering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denkt proactief mee over verbeteringen. De afnemende organisatie blijft zelf verantwoordelijk voor het wel of niet doorvoeren ervan.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lastRenderedPageBreak/>
              <w:t>E-36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Regie &amp; Verbetering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ondersteunt de opdrachtgever bij het verhogen van de volwassenheid van security monitoring.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E-37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Regie &amp; Verbetering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borgt de continuïteit van dienstverlening en kennisoverdracht.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E-38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Contractueel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besteedt jaarlijks minimaal 2% van de opdrachtwaarde aan werkplekervaringen of gelijkwaardige oplossingen (</w:t>
            </w:r>
            <w:proofErr w:type="spellStart"/>
            <w:r>
              <w:rPr>
                <w:sz w:val="20"/>
                <w:szCs w:val="20"/>
              </w:rPr>
              <w:t>social</w:t>
            </w:r>
            <w:proofErr w:type="spellEnd"/>
            <w:r>
              <w:rPr>
                <w:sz w:val="20"/>
                <w:szCs w:val="20"/>
              </w:rPr>
              <w:t xml:space="preserve"> return). Ondernemers op trede 2 of hoger van de PSO-ladder zijn vrijgesteld.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E-39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Contractueel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De leverancier behandelt alle verstrekte informatie vertrouwelijk conform de AVG/UAVG en sluit een verwerkersovereenkomst.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  <w:tr w:rsidR="002D1B4B"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b/>
                <w:bCs/>
                <w:sz w:val="20"/>
                <w:szCs w:val="20"/>
              </w:rPr>
              <w:t>E-40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>Contractueel</w:t>
            </w:r>
          </w:p>
        </w:tc>
        <w:tc>
          <w:tcPr>
            <w:tcW w:w="5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000000">
            <w:r>
              <w:rPr>
                <w:sz w:val="20"/>
                <w:szCs w:val="20"/>
              </w:rPr>
              <w:t xml:space="preserve">De leverancier dient bij inschrijving een specificatie in van de aangeboden ICT-prestatie inclusief overzicht van inbegrepen software, </w:t>
            </w:r>
            <w:proofErr w:type="spellStart"/>
            <w:r>
              <w:rPr>
                <w:sz w:val="20"/>
                <w:szCs w:val="20"/>
              </w:rPr>
              <w:t>derdenprogrammatuur</w:t>
            </w:r>
            <w:proofErr w:type="spellEnd"/>
            <w:r>
              <w:rPr>
                <w:sz w:val="20"/>
                <w:szCs w:val="20"/>
              </w:rPr>
              <w:t xml:space="preserve"> en dienstverlening.</w:t>
            </w:r>
          </w:p>
        </w:tc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D1B4B" w:rsidRDefault="00C8109D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Eis</w:t>
            </w:r>
          </w:p>
        </w:tc>
      </w:tr>
    </w:tbl>
    <w:p w:rsidR="002D1B4B" w:rsidRDefault="002D1B4B">
      <w:pPr>
        <w:pageBreakBefore/>
      </w:pPr>
    </w:p>
    <w:p w:rsidR="002D1B4B" w:rsidRDefault="002D1B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</w:pPr>
    </w:p>
    <w:sectPr w:rsidR="002D1B4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4B73" w:rsidRDefault="00614B73">
      <w:r>
        <w:separator/>
      </w:r>
    </w:p>
  </w:endnote>
  <w:endnote w:type="continuationSeparator" w:id="0">
    <w:p w:rsidR="00614B73" w:rsidRDefault="0061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F212E05-2FFF-F447-9D25-CD1503985CA0}"/>
    <w:embedBold r:id="rId2" w:fontKey="{E5C754D7-5AAE-AC49-ACFE-E73742680705}"/>
    <w:embedItalic r:id="rId3" w:fontKey="{47129D04-4489-364E-B5A5-4DE6B5FD27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E10C907-205B-A24F-887C-8F08A34A3E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ADC9479-AE53-0F42-93D0-75E811C4C67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D74366DB-1AB8-C547-8207-09B6A30DFE3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70F656A6-6CF8-BB43-87A7-72E09F66C0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1B4B" w:rsidRDefault="00000000">
    <w:pPr>
      <w:pBdr>
        <w:top w:val="single" w:sz="4" w:space="4" w:color="CCCCCC"/>
      </w:pBdr>
      <w:jc w:val="right"/>
    </w:pPr>
    <w:r>
      <w:rPr>
        <w:color w:val="808080"/>
        <w:sz w:val="18"/>
        <w:szCs w:val="18"/>
      </w:rPr>
      <w:t xml:space="preserve">Pagina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C8109D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van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NUMPAGES</w:instrText>
    </w:r>
    <w:r>
      <w:rPr>
        <w:color w:val="808080"/>
        <w:sz w:val="18"/>
        <w:szCs w:val="18"/>
      </w:rPr>
      <w:fldChar w:fldCharType="separate"/>
    </w:r>
    <w:r w:rsidR="00C8109D">
      <w:rPr>
        <w:noProof/>
        <w:color w:val="808080"/>
        <w:sz w:val="18"/>
        <w:szCs w:val="18"/>
      </w:rPr>
      <w:t>2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4B73" w:rsidRDefault="00614B73">
      <w:r>
        <w:separator/>
      </w:r>
    </w:p>
  </w:footnote>
  <w:footnote w:type="continuationSeparator" w:id="0">
    <w:p w:rsidR="00614B73" w:rsidRDefault="0061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1B4B" w:rsidRDefault="002D1B4B">
    <w:pPr>
      <w:pBdr>
        <w:bottom w:val="single" w:sz="6" w:space="4" w:color="2E75B6"/>
      </w:pBdr>
      <w:tabs>
        <w:tab w:val="right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B1CCF"/>
    <w:multiLevelType w:val="multilevel"/>
    <w:tmpl w:val="DA40551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9161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B4B"/>
    <w:rsid w:val="002D1B4B"/>
    <w:rsid w:val="00614B73"/>
    <w:rsid w:val="00C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C4614B"/>
  <w15:docId w15:val="{6346E059-E7AD-2A41-B421-CFF37C9B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1F497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80" w:after="80"/>
      <w:outlineLvl w:val="2"/>
    </w:pPr>
    <w:rPr>
      <w:b/>
      <w:bCs/>
      <w:color w:val="404040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4781</Characters>
  <Application>Microsoft Office Word</Application>
  <DocSecurity>0</DocSecurity>
  <Lines>111</Lines>
  <Paragraphs>42</Paragraphs>
  <ScaleCrop>false</ScaleCrop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Stephanie Vallianatos</cp:lastModifiedBy>
  <cp:revision>2</cp:revision>
  <dcterms:created xsi:type="dcterms:W3CDTF">2026-05-25T12:23:00Z</dcterms:created>
  <dcterms:modified xsi:type="dcterms:W3CDTF">2026-05-25T12:23:00Z</dcterms:modified>
</cp:coreProperties>
</file>