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3378" w14:textId="105F1609" w:rsidR="00AA6785" w:rsidRPr="00297E5F" w:rsidRDefault="006E0444" w:rsidP="001D2705">
      <w:pPr>
        <w:pStyle w:val="Geenafstand"/>
        <w:spacing w:line="276" w:lineRule="auto"/>
        <w:rPr>
          <w:rFonts w:ascii="Verdana" w:hAnsi="Verdana"/>
          <w:b/>
          <w:bCs/>
          <w:sz w:val="24"/>
          <w:szCs w:val="24"/>
        </w:rPr>
      </w:pPr>
      <w:r w:rsidRPr="00297E5F">
        <w:rPr>
          <w:rFonts w:ascii="Verdana" w:hAnsi="Verdana"/>
          <w:b/>
          <w:bCs/>
          <w:sz w:val="24"/>
          <w:szCs w:val="24"/>
        </w:rPr>
        <w:t xml:space="preserve">Annex </w:t>
      </w:r>
      <w:r w:rsidR="00DF5D3B" w:rsidRPr="00297E5F">
        <w:rPr>
          <w:rFonts w:ascii="Verdana" w:hAnsi="Verdana"/>
          <w:b/>
          <w:bCs/>
          <w:sz w:val="24"/>
          <w:szCs w:val="24"/>
        </w:rPr>
        <w:t>6</w:t>
      </w:r>
      <w:r w:rsidRPr="00297E5F">
        <w:rPr>
          <w:rFonts w:ascii="Verdana" w:hAnsi="Verdana"/>
          <w:b/>
          <w:bCs/>
          <w:sz w:val="24"/>
          <w:szCs w:val="24"/>
        </w:rPr>
        <w:t xml:space="preserve">. Response to </w:t>
      </w:r>
      <w:r w:rsidR="002E64CE" w:rsidRPr="00297E5F">
        <w:rPr>
          <w:rFonts w:ascii="Verdana" w:hAnsi="Verdana"/>
          <w:b/>
          <w:bCs/>
          <w:sz w:val="24"/>
          <w:szCs w:val="24"/>
        </w:rPr>
        <w:t xml:space="preserve">requirement and </w:t>
      </w:r>
      <w:r w:rsidRPr="00297E5F">
        <w:rPr>
          <w:rFonts w:ascii="Verdana" w:hAnsi="Verdana"/>
          <w:b/>
          <w:bCs/>
          <w:sz w:val="24"/>
          <w:szCs w:val="24"/>
        </w:rPr>
        <w:t>Award criteria</w:t>
      </w:r>
    </w:p>
    <w:p w14:paraId="3B93954C" w14:textId="77777777" w:rsidR="006E0444" w:rsidRPr="00297E5F" w:rsidRDefault="006E0444" w:rsidP="006E0444">
      <w:pPr>
        <w:pStyle w:val="Geenafstand"/>
        <w:spacing w:line="276" w:lineRule="auto"/>
        <w:rPr>
          <w:rFonts w:ascii="Verdana" w:hAnsi="Verdana"/>
          <w:sz w:val="18"/>
          <w:szCs w:val="14"/>
        </w:rPr>
      </w:pPr>
      <w:r w:rsidRPr="00297E5F">
        <w:rPr>
          <w:rFonts w:ascii="Verdana" w:hAnsi="Verdana"/>
          <w:sz w:val="18"/>
          <w:szCs w:val="14"/>
        </w:rPr>
        <w:t>European open procedure ‘Provision of commodity price Datasets’ with IUC-reference 202603054</w:t>
      </w:r>
    </w:p>
    <w:p w14:paraId="624C517F" w14:textId="77777777" w:rsidR="00E830BA" w:rsidRPr="00297E5F" w:rsidRDefault="00E830BA">
      <w:pPr>
        <w:rPr>
          <w:b/>
          <w:lang w:val="en-US"/>
        </w:rPr>
      </w:pPr>
    </w:p>
    <w:p w14:paraId="54680CC6" w14:textId="168B2E49" w:rsidR="006E0444" w:rsidRPr="00297E5F" w:rsidRDefault="006E0444" w:rsidP="006E0444">
      <w:pPr>
        <w:rPr>
          <w:rFonts w:cs="Arial"/>
          <w:bCs/>
          <w:i/>
          <w:iCs/>
          <w:lang w:val="en-US"/>
        </w:rPr>
      </w:pPr>
      <w:r w:rsidRPr="00297E5F">
        <w:rPr>
          <w:rFonts w:cs="Arial"/>
          <w:bCs/>
          <w:i/>
          <w:iCs/>
          <w:lang w:val="en-US"/>
        </w:rPr>
        <w:t>The Tenderer shall use this format for the elaboration of the</w:t>
      </w:r>
      <w:r w:rsidR="00C47A77" w:rsidRPr="00297E5F">
        <w:rPr>
          <w:rFonts w:cs="Arial"/>
          <w:bCs/>
          <w:i/>
          <w:iCs/>
          <w:lang w:val="en-US"/>
        </w:rPr>
        <w:t xml:space="preserve"> requirement and A</w:t>
      </w:r>
      <w:r w:rsidRPr="00297E5F">
        <w:rPr>
          <w:rFonts w:cs="Arial"/>
          <w:bCs/>
          <w:i/>
          <w:iCs/>
          <w:lang w:val="en-US"/>
        </w:rPr>
        <w:t>ward criteria. The layout and structure of this format must be maintained unchanged. The Tenderer may determine how much space is used for each section, provided that the total remains within the maximum number of A4-pages permitted per criterion. Any added CVs, visual materials and/or planning schedules will not be included in the maximum page count. The full texts in Section 5 are decisive with regard to the award criteria, assessment aspects and assessment criteria.</w:t>
      </w:r>
    </w:p>
    <w:p w14:paraId="36BEF148" w14:textId="77777777" w:rsidR="006E0444" w:rsidRPr="00297E5F" w:rsidRDefault="006E0444" w:rsidP="006E0444">
      <w:pPr>
        <w:rPr>
          <w:rFonts w:cs="Arial"/>
          <w:bCs/>
          <w:i/>
          <w:iCs/>
          <w:lang w:val="en-US"/>
        </w:rPr>
      </w:pPr>
    </w:p>
    <w:p w14:paraId="63C16ED3" w14:textId="736401FE" w:rsidR="006432C7" w:rsidRPr="00297E5F" w:rsidRDefault="006E0444" w:rsidP="006E0444">
      <w:pPr>
        <w:rPr>
          <w:rFonts w:cs="Arial"/>
          <w:bCs/>
          <w:i/>
          <w:iCs/>
          <w:lang w:val="en-US"/>
        </w:rPr>
      </w:pPr>
      <w:r w:rsidRPr="00297E5F">
        <w:rPr>
          <w:rFonts w:cs="Arial"/>
          <w:bCs/>
          <w:i/>
          <w:iCs/>
          <w:lang w:val="en-US"/>
        </w:rPr>
        <w:t>The Tenderer is permitted to remove the curved texts included in this format from its Tender.</w:t>
      </w:r>
    </w:p>
    <w:p w14:paraId="045D666D" w14:textId="77777777" w:rsidR="006E0444" w:rsidRPr="00297E5F" w:rsidRDefault="006E0444" w:rsidP="006E0444">
      <w:pPr>
        <w:rPr>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727"/>
        <w:gridCol w:w="7335"/>
      </w:tblGrid>
      <w:tr w:rsidR="00835F5C" w:rsidRPr="00297E5F" w14:paraId="66DD5027" w14:textId="77777777" w:rsidTr="00BE251D">
        <w:trPr>
          <w:trHeight w:val="318"/>
        </w:trPr>
        <w:tc>
          <w:tcPr>
            <w:tcW w:w="5000" w:type="pct"/>
            <w:gridSpan w:val="2"/>
            <w:shd w:val="clear" w:color="auto" w:fill="D9E2F3" w:themeFill="accent1" w:themeFillTint="33"/>
          </w:tcPr>
          <w:p w14:paraId="0FAFD078" w14:textId="239BD310" w:rsidR="00835F5C" w:rsidRPr="00297E5F" w:rsidRDefault="006E0444" w:rsidP="004831F6">
            <w:pPr>
              <w:rPr>
                <w:b/>
                <w:bCs/>
                <w:lang w:val="nl-NL"/>
              </w:rPr>
            </w:pPr>
            <w:bookmarkStart w:id="0" w:name="_Hlk165898466"/>
            <w:r w:rsidRPr="00297E5F">
              <w:rPr>
                <w:b/>
                <w:bCs/>
                <w:lang w:val="nl-NL"/>
              </w:rPr>
              <w:t>General</w:t>
            </w:r>
            <w:r w:rsidR="00835F5C" w:rsidRPr="00297E5F">
              <w:rPr>
                <w:b/>
                <w:bCs/>
                <w:lang w:val="nl-NL"/>
              </w:rPr>
              <w:t xml:space="preserve"> </w:t>
            </w:r>
          </w:p>
        </w:tc>
      </w:tr>
      <w:tr w:rsidR="00835F5C" w:rsidRPr="00297E5F" w14:paraId="7592F52E" w14:textId="77777777" w:rsidTr="13CA2967">
        <w:trPr>
          <w:trHeight w:val="284"/>
        </w:trPr>
        <w:tc>
          <w:tcPr>
            <w:tcW w:w="953" w:type="pct"/>
            <w:tcBorders>
              <w:top w:val="single" w:sz="4" w:space="0" w:color="auto"/>
              <w:left w:val="single" w:sz="4" w:space="0" w:color="auto"/>
            </w:tcBorders>
          </w:tcPr>
          <w:p w14:paraId="5358C9B9" w14:textId="14B02A62" w:rsidR="00835F5C" w:rsidRPr="00297E5F" w:rsidRDefault="006E0444" w:rsidP="004831F6">
            <w:pPr>
              <w:rPr>
                <w:lang w:val="nl-NL"/>
              </w:rPr>
            </w:pPr>
            <w:r w:rsidRPr="00297E5F">
              <w:t>Name Tenderer:</w:t>
            </w:r>
          </w:p>
        </w:tc>
        <w:tc>
          <w:tcPr>
            <w:tcW w:w="4047" w:type="pct"/>
            <w:tcBorders>
              <w:top w:val="single" w:sz="4" w:space="0" w:color="auto"/>
              <w:right w:val="single" w:sz="4" w:space="0" w:color="auto"/>
            </w:tcBorders>
          </w:tcPr>
          <w:p w14:paraId="103FAB15" w14:textId="1DCE9803" w:rsidR="00835F5C" w:rsidRPr="00297E5F" w:rsidRDefault="00835F5C" w:rsidP="004831F6">
            <w:pPr>
              <w:tabs>
                <w:tab w:val="left" w:pos="3015"/>
              </w:tabs>
              <w:rPr>
                <w:lang w:val="nl-NL"/>
              </w:rPr>
            </w:pPr>
          </w:p>
        </w:tc>
      </w:tr>
      <w:bookmarkEnd w:id="0"/>
    </w:tbl>
    <w:p w14:paraId="6999DB44" w14:textId="68027A42" w:rsidR="00835F5C" w:rsidRPr="00297E5F" w:rsidRDefault="00835F5C" w:rsidP="74A650BC">
      <w:pPr>
        <w:rPr>
          <w:lang w:val="nl-NL"/>
        </w:rPr>
      </w:pPr>
    </w:p>
    <w:p w14:paraId="05A97E33" w14:textId="172B3255" w:rsidR="00B02F86" w:rsidRPr="00297E5F" w:rsidRDefault="74A650BC">
      <w:pPr>
        <w:spacing w:after="160" w:line="259" w:lineRule="auto"/>
        <w:rPr>
          <w:lang w:val="nl-NL"/>
        </w:rPr>
      </w:pPr>
      <w:r w:rsidRPr="00297E5F">
        <w:rPr>
          <w:lang w:val="nl-NL"/>
        </w:rPr>
        <w:br w:type="page"/>
      </w:r>
    </w:p>
    <w:p w14:paraId="7226E92F" w14:textId="5478FFD1" w:rsidR="00113A75" w:rsidRPr="00297E5F" w:rsidRDefault="00B02F86" w:rsidP="007E5EBD">
      <w:pPr>
        <w:rPr>
          <w:b/>
          <w:bCs/>
        </w:rPr>
      </w:pPr>
      <w:r w:rsidRPr="00297E5F">
        <w:rPr>
          <w:b/>
          <w:bCs/>
        </w:rPr>
        <w:lastRenderedPageBreak/>
        <w:t xml:space="preserve">Response to requirement </w:t>
      </w:r>
      <w:r w:rsidR="00C96F8E" w:rsidRPr="00297E5F">
        <w:rPr>
          <w:b/>
          <w:bCs/>
        </w:rPr>
        <w:t xml:space="preserve">concerning the </w:t>
      </w:r>
      <w:r w:rsidR="00113A75" w:rsidRPr="00297E5F">
        <w:rPr>
          <w:b/>
          <w:bCs/>
        </w:rPr>
        <w:t>requested services</w:t>
      </w: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062"/>
      </w:tblGrid>
      <w:tr w:rsidR="00113A75" w:rsidRPr="00297E5F" w14:paraId="7D301CB1" w14:textId="77777777" w:rsidTr="00C52EC3">
        <w:trPr>
          <w:trHeight w:val="318"/>
        </w:trPr>
        <w:tc>
          <w:tcPr>
            <w:tcW w:w="5000" w:type="pct"/>
            <w:shd w:val="clear" w:color="auto" w:fill="D9E2F3" w:themeFill="accent1" w:themeFillTint="33"/>
          </w:tcPr>
          <w:p w14:paraId="5AECE35B" w14:textId="77777777" w:rsidR="00113A75" w:rsidRPr="00297E5F" w:rsidRDefault="006E0F71" w:rsidP="00C52EC3">
            <w:pPr>
              <w:rPr>
                <w:rFonts w:cs="Arial"/>
                <w:b/>
                <w:bCs/>
                <w:lang w:val="en-US"/>
              </w:rPr>
            </w:pPr>
            <w:r w:rsidRPr="00297E5F">
              <w:rPr>
                <w:rFonts w:cs="Arial"/>
                <w:b/>
                <w:bCs/>
                <w:lang w:val="en-US"/>
              </w:rPr>
              <w:t>Requirement</w:t>
            </w:r>
            <w:r w:rsidR="00427B20" w:rsidRPr="00297E5F">
              <w:rPr>
                <w:rFonts w:cs="Arial"/>
                <w:b/>
                <w:bCs/>
                <w:lang w:val="en-US"/>
              </w:rPr>
              <w:t xml:space="preserve"> 3.1.5 </w:t>
            </w:r>
            <w:r w:rsidRPr="00297E5F">
              <w:rPr>
                <w:rFonts w:cs="Arial"/>
                <w:b/>
                <w:bCs/>
                <w:lang w:val="en-US"/>
              </w:rPr>
              <w:t>relating to the services</w:t>
            </w:r>
          </w:p>
          <w:p w14:paraId="62766404" w14:textId="7203198D" w:rsidR="006F348B" w:rsidRPr="00297E5F" w:rsidRDefault="006F348B" w:rsidP="006F348B">
            <w:pPr>
              <w:rPr>
                <w:lang w:val="en-US"/>
              </w:rPr>
            </w:pPr>
            <w:r w:rsidRPr="00297E5F">
              <w:rPr>
                <w:lang w:val="en-US"/>
              </w:rPr>
              <w:t xml:space="preserve">The delivery of the first Dataset must be within one (1) month after the commencement date of the Contract. This Dataset must be accompanied by supporting assumptions and narratives. </w:t>
            </w:r>
            <w:r w:rsidR="00FF4843" w:rsidRPr="00297E5F">
              <w:rPr>
                <w:lang w:val="en-US"/>
              </w:rPr>
              <w:t xml:space="preserve">By submitting a Tender, the Tenderer indicates that it </w:t>
            </w:r>
            <w:r w:rsidR="007E5EBD" w:rsidRPr="00297E5F">
              <w:rPr>
                <w:lang w:val="en-US"/>
              </w:rPr>
              <w:t>can</w:t>
            </w:r>
            <w:r w:rsidR="00FF4843" w:rsidRPr="00297E5F">
              <w:rPr>
                <w:lang w:val="en-US"/>
              </w:rPr>
              <w:t xml:space="preserve"> meet this requirement.</w:t>
            </w:r>
          </w:p>
          <w:p w14:paraId="13F9E949" w14:textId="77777777" w:rsidR="002D3048" w:rsidRPr="00297E5F" w:rsidRDefault="002D3048" w:rsidP="006F348B">
            <w:pPr>
              <w:rPr>
                <w:b/>
                <w:bCs/>
                <w:lang w:val="en-US"/>
              </w:rPr>
            </w:pPr>
          </w:p>
          <w:p w14:paraId="401EEB27" w14:textId="7F32ECA7" w:rsidR="002D3048" w:rsidRPr="00297E5F" w:rsidRDefault="007E5EBD" w:rsidP="006F348B">
            <w:pPr>
              <w:rPr>
                <w:b/>
                <w:bCs/>
                <w:lang w:val="en-US"/>
              </w:rPr>
            </w:pPr>
            <w:r w:rsidRPr="00297E5F">
              <w:rPr>
                <w:lang w:val="en-US"/>
              </w:rPr>
              <w:t xml:space="preserve">The </w:t>
            </w:r>
            <w:r w:rsidR="002D3048" w:rsidRPr="00297E5F">
              <w:rPr>
                <w:lang w:val="en-US"/>
              </w:rPr>
              <w:t>Tenderer is requested to describe how it will ensure delivery of the first Dataset within one (1) month after Contract award</w:t>
            </w:r>
            <w:r w:rsidR="00E9712B" w:rsidRPr="00297E5F">
              <w:rPr>
                <w:lang w:val="en-US"/>
              </w:rPr>
              <w:t>.</w:t>
            </w:r>
          </w:p>
        </w:tc>
      </w:tr>
      <w:tr w:rsidR="00113A75" w:rsidRPr="00297E5F" w14:paraId="48EB9069" w14:textId="77777777" w:rsidTr="00C52EC3">
        <w:trPr>
          <w:trHeight w:val="318"/>
        </w:trPr>
        <w:tc>
          <w:tcPr>
            <w:tcW w:w="5000" w:type="pct"/>
          </w:tcPr>
          <w:p w14:paraId="275FE002" w14:textId="0667BA25" w:rsidR="00113A75" w:rsidRPr="00297E5F" w:rsidRDefault="00113A75" w:rsidP="00C52EC3">
            <w:pPr>
              <w:rPr>
                <w:i/>
                <w:iCs/>
                <w:lang w:val="nl-NL"/>
              </w:rPr>
            </w:pPr>
            <w:r w:rsidRPr="00297E5F">
              <w:rPr>
                <w:i/>
                <w:iCs/>
                <w:lang w:val="nl-NL"/>
              </w:rPr>
              <w:t>&lt;&lt;Elaboration on requirement</w:t>
            </w:r>
            <w:r w:rsidR="007E5EBD" w:rsidRPr="00297E5F">
              <w:rPr>
                <w:i/>
                <w:iCs/>
                <w:lang w:val="nl-NL"/>
              </w:rPr>
              <w:t xml:space="preserve"> 3.1.5</w:t>
            </w:r>
            <w:r w:rsidRPr="00297E5F">
              <w:rPr>
                <w:i/>
                <w:iCs/>
                <w:lang w:val="nl-NL"/>
              </w:rPr>
              <w:t>&gt;&gt;</w:t>
            </w:r>
          </w:p>
          <w:p w14:paraId="24218572" w14:textId="77777777" w:rsidR="00113A75" w:rsidRPr="00297E5F" w:rsidRDefault="00113A75" w:rsidP="00C52EC3">
            <w:pPr>
              <w:rPr>
                <w:i/>
                <w:iCs/>
                <w:lang w:val="nl-NL"/>
              </w:rPr>
            </w:pPr>
          </w:p>
          <w:p w14:paraId="35091C4A" w14:textId="77777777" w:rsidR="00113A75" w:rsidRPr="00297E5F" w:rsidRDefault="00113A75" w:rsidP="00C52EC3">
            <w:pPr>
              <w:rPr>
                <w:i/>
                <w:iCs/>
                <w:lang w:val="nl-NL"/>
              </w:rPr>
            </w:pPr>
          </w:p>
          <w:p w14:paraId="398F0D5D" w14:textId="77777777" w:rsidR="00113A75" w:rsidRPr="00297E5F" w:rsidRDefault="00113A75" w:rsidP="00C52EC3">
            <w:pPr>
              <w:rPr>
                <w:i/>
                <w:iCs/>
                <w:lang w:val="nl-NL"/>
              </w:rPr>
            </w:pPr>
          </w:p>
          <w:p w14:paraId="40007164" w14:textId="77777777" w:rsidR="00113A75" w:rsidRPr="00297E5F" w:rsidRDefault="00113A75" w:rsidP="00C52EC3">
            <w:pPr>
              <w:rPr>
                <w:i/>
                <w:iCs/>
                <w:lang w:val="nl-NL"/>
              </w:rPr>
            </w:pPr>
          </w:p>
          <w:p w14:paraId="6C0AE38A" w14:textId="77777777" w:rsidR="00113A75" w:rsidRPr="00297E5F" w:rsidRDefault="00113A75" w:rsidP="00C52EC3">
            <w:pPr>
              <w:rPr>
                <w:i/>
                <w:iCs/>
                <w:lang w:val="nl-NL"/>
              </w:rPr>
            </w:pPr>
          </w:p>
          <w:p w14:paraId="78C819A5" w14:textId="77777777" w:rsidR="00113A75" w:rsidRPr="00297E5F" w:rsidRDefault="00113A75" w:rsidP="00C52EC3">
            <w:pPr>
              <w:rPr>
                <w:i/>
                <w:iCs/>
                <w:lang w:val="nl-NL"/>
              </w:rPr>
            </w:pPr>
          </w:p>
          <w:p w14:paraId="2F8CBA2A" w14:textId="77777777" w:rsidR="00113A75" w:rsidRPr="00297E5F" w:rsidRDefault="00113A75" w:rsidP="00C52EC3">
            <w:pPr>
              <w:rPr>
                <w:i/>
                <w:iCs/>
                <w:lang w:val="nl-NL"/>
              </w:rPr>
            </w:pPr>
          </w:p>
          <w:p w14:paraId="44CEB466" w14:textId="77777777" w:rsidR="00113A75" w:rsidRPr="00297E5F" w:rsidRDefault="00113A75" w:rsidP="00C52EC3">
            <w:pPr>
              <w:rPr>
                <w:i/>
                <w:iCs/>
                <w:lang w:val="nl-NL"/>
              </w:rPr>
            </w:pPr>
          </w:p>
        </w:tc>
      </w:tr>
    </w:tbl>
    <w:p w14:paraId="11A5F983" w14:textId="4B8CC323" w:rsidR="00113A75" w:rsidRPr="00297E5F" w:rsidRDefault="00113A75">
      <w:pPr>
        <w:spacing w:after="160" w:line="259" w:lineRule="auto"/>
        <w:rPr>
          <w:b/>
          <w:bCs/>
        </w:rPr>
      </w:pPr>
      <w:r w:rsidRPr="00297E5F">
        <w:rPr>
          <w:b/>
          <w:bCs/>
        </w:rPr>
        <w:br w:type="page"/>
      </w:r>
    </w:p>
    <w:p w14:paraId="31CD31CC" w14:textId="3FC912DE" w:rsidR="00113A75" w:rsidRPr="00297E5F" w:rsidRDefault="00113A75" w:rsidP="74A650BC">
      <w:pPr>
        <w:rPr>
          <w:b/>
          <w:bCs/>
        </w:rPr>
      </w:pPr>
      <w:r w:rsidRPr="00297E5F">
        <w:rPr>
          <w:b/>
          <w:bCs/>
        </w:rPr>
        <w:lastRenderedPageBreak/>
        <w:t>Response to Award criteria</w:t>
      </w: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062"/>
      </w:tblGrid>
      <w:tr w:rsidR="00C553BA" w:rsidRPr="00297E5F" w14:paraId="5DCCB6F6" w14:textId="77777777" w:rsidTr="00C553BA">
        <w:trPr>
          <w:trHeight w:val="318"/>
        </w:trPr>
        <w:tc>
          <w:tcPr>
            <w:tcW w:w="5000" w:type="pct"/>
            <w:shd w:val="clear" w:color="auto" w:fill="D9E2F3" w:themeFill="accent1" w:themeFillTint="33"/>
          </w:tcPr>
          <w:p w14:paraId="296701D6" w14:textId="5290CCD0" w:rsidR="00C553BA" w:rsidRPr="00297E5F" w:rsidRDefault="00C553BA" w:rsidP="00C553BA">
            <w:pPr>
              <w:rPr>
                <w:b/>
                <w:bCs/>
                <w:lang w:val="en-US"/>
              </w:rPr>
            </w:pPr>
            <w:r w:rsidRPr="00297E5F">
              <w:rPr>
                <w:rFonts w:cs="Arial"/>
                <w:b/>
                <w:bCs/>
                <w:lang w:val="en-US"/>
              </w:rPr>
              <w:t>1:</w:t>
            </w:r>
            <w:r w:rsidRPr="00297E5F">
              <w:rPr>
                <w:b/>
                <w:bCs/>
                <w:lang w:val="en-US"/>
              </w:rPr>
              <w:t xml:space="preserve"> </w:t>
            </w:r>
            <w:r w:rsidR="006E0444" w:rsidRPr="00297E5F">
              <w:rPr>
                <w:b/>
                <w:bCs/>
                <w:lang w:val="en-US"/>
              </w:rPr>
              <w:t>Plan of Approach</w:t>
            </w:r>
            <w:r w:rsidR="00F861F5" w:rsidRPr="00297E5F">
              <w:rPr>
                <w:b/>
                <w:bCs/>
                <w:lang w:val="en-US"/>
              </w:rPr>
              <w:t xml:space="preserve"> (max</w:t>
            </w:r>
            <w:r w:rsidR="006E0444" w:rsidRPr="00297E5F">
              <w:rPr>
                <w:b/>
                <w:bCs/>
                <w:lang w:val="en-US"/>
              </w:rPr>
              <w:t xml:space="preserve">imum </w:t>
            </w:r>
            <w:r w:rsidR="00114454" w:rsidRPr="00297E5F">
              <w:rPr>
                <w:b/>
                <w:bCs/>
                <w:lang w:val="en-US"/>
              </w:rPr>
              <w:t>5</w:t>
            </w:r>
            <w:r w:rsidR="006E0444" w:rsidRPr="00297E5F">
              <w:rPr>
                <w:b/>
                <w:bCs/>
                <w:lang w:val="en-US"/>
              </w:rPr>
              <w:t xml:space="preserve"> A4-pages and </w:t>
            </w:r>
            <w:r w:rsidR="005B4027" w:rsidRPr="00297E5F">
              <w:rPr>
                <w:b/>
                <w:bCs/>
                <w:lang w:val="en-US"/>
              </w:rPr>
              <w:t>max</w:t>
            </w:r>
            <w:r w:rsidR="006E0444" w:rsidRPr="00297E5F">
              <w:rPr>
                <w:b/>
                <w:bCs/>
                <w:lang w:val="en-US"/>
              </w:rPr>
              <w:t>imum 600 points</w:t>
            </w:r>
            <w:r w:rsidR="00F861F5" w:rsidRPr="00297E5F">
              <w:rPr>
                <w:b/>
                <w:bCs/>
                <w:lang w:val="en-US"/>
              </w:rPr>
              <w:t>)</w:t>
            </w:r>
          </w:p>
          <w:p w14:paraId="7C18C865" w14:textId="12BD74DE" w:rsidR="00866710" w:rsidRPr="00297E5F" w:rsidRDefault="00866710" w:rsidP="00C553BA">
            <w:pPr>
              <w:rPr>
                <w:b/>
                <w:bCs/>
                <w:lang w:val="en-US"/>
              </w:rPr>
            </w:pPr>
            <w:r w:rsidRPr="00297E5F">
              <w:rPr>
                <w:lang w:val="en-US"/>
              </w:rPr>
              <w:t>Any attached visual materials and/or planning schedules will not be included in the page limit.</w:t>
            </w:r>
          </w:p>
        </w:tc>
      </w:tr>
      <w:tr w:rsidR="00835F5C" w:rsidRPr="00297E5F" w14:paraId="5C426022" w14:textId="77777777" w:rsidTr="13CA2967">
        <w:trPr>
          <w:trHeight w:val="318"/>
        </w:trPr>
        <w:tc>
          <w:tcPr>
            <w:tcW w:w="5000" w:type="pct"/>
          </w:tcPr>
          <w:p w14:paraId="56BC26B8" w14:textId="05FEDB62" w:rsidR="00480755" w:rsidRPr="00297E5F" w:rsidRDefault="006E0444" w:rsidP="006E0444">
            <w:pPr>
              <w:pStyle w:val="Lijstalinea"/>
              <w:numPr>
                <w:ilvl w:val="1"/>
                <w:numId w:val="14"/>
              </w:numPr>
              <w:rPr>
                <w:lang w:val="en-US"/>
              </w:rPr>
            </w:pPr>
            <w:r w:rsidRPr="00297E5F">
              <w:rPr>
                <w:b/>
                <w:bCs/>
                <w:lang w:val="en-US"/>
              </w:rPr>
              <w:t xml:space="preserve">Approach to delivery and maintenance of the Dataset </w:t>
            </w:r>
            <w:r w:rsidR="00074484" w:rsidRPr="00297E5F">
              <w:rPr>
                <w:b/>
                <w:bCs/>
                <w:lang w:val="en-US"/>
              </w:rPr>
              <w:t>(</w:t>
            </w:r>
            <w:r w:rsidR="00923741" w:rsidRPr="00297E5F">
              <w:rPr>
                <w:b/>
                <w:bCs/>
                <w:lang w:val="en-US"/>
              </w:rPr>
              <w:t xml:space="preserve">maximum </w:t>
            </w:r>
            <w:r w:rsidR="00074484" w:rsidRPr="00297E5F">
              <w:rPr>
                <w:b/>
                <w:bCs/>
                <w:lang w:val="en-US"/>
              </w:rPr>
              <w:t>200 points)</w:t>
            </w:r>
          </w:p>
          <w:p w14:paraId="141C20BF" w14:textId="77777777" w:rsidR="00074484" w:rsidRPr="00297E5F" w:rsidRDefault="00074484" w:rsidP="00074484">
            <w:pPr>
              <w:rPr>
                <w:lang w:val="en-US"/>
              </w:rPr>
            </w:pPr>
          </w:p>
          <w:p w14:paraId="4A0C7DC9" w14:textId="557B29FC" w:rsidR="004E5198" w:rsidRPr="00297E5F" w:rsidRDefault="00C3225D" w:rsidP="006E0444">
            <w:pPr>
              <w:spacing w:after="160" w:line="276" w:lineRule="auto"/>
              <w:rPr>
                <w:lang w:val="en-US"/>
              </w:rPr>
            </w:pPr>
            <w:r w:rsidRPr="00297E5F">
              <w:rPr>
                <w:i/>
                <w:iCs/>
                <w:lang w:val="en-US"/>
              </w:rPr>
              <w:t>The Tenderer shall describe how the Dataset will be produced, maintained and updated throughout the term of the Contract. Besides that, the Tenderer shall also explain how the proposed approach ensures reliable, usable, and continuous delivery of the Dataset for government specialists assessing decarbonisation projects.</w:t>
            </w:r>
          </w:p>
        </w:tc>
      </w:tr>
      <w:tr w:rsidR="004C6AA0" w:rsidRPr="00297E5F" w14:paraId="6E69883F" w14:textId="77777777" w:rsidTr="004C6AA0">
        <w:trPr>
          <w:trHeight w:val="318"/>
        </w:trPr>
        <w:tc>
          <w:tcPr>
            <w:tcW w:w="5000" w:type="pct"/>
          </w:tcPr>
          <w:p w14:paraId="04FA7C8D" w14:textId="5E747849" w:rsidR="004C6AA0" w:rsidRPr="00297E5F" w:rsidRDefault="000F056E" w:rsidP="004831F6">
            <w:pPr>
              <w:rPr>
                <w:i/>
                <w:iCs/>
              </w:rPr>
            </w:pPr>
            <w:r w:rsidRPr="00297E5F">
              <w:rPr>
                <w:i/>
                <w:iCs/>
              </w:rPr>
              <w:t>&lt;&lt;</w:t>
            </w:r>
            <w:r w:rsidR="006E0444" w:rsidRPr="00297E5F">
              <w:rPr>
                <w:i/>
                <w:iCs/>
              </w:rPr>
              <w:t xml:space="preserve">Elaboration on </w:t>
            </w:r>
            <w:r w:rsidR="00074484" w:rsidRPr="00297E5F">
              <w:rPr>
                <w:i/>
                <w:iCs/>
              </w:rPr>
              <w:t xml:space="preserve">sub-award criterion </w:t>
            </w:r>
            <w:r w:rsidR="006E0444" w:rsidRPr="00297E5F">
              <w:rPr>
                <w:i/>
                <w:iCs/>
              </w:rPr>
              <w:t>1.</w:t>
            </w:r>
            <w:r w:rsidR="00AA12C1" w:rsidRPr="00297E5F">
              <w:rPr>
                <w:i/>
                <w:iCs/>
              </w:rPr>
              <w:t>1</w:t>
            </w:r>
            <w:r w:rsidRPr="00297E5F">
              <w:rPr>
                <w:i/>
                <w:iCs/>
              </w:rPr>
              <w:t>&gt;&gt;</w:t>
            </w:r>
          </w:p>
          <w:p w14:paraId="57DBB0C8" w14:textId="77777777" w:rsidR="000F056E" w:rsidRPr="00297E5F" w:rsidRDefault="000F056E" w:rsidP="004831F6">
            <w:pPr>
              <w:rPr>
                <w:i/>
                <w:iCs/>
              </w:rPr>
            </w:pPr>
          </w:p>
          <w:p w14:paraId="53D6B652" w14:textId="77777777" w:rsidR="000F056E" w:rsidRPr="00297E5F" w:rsidRDefault="000F056E" w:rsidP="004831F6">
            <w:pPr>
              <w:rPr>
                <w:i/>
                <w:iCs/>
              </w:rPr>
            </w:pPr>
          </w:p>
          <w:p w14:paraId="5345AE4F" w14:textId="77777777" w:rsidR="000F056E" w:rsidRPr="00297E5F" w:rsidRDefault="000F056E" w:rsidP="004831F6">
            <w:pPr>
              <w:rPr>
                <w:i/>
                <w:iCs/>
              </w:rPr>
            </w:pPr>
          </w:p>
          <w:p w14:paraId="3764BEF8" w14:textId="77777777" w:rsidR="000F056E" w:rsidRPr="00297E5F" w:rsidRDefault="000F056E" w:rsidP="004831F6">
            <w:pPr>
              <w:rPr>
                <w:i/>
                <w:iCs/>
              </w:rPr>
            </w:pPr>
          </w:p>
          <w:p w14:paraId="0760FC31" w14:textId="77777777" w:rsidR="000F056E" w:rsidRPr="00297E5F" w:rsidRDefault="000F056E" w:rsidP="004831F6">
            <w:pPr>
              <w:rPr>
                <w:i/>
                <w:iCs/>
              </w:rPr>
            </w:pPr>
          </w:p>
          <w:p w14:paraId="0988554C" w14:textId="77777777" w:rsidR="000F056E" w:rsidRPr="00297E5F" w:rsidRDefault="000F056E" w:rsidP="004831F6">
            <w:pPr>
              <w:rPr>
                <w:i/>
                <w:iCs/>
              </w:rPr>
            </w:pPr>
          </w:p>
          <w:p w14:paraId="11A4D116" w14:textId="77777777" w:rsidR="000F056E" w:rsidRPr="00297E5F" w:rsidRDefault="000F056E" w:rsidP="004831F6">
            <w:pPr>
              <w:rPr>
                <w:i/>
                <w:iCs/>
              </w:rPr>
            </w:pPr>
          </w:p>
          <w:p w14:paraId="28CE2F56" w14:textId="77777777" w:rsidR="000F056E" w:rsidRPr="00297E5F" w:rsidRDefault="000F056E" w:rsidP="004831F6">
            <w:pPr>
              <w:rPr>
                <w:i/>
                <w:iCs/>
              </w:rPr>
            </w:pPr>
          </w:p>
          <w:p w14:paraId="4F490329" w14:textId="77777777" w:rsidR="000F056E" w:rsidRPr="00297E5F" w:rsidRDefault="000F056E" w:rsidP="004831F6">
            <w:pPr>
              <w:rPr>
                <w:i/>
                <w:iCs/>
              </w:rPr>
            </w:pPr>
          </w:p>
          <w:p w14:paraId="2AB777A8" w14:textId="77777777" w:rsidR="000F056E" w:rsidRPr="00297E5F" w:rsidRDefault="000F056E" w:rsidP="004831F6">
            <w:pPr>
              <w:rPr>
                <w:i/>
                <w:iCs/>
              </w:rPr>
            </w:pPr>
          </w:p>
          <w:p w14:paraId="5EF2C5E9" w14:textId="77777777" w:rsidR="000F056E" w:rsidRPr="00297E5F" w:rsidRDefault="000F056E" w:rsidP="004831F6">
            <w:pPr>
              <w:rPr>
                <w:i/>
                <w:iCs/>
              </w:rPr>
            </w:pPr>
          </w:p>
          <w:p w14:paraId="59CC979C" w14:textId="77777777" w:rsidR="000F056E" w:rsidRPr="00297E5F" w:rsidRDefault="000F056E" w:rsidP="004831F6">
            <w:pPr>
              <w:rPr>
                <w:i/>
                <w:iCs/>
              </w:rPr>
            </w:pPr>
          </w:p>
          <w:p w14:paraId="00739D63" w14:textId="5DD8A7C4" w:rsidR="000F056E" w:rsidRPr="00297E5F" w:rsidRDefault="000F056E" w:rsidP="004831F6">
            <w:pPr>
              <w:rPr>
                <w:i/>
                <w:iCs/>
              </w:rPr>
            </w:pPr>
          </w:p>
        </w:tc>
      </w:tr>
      <w:tr w:rsidR="00B24FCE" w:rsidRPr="00297E5F" w14:paraId="3067F96A" w14:textId="77777777" w:rsidTr="004C6AA0">
        <w:trPr>
          <w:trHeight w:val="318"/>
        </w:trPr>
        <w:tc>
          <w:tcPr>
            <w:tcW w:w="5000" w:type="pct"/>
          </w:tcPr>
          <w:p w14:paraId="759238B4" w14:textId="62326ADB" w:rsidR="006268C4" w:rsidRPr="00297E5F" w:rsidRDefault="006E0444" w:rsidP="006268C4">
            <w:pPr>
              <w:pStyle w:val="Lijstalinea"/>
              <w:numPr>
                <w:ilvl w:val="1"/>
                <w:numId w:val="14"/>
              </w:numPr>
              <w:rPr>
                <w:b/>
                <w:bCs/>
              </w:rPr>
            </w:pPr>
            <w:r w:rsidRPr="00297E5F">
              <w:rPr>
                <w:b/>
                <w:bCs/>
              </w:rPr>
              <w:t>Scenario development and modelling methodology</w:t>
            </w:r>
            <w:r w:rsidR="00074484" w:rsidRPr="00297E5F">
              <w:rPr>
                <w:b/>
                <w:bCs/>
              </w:rPr>
              <w:t xml:space="preserve"> (</w:t>
            </w:r>
            <w:r w:rsidR="00923741" w:rsidRPr="00297E5F">
              <w:rPr>
                <w:b/>
                <w:bCs/>
                <w:lang w:val="en-US"/>
              </w:rPr>
              <w:t>maximum</w:t>
            </w:r>
            <w:r w:rsidR="00923741" w:rsidRPr="00297E5F">
              <w:rPr>
                <w:b/>
                <w:bCs/>
              </w:rPr>
              <w:t xml:space="preserve"> </w:t>
            </w:r>
            <w:r w:rsidR="00074484" w:rsidRPr="00297E5F">
              <w:rPr>
                <w:b/>
                <w:bCs/>
              </w:rPr>
              <w:t>200 points)</w:t>
            </w:r>
          </w:p>
          <w:p w14:paraId="02DD4CC9" w14:textId="77777777" w:rsidR="006268C4" w:rsidRPr="00297E5F" w:rsidRDefault="006268C4" w:rsidP="006268C4">
            <w:pPr>
              <w:rPr>
                <w:b/>
                <w:bCs/>
              </w:rPr>
            </w:pPr>
          </w:p>
          <w:p w14:paraId="4DA1D31B" w14:textId="77777777" w:rsidR="00C3225D" w:rsidRPr="00297E5F" w:rsidRDefault="00C3225D" w:rsidP="00C3225D">
            <w:pPr>
              <w:rPr>
                <w:i/>
                <w:iCs/>
                <w:lang w:val="en-US"/>
              </w:rPr>
            </w:pPr>
            <w:r w:rsidRPr="00297E5F">
              <w:rPr>
                <w:i/>
                <w:iCs/>
                <w:lang w:val="en-US"/>
              </w:rPr>
              <w:t>The Tenderer shall explain how its market view is translated into concrete scenarios and price outlooks through 2060. This explanation shall include the macro-economic, industry, technology, and policy assumptions underpinning the market view (e.g. GDP growth, inflation, demand trends, decarbonisation pathways, technology cost curves, and fiscal and regulatory policies).</w:t>
            </w:r>
          </w:p>
          <w:p w14:paraId="542C90FE" w14:textId="77777777" w:rsidR="00C3225D" w:rsidRPr="00297E5F" w:rsidRDefault="00C3225D" w:rsidP="00C3225D">
            <w:pPr>
              <w:rPr>
                <w:i/>
                <w:iCs/>
                <w:lang w:val="en-US"/>
              </w:rPr>
            </w:pPr>
          </w:p>
          <w:p w14:paraId="00C5695E" w14:textId="4CC3467A" w:rsidR="006C6B54" w:rsidRPr="00297E5F" w:rsidRDefault="00C3225D" w:rsidP="00C3225D">
            <w:pPr>
              <w:spacing w:after="160" w:line="276" w:lineRule="auto"/>
              <w:rPr>
                <w:lang w:val="en-US"/>
              </w:rPr>
            </w:pPr>
            <w:r w:rsidRPr="00297E5F">
              <w:rPr>
                <w:i/>
                <w:iCs/>
                <w:lang w:val="en-US"/>
              </w:rPr>
              <w:t>For this sub-award criterion, the Tenderer shall also submit a sample (dummy) report illustrating the anticipated format and structure of the deliverable. As stated in Section 3.1.13, the format of the Dataset is not prescribed. However, the final Dataset must be downloadable in Excel format to allow easy import, export, and modification of the data.</w:t>
            </w:r>
          </w:p>
        </w:tc>
      </w:tr>
      <w:tr w:rsidR="004C6AA0" w:rsidRPr="00297E5F" w14:paraId="52FE2538" w14:textId="77777777" w:rsidTr="004C6AA0">
        <w:trPr>
          <w:trHeight w:val="318"/>
        </w:trPr>
        <w:tc>
          <w:tcPr>
            <w:tcW w:w="5000" w:type="pct"/>
          </w:tcPr>
          <w:p w14:paraId="413F9614" w14:textId="0176DA49" w:rsidR="006E0444" w:rsidRPr="00297E5F" w:rsidRDefault="006E0444" w:rsidP="006E0444">
            <w:pPr>
              <w:rPr>
                <w:i/>
                <w:iCs/>
              </w:rPr>
            </w:pPr>
            <w:r w:rsidRPr="00297E5F">
              <w:rPr>
                <w:i/>
                <w:iCs/>
              </w:rPr>
              <w:t xml:space="preserve">&lt;&lt;Elaboration on award </w:t>
            </w:r>
            <w:r w:rsidR="00074484" w:rsidRPr="00297E5F">
              <w:rPr>
                <w:i/>
                <w:iCs/>
              </w:rPr>
              <w:t xml:space="preserve">sub-award </w:t>
            </w:r>
            <w:r w:rsidRPr="00297E5F">
              <w:rPr>
                <w:i/>
                <w:iCs/>
              </w:rPr>
              <w:t>criteri</w:t>
            </w:r>
            <w:r w:rsidR="00074484" w:rsidRPr="00297E5F">
              <w:rPr>
                <w:i/>
                <w:iCs/>
              </w:rPr>
              <w:t>on</w:t>
            </w:r>
            <w:r w:rsidRPr="00297E5F">
              <w:rPr>
                <w:i/>
                <w:iCs/>
              </w:rPr>
              <w:t xml:space="preserve"> 1.2&gt;&gt;</w:t>
            </w:r>
          </w:p>
          <w:p w14:paraId="268A686B" w14:textId="77777777" w:rsidR="006268C4" w:rsidRPr="00297E5F" w:rsidRDefault="006268C4" w:rsidP="00EE0FFA">
            <w:pPr>
              <w:rPr>
                <w:i/>
                <w:iCs/>
              </w:rPr>
            </w:pPr>
          </w:p>
          <w:p w14:paraId="538CA733" w14:textId="77777777" w:rsidR="006268C4" w:rsidRPr="00297E5F" w:rsidRDefault="006268C4" w:rsidP="00EE0FFA">
            <w:pPr>
              <w:rPr>
                <w:i/>
                <w:iCs/>
              </w:rPr>
            </w:pPr>
          </w:p>
          <w:p w14:paraId="082E337A" w14:textId="77777777" w:rsidR="006268C4" w:rsidRPr="00297E5F" w:rsidRDefault="006268C4" w:rsidP="00EE0FFA">
            <w:pPr>
              <w:rPr>
                <w:i/>
                <w:iCs/>
              </w:rPr>
            </w:pPr>
          </w:p>
          <w:p w14:paraId="07295458" w14:textId="77777777" w:rsidR="006268C4" w:rsidRPr="00297E5F" w:rsidRDefault="006268C4" w:rsidP="00EE0FFA">
            <w:pPr>
              <w:rPr>
                <w:i/>
                <w:iCs/>
              </w:rPr>
            </w:pPr>
          </w:p>
          <w:p w14:paraId="1B8D9034" w14:textId="77777777" w:rsidR="008D00AD" w:rsidRPr="00297E5F" w:rsidRDefault="008D00AD" w:rsidP="00EE0FFA">
            <w:pPr>
              <w:rPr>
                <w:i/>
                <w:iCs/>
              </w:rPr>
            </w:pPr>
          </w:p>
          <w:p w14:paraId="5FBD82B0" w14:textId="77777777" w:rsidR="006268C4" w:rsidRPr="00297E5F" w:rsidRDefault="006268C4" w:rsidP="00EE0FFA">
            <w:pPr>
              <w:rPr>
                <w:i/>
                <w:iCs/>
              </w:rPr>
            </w:pPr>
          </w:p>
          <w:p w14:paraId="6200B8C9" w14:textId="77777777" w:rsidR="006268C4" w:rsidRPr="00297E5F" w:rsidRDefault="006268C4" w:rsidP="00EE0FFA">
            <w:pPr>
              <w:rPr>
                <w:i/>
                <w:iCs/>
              </w:rPr>
            </w:pPr>
          </w:p>
          <w:p w14:paraId="1EC8852A" w14:textId="77777777" w:rsidR="006268C4" w:rsidRPr="00297E5F" w:rsidRDefault="006268C4" w:rsidP="00EE0FFA">
            <w:pPr>
              <w:rPr>
                <w:i/>
                <w:iCs/>
              </w:rPr>
            </w:pPr>
          </w:p>
          <w:p w14:paraId="337BAFEF" w14:textId="77777777" w:rsidR="006268C4" w:rsidRPr="00297E5F" w:rsidRDefault="006268C4" w:rsidP="00EE0FFA">
            <w:pPr>
              <w:rPr>
                <w:i/>
                <w:iCs/>
              </w:rPr>
            </w:pPr>
          </w:p>
          <w:p w14:paraId="4507CFF6" w14:textId="77777777" w:rsidR="006268C4" w:rsidRPr="00297E5F" w:rsidRDefault="006268C4" w:rsidP="00EE0FFA">
            <w:pPr>
              <w:rPr>
                <w:i/>
                <w:iCs/>
              </w:rPr>
            </w:pPr>
          </w:p>
          <w:p w14:paraId="05601B26" w14:textId="6313AC2D" w:rsidR="004C6AA0" w:rsidRPr="00297E5F" w:rsidRDefault="004C6AA0" w:rsidP="004C6AA0"/>
        </w:tc>
      </w:tr>
    </w:tbl>
    <w:p w14:paraId="2DED60A9" w14:textId="01562C1D" w:rsidR="001A1EEB" w:rsidRPr="00297E5F" w:rsidRDefault="001A1EEB"/>
    <w:p w14:paraId="78AF8A36" w14:textId="00FAD8FC" w:rsidR="00213672" w:rsidRPr="00297E5F" w:rsidRDefault="001A1EEB" w:rsidP="001A1EEB">
      <w:pPr>
        <w:spacing w:after="160" w:line="259" w:lineRule="auto"/>
      </w:pPr>
      <w:r w:rsidRPr="00297E5F">
        <w:br w:type="page"/>
      </w: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062"/>
      </w:tblGrid>
      <w:tr w:rsidR="00EE0FFA" w:rsidRPr="00297E5F" w14:paraId="2AF50A1E" w14:textId="77777777" w:rsidTr="004C6AA0">
        <w:trPr>
          <w:trHeight w:val="318"/>
        </w:trPr>
        <w:tc>
          <w:tcPr>
            <w:tcW w:w="5000" w:type="pct"/>
          </w:tcPr>
          <w:p w14:paraId="3253F623" w14:textId="69628B9F" w:rsidR="00213672" w:rsidRPr="00297E5F" w:rsidRDefault="000D68DA" w:rsidP="000D68DA">
            <w:pPr>
              <w:spacing w:line="276" w:lineRule="auto"/>
              <w:rPr>
                <w:lang w:val="en-US"/>
              </w:rPr>
            </w:pPr>
            <w:r w:rsidRPr="00297E5F">
              <w:rPr>
                <w:b/>
                <w:bCs/>
                <w:lang w:val="en-US"/>
              </w:rPr>
              <w:lastRenderedPageBreak/>
              <w:t>1.3</w:t>
            </w:r>
            <w:r w:rsidR="001A1EEB" w:rsidRPr="00297E5F">
              <w:rPr>
                <w:b/>
                <w:bCs/>
                <w:lang w:val="en-US"/>
              </w:rPr>
              <w:t xml:space="preserve"> </w:t>
            </w:r>
            <w:r w:rsidR="00F20CA5" w:rsidRPr="00297E5F">
              <w:rPr>
                <w:b/>
                <w:bCs/>
                <w:lang w:val="en-US"/>
              </w:rPr>
              <w:t>P</w:t>
            </w:r>
            <w:r w:rsidR="00074484" w:rsidRPr="00297E5F">
              <w:rPr>
                <w:b/>
                <w:bCs/>
                <w:lang w:val="en-US"/>
              </w:rPr>
              <w:t xml:space="preserve">eriodic </w:t>
            </w:r>
            <w:r w:rsidR="006E0444" w:rsidRPr="00297E5F">
              <w:rPr>
                <w:b/>
                <w:bCs/>
                <w:lang w:val="en-US"/>
              </w:rPr>
              <w:t>updates, and quality assurance</w:t>
            </w:r>
            <w:r w:rsidR="00074484" w:rsidRPr="00297E5F">
              <w:rPr>
                <w:b/>
                <w:bCs/>
                <w:lang w:val="en-US"/>
              </w:rPr>
              <w:t xml:space="preserve"> (</w:t>
            </w:r>
            <w:r w:rsidR="00923741" w:rsidRPr="00297E5F">
              <w:rPr>
                <w:b/>
                <w:bCs/>
                <w:lang w:val="en-US"/>
              </w:rPr>
              <w:t xml:space="preserve"> maximum </w:t>
            </w:r>
            <w:r w:rsidR="00074484" w:rsidRPr="00297E5F">
              <w:rPr>
                <w:b/>
                <w:bCs/>
                <w:lang w:val="en-US"/>
              </w:rPr>
              <w:t>125 points)</w:t>
            </w:r>
          </w:p>
          <w:p w14:paraId="0B46754D" w14:textId="77777777" w:rsidR="006268C4" w:rsidRPr="00297E5F" w:rsidRDefault="006268C4" w:rsidP="000D68DA">
            <w:pPr>
              <w:spacing w:line="276" w:lineRule="auto"/>
              <w:rPr>
                <w:lang w:val="en-US"/>
              </w:rPr>
            </w:pPr>
          </w:p>
          <w:p w14:paraId="30BBAD53" w14:textId="07B35284" w:rsidR="006E0444" w:rsidRPr="00297E5F" w:rsidRDefault="00C3225D" w:rsidP="00213672">
            <w:pPr>
              <w:spacing w:line="276" w:lineRule="auto"/>
              <w:rPr>
                <w:i/>
                <w:iCs/>
                <w:lang w:val="en-US"/>
              </w:rPr>
            </w:pPr>
            <w:r w:rsidRPr="00297E5F">
              <w:rPr>
                <w:i/>
                <w:iCs/>
                <w:kern w:val="0"/>
                <w:lang w:val="en-US"/>
                <w14:ligatures w14:val="none"/>
              </w:rPr>
              <w:t>The Tenderer shall explain how periodic updates of the Dataset will be provided and how the quality and consistency of the information will be maintained.</w:t>
            </w:r>
          </w:p>
        </w:tc>
      </w:tr>
      <w:tr w:rsidR="00EE0FFA" w:rsidRPr="00297E5F" w14:paraId="5D018B9B" w14:textId="77777777" w:rsidTr="004C6AA0">
        <w:trPr>
          <w:trHeight w:val="318"/>
        </w:trPr>
        <w:tc>
          <w:tcPr>
            <w:tcW w:w="5000" w:type="pct"/>
          </w:tcPr>
          <w:p w14:paraId="45B6DE55" w14:textId="016A9E26" w:rsidR="001A1EEB" w:rsidRPr="00297E5F" w:rsidRDefault="001A1EEB" w:rsidP="001A1EEB">
            <w:pPr>
              <w:rPr>
                <w:i/>
                <w:iCs/>
              </w:rPr>
            </w:pPr>
            <w:r w:rsidRPr="00297E5F">
              <w:rPr>
                <w:i/>
                <w:iCs/>
              </w:rPr>
              <w:t>&lt;&lt;Elaboration on</w:t>
            </w:r>
            <w:r w:rsidR="00074484" w:rsidRPr="00297E5F">
              <w:rPr>
                <w:i/>
                <w:iCs/>
              </w:rPr>
              <w:t xml:space="preserve"> sub-award criterion </w:t>
            </w:r>
            <w:r w:rsidRPr="00297E5F">
              <w:rPr>
                <w:i/>
                <w:iCs/>
              </w:rPr>
              <w:t>1.3&gt;&gt;</w:t>
            </w:r>
          </w:p>
          <w:p w14:paraId="111F1144" w14:textId="77777777" w:rsidR="00213672" w:rsidRPr="00297E5F" w:rsidRDefault="00213672" w:rsidP="00213672">
            <w:pPr>
              <w:rPr>
                <w:i/>
                <w:iCs/>
              </w:rPr>
            </w:pPr>
          </w:p>
          <w:p w14:paraId="69DD0FFB" w14:textId="77777777" w:rsidR="00213672" w:rsidRPr="00297E5F" w:rsidRDefault="00213672" w:rsidP="00213672">
            <w:pPr>
              <w:rPr>
                <w:i/>
                <w:iCs/>
              </w:rPr>
            </w:pPr>
          </w:p>
          <w:p w14:paraId="2167CD62" w14:textId="77777777" w:rsidR="00727D71" w:rsidRPr="00297E5F" w:rsidRDefault="00727D71" w:rsidP="00213672">
            <w:pPr>
              <w:rPr>
                <w:i/>
                <w:iCs/>
              </w:rPr>
            </w:pPr>
          </w:p>
          <w:p w14:paraId="54629EE0" w14:textId="77777777" w:rsidR="00727D71" w:rsidRPr="00297E5F" w:rsidRDefault="00727D71" w:rsidP="00213672">
            <w:pPr>
              <w:rPr>
                <w:i/>
                <w:iCs/>
              </w:rPr>
            </w:pPr>
          </w:p>
          <w:p w14:paraId="545A74F3" w14:textId="77777777" w:rsidR="00727D71" w:rsidRPr="00297E5F" w:rsidRDefault="00727D71" w:rsidP="00213672">
            <w:pPr>
              <w:rPr>
                <w:i/>
                <w:iCs/>
              </w:rPr>
            </w:pPr>
          </w:p>
          <w:p w14:paraId="5AC677EC" w14:textId="77777777" w:rsidR="00727D71" w:rsidRPr="00297E5F" w:rsidRDefault="00727D71" w:rsidP="00213672">
            <w:pPr>
              <w:rPr>
                <w:i/>
                <w:iCs/>
              </w:rPr>
            </w:pPr>
          </w:p>
          <w:p w14:paraId="3B174533" w14:textId="77777777" w:rsidR="00727D71" w:rsidRPr="00297E5F" w:rsidRDefault="00727D71" w:rsidP="00213672">
            <w:pPr>
              <w:rPr>
                <w:i/>
                <w:iCs/>
              </w:rPr>
            </w:pPr>
          </w:p>
          <w:p w14:paraId="0B76AF50" w14:textId="77777777" w:rsidR="00727D71" w:rsidRPr="00297E5F" w:rsidRDefault="00727D71" w:rsidP="00213672">
            <w:pPr>
              <w:rPr>
                <w:i/>
                <w:iCs/>
              </w:rPr>
            </w:pPr>
          </w:p>
          <w:p w14:paraId="27389786" w14:textId="77777777" w:rsidR="008D00AD" w:rsidRPr="00297E5F" w:rsidRDefault="008D00AD" w:rsidP="00213672">
            <w:pPr>
              <w:rPr>
                <w:i/>
                <w:iCs/>
              </w:rPr>
            </w:pPr>
          </w:p>
          <w:p w14:paraId="149FAD24" w14:textId="77777777" w:rsidR="008D00AD" w:rsidRPr="00297E5F" w:rsidRDefault="008D00AD" w:rsidP="00213672">
            <w:pPr>
              <w:rPr>
                <w:i/>
                <w:iCs/>
              </w:rPr>
            </w:pPr>
          </w:p>
          <w:p w14:paraId="45F5566C" w14:textId="77777777" w:rsidR="008D00AD" w:rsidRPr="00297E5F" w:rsidRDefault="008D00AD" w:rsidP="00213672">
            <w:pPr>
              <w:rPr>
                <w:i/>
                <w:iCs/>
              </w:rPr>
            </w:pPr>
          </w:p>
          <w:p w14:paraId="7E74BA06" w14:textId="77777777" w:rsidR="008D00AD" w:rsidRPr="00297E5F" w:rsidRDefault="008D00AD" w:rsidP="00213672">
            <w:pPr>
              <w:rPr>
                <w:i/>
                <w:iCs/>
              </w:rPr>
            </w:pPr>
          </w:p>
          <w:p w14:paraId="02B87FEB" w14:textId="77777777" w:rsidR="00213672" w:rsidRPr="00297E5F" w:rsidRDefault="00213672" w:rsidP="00213672">
            <w:pPr>
              <w:rPr>
                <w:i/>
                <w:iCs/>
              </w:rPr>
            </w:pPr>
          </w:p>
          <w:p w14:paraId="3126D88F" w14:textId="77777777" w:rsidR="00213672" w:rsidRPr="00297E5F" w:rsidRDefault="00213672" w:rsidP="00213672">
            <w:pPr>
              <w:rPr>
                <w:i/>
                <w:iCs/>
              </w:rPr>
            </w:pPr>
          </w:p>
          <w:p w14:paraId="7AC172CF" w14:textId="77777777" w:rsidR="00213672" w:rsidRPr="00297E5F" w:rsidRDefault="00213672" w:rsidP="00213672">
            <w:pPr>
              <w:rPr>
                <w:i/>
                <w:iCs/>
              </w:rPr>
            </w:pPr>
          </w:p>
          <w:p w14:paraId="43BC55FA" w14:textId="77777777" w:rsidR="00213672" w:rsidRPr="00297E5F" w:rsidRDefault="00213672" w:rsidP="00213672">
            <w:pPr>
              <w:rPr>
                <w:i/>
                <w:iCs/>
              </w:rPr>
            </w:pPr>
          </w:p>
          <w:p w14:paraId="3F060142" w14:textId="77777777" w:rsidR="008D00AD" w:rsidRPr="00297E5F" w:rsidRDefault="008D00AD" w:rsidP="00213672">
            <w:pPr>
              <w:rPr>
                <w:i/>
                <w:iCs/>
              </w:rPr>
            </w:pPr>
          </w:p>
          <w:p w14:paraId="192935CC" w14:textId="77777777" w:rsidR="00EE0FFA" w:rsidRPr="00297E5F" w:rsidRDefault="00EE0FFA" w:rsidP="00EE0FFA">
            <w:pPr>
              <w:rPr>
                <w:i/>
                <w:iCs/>
              </w:rPr>
            </w:pPr>
          </w:p>
        </w:tc>
      </w:tr>
    </w:tbl>
    <w:p w14:paraId="0C6D018E" w14:textId="4F03F10A" w:rsidR="0074668F" w:rsidRPr="00297E5F" w:rsidRDefault="0074668F"/>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062"/>
      </w:tblGrid>
      <w:tr w:rsidR="001A1EEB" w:rsidRPr="00297E5F" w14:paraId="28439416" w14:textId="77777777" w:rsidTr="0005287E">
        <w:trPr>
          <w:trHeight w:val="318"/>
        </w:trPr>
        <w:tc>
          <w:tcPr>
            <w:tcW w:w="5000" w:type="pct"/>
          </w:tcPr>
          <w:p w14:paraId="10E0597A" w14:textId="4E39C97A" w:rsidR="001A1EEB" w:rsidRPr="00297E5F" w:rsidRDefault="001A1EEB" w:rsidP="0005287E">
            <w:pPr>
              <w:spacing w:line="276" w:lineRule="auto"/>
              <w:rPr>
                <w:lang w:val="en-US"/>
              </w:rPr>
            </w:pPr>
            <w:r w:rsidRPr="00297E5F">
              <w:rPr>
                <w:b/>
                <w:bCs/>
                <w:lang w:val="en-US"/>
              </w:rPr>
              <w:t>1.</w:t>
            </w:r>
            <w:r w:rsidR="00B45517" w:rsidRPr="00297E5F">
              <w:rPr>
                <w:b/>
                <w:bCs/>
                <w:lang w:val="en-US"/>
              </w:rPr>
              <w:t>4</w:t>
            </w:r>
            <w:r w:rsidRPr="00297E5F">
              <w:rPr>
                <w:b/>
                <w:bCs/>
                <w:lang w:val="en-US"/>
              </w:rPr>
              <w:t xml:space="preserve"> </w:t>
            </w:r>
            <w:r w:rsidR="00B45517" w:rsidRPr="00297E5F">
              <w:t xml:space="preserve"> </w:t>
            </w:r>
            <w:r w:rsidR="00074484" w:rsidRPr="00297E5F">
              <w:rPr>
                <w:b/>
                <w:bCs/>
              </w:rPr>
              <w:t xml:space="preserve">Adding </w:t>
            </w:r>
            <w:r w:rsidR="00CF441F" w:rsidRPr="00297E5F">
              <w:rPr>
                <w:b/>
                <w:bCs/>
                <w:lang w:val="en-US"/>
              </w:rPr>
              <w:t>additional</w:t>
            </w:r>
            <w:r w:rsidR="00B45517" w:rsidRPr="00297E5F">
              <w:rPr>
                <w:b/>
                <w:bCs/>
                <w:lang w:val="en-US"/>
              </w:rPr>
              <w:t xml:space="preserve"> commodities to the Dataset</w:t>
            </w:r>
            <w:r w:rsidR="00074484" w:rsidRPr="00297E5F">
              <w:rPr>
                <w:b/>
                <w:bCs/>
                <w:lang w:val="en-US"/>
              </w:rPr>
              <w:t xml:space="preserve"> (max</w:t>
            </w:r>
            <w:r w:rsidR="00923741" w:rsidRPr="00297E5F">
              <w:rPr>
                <w:b/>
                <w:bCs/>
                <w:lang w:val="en-US"/>
              </w:rPr>
              <w:t>imum</w:t>
            </w:r>
            <w:r w:rsidR="00074484" w:rsidRPr="00297E5F">
              <w:rPr>
                <w:b/>
                <w:bCs/>
                <w:lang w:val="en-US"/>
              </w:rPr>
              <w:t xml:space="preserve"> 75 points)</w:t>
            </w:r>
          </w:p>
          <w:p w14:paraId="09D55E49" w14:textId="77777777" w:rsidR="001A1EEB" w:rsidRPr="00297E5F" w:rsidRDefault="001A1EEB" w:rsidP="0005287E">
            <w:pPr>
              <w:spacing w:line="276" w:lineRule="auto"/>
              <w:rPr>
                <w:lang w:val="en-US"/>
              </w:rPr>
            </w:pPr>
          </w:p>
          <w:p w14:paraId="38D67281" w14:textId="3882CCDA" w:rsidR="00C3225D" w:rsidRPr="00297E5F" w:rsidRDefault="00C3225D" w:rsidP="00C3225D">
            <w:pPr>
              <w:spacing w:line="276" w:lineRule="auto"/>
              <w:rPr>
                <w:i/>
                <w:iCs/>
                <w:lang w:val="en-US"/>
              </w:rPr>
            </w:pPr>
            <w:r w:rsidRPr="00297E5F">
              <w:rPr>
                <w:i/>
                <w:iCs/>
                <w:lang w:val="en-US"/>
              </w:rPr>
              <w:t xml:space="preserve">The Tenderer shall describe the possibilities for adding additional commodities to the Dataset during the term of the </w:t>
            </w:r>
            <w:r w:rsidR="00297E5F" w:rsidRPr="00297E5F">
              <w:rPr>
                <w:i/>
                <w:iCs/>
                <w:lang w:val="en-US"/>
              </w:rPr>
              <w:t>Contract</w:t>
            </w:r>
            <w:r w:rsidRPr="00297E5F">
              <w:rPr>
                <w:i/>
                <w:iCs/>
                <w:lang w:val="en-US"/>
              </w:rPr>
              <w:t xml:space="preserve"> and explain how such requests will be managed.</w:t>
            </w:r>
          </w:p>
          <w:p w14:paraId="15F39928" w14:textId="77777777" w:rsidR="00C3225D" w:rsidRPr="00297E5F" w:rsidRDefault="00C3225D" w:rsidP="00C3225D">
            <w:pPr>
              <w:spacing w:line="276" w:lineRule="auto"/>
              <w:rPr>
                <w:i/>
                <w:iCs/>
                <w:lang w:val="en-US"/>
              </w:rPr>
            </w:pPr>
          </w:p>
          <w:p w14:paraId="58AE0D5D" w14:textId="3D474249" w:rsidR="00074484" w:rsidRPr="00297E5F" w:rsidRDefault="00C3225D" w:rsidP="00C3225D">
            <w:pPr>
              <w:spacing w:line="276" w:lineRule="auto"/>
              <w:rPr>
                <w:i/>
                <w:iCs/>
                <w:lang w:val="en-US"/>
              </w:rPr>
            </w:pPr>
            <w:r w:rsidRPr="00297E5F">
              <w:rPr>
                <w:i/>
                <w:iCs/>
                <w:lang w:val="en-US"/>
              </w:rPr>
              <w:t>The Tenderer shall take into account that the unit price for adding additional commodities to the Dataset shall be calculated based on the average commodity price, as further specified in paragraph 3.2.3.</w:t>
            </w:r>
          </w:p>
        </w:tc>
      </w:tr>
      <w:tr w:rsidR="001A1EEB" w:rsidRPr="00297E5F" w14:paraId="7AACED2E" w14:textId="77777777" w:rsidTr="0005287E">
        <w:trPr>
          <w:trHeight w:val="318"/>
        </w:trPr>
        <w:tc>
          <w:tcPr>
            <w:tcW w:w="5000" w:type="pct"/>
          </w:tcPr>
          <w:p w14:paraId="4394C7AA" w14:textId="6BB150AD" w:rsidR="001A1EEB" w:rsidRPr="00297E5F" w:rsidRDefault="001A1EEB" w:rsidP="0005287E">
            <w:pPr>
              <w:rPr>
                <w:i/>
                <w:iCs/>
              </w:rPr>
            </w:pPr>
            <w:r w:rsidRPr="00297E5F">
              <w:rPr>
                <w:i/>
                <w:iCs/>
              </w:rPr>
              <w:t>&lt;&lt;Elaboration on</w:t>
            </w:r>
            <w:r w:rsidR="00074484" w:rsidRPr="00297E5F">
              <w:rPr>
                <w:i/>
                <w:iCs/>
              </w:rPr>
              <w:t xml:space="preserve"> sub-award criterion </w:t>
            </w:r>
            <w:r w:rsidRPr="00297E5F">
              <w:rPr>
                <w:i/>
                <w:iCs/>
              </w:rPr>
              <w:t>1.</w:t>
            </w:r>
            <w:r w:rsidR="007A630E" w:rsidRPr="00297E5F">
              <w:rPr>
                <w:i/>
                <w:iCs/>
              </w:rPr>
              <w:t>4</w:t>
            </w:r>
            <w:r w:rsidRPr="00297E5F">
              <w:rPr>
                <w:i/>
                <w:iCs/>
              </w:rPr>
              <w:t>&gt;&gt;</w:t>
            </w:r>
          </w:p>
          <w:p w14:paraId="3DBC9D06" w14:textId="77777777" w:rsidR="001A1EEB" w:rsidRPr="00297E5F" w:rsidRDefault="001A1EEB" w:rsidP="0005287E">
            <w:pPr>
              <w:rPr>
                <w:i/>
                <w:iCs/>
              </w:rPr>
            </w:pPr>
          </w:p>
          <w:p w14:paraId="07E0C7F9" w14:textId="77777777" w:rsidR="001A1EEB" w:rsidRPr="00297E5F" w:rsidRDefault="001A1EEB" w:rsidP="0005287E">
            <w:pPr>
              <w:rPr>
                <w:i/>
                <w:iCs/>
              </w:rPr>
            </w:pPr>
          </w:p>
          <w:p w14:paraId="578FADDC" w14:textId="77777777" w:rsidR="001A1EEB" w:rsidRPr="00297E5F" w:rsidRDefault="001A1EEB" w:rsidP="0005287E">
            <w:pPr>
              <w:rPr>
                <w:i/>
                <w:iCs/>
              </w:rPr>
            </w:pPr>
          </w:p>
          <w:p w14:paraId="3E0DA79D" w14:textId="77777777" w:rsidR="001A1EEB" w:rsidRPr="00297E5F" w:rsidRDefault="001A1EEB" w:rsidP="0005287E">
            <w:pPr>
              <w:rPr>
                <w:i/>
                <w:iCs/>
              </w:rPr>
            </w:pPr>
          </w:p>
          <w:p w14:paraId="2CE411F2" w14:textId="77777777" w:rsidR="001A1EEB" w:rsidRPr="00297E5F" w:rsidRDefault="001A1EEB" w:rsidP="0005287E">
            <w:pPr>
              <w:rPr>
                <w:i/>
                <w:iCs/>
              </w:rPr>
            </w:pPr>
          </w:p>
          <w:p w14:paraId="44913792" w14:textId="77777777" w:rsidR="001A1EEB" w:rsidRPr="00297E5F" w:rsidRDefault="001A1EEB" w:rsidP="0005287E">
            <w:pPr>
              <w:rPr>
                <w:i/>
                <w:iCs/>
              </w:rPr>
            </w:pPr>
          </w:p>
          <w:p w14:paraId="120DC0E5" w14:textId="77777777" w:rsidR="001A1EEB" w:rsidRPr="00297E5F" w:rsidRDefault="001A1EEB" w:rsidP="0005287E">
            <w:pPr>
              <w:rPr>
                <w:i/>
                <w:iCs/>
              </w:rPr>
            </w:pPr>
          </w:p>
          <w:p w14:paraId="34ADD766" w14:textId="77777777" w:rsidR="001A1EEB" w:rsidRPr="00297E5F" w:rsidRDefault="001A1EEB" w:rsidP="0005287E">
            <w:pPr>
              <w:rPr>
                <w:i/>
                <w:iCs/>
              </w:rPr>
            </w:pPr>
          </w:p>
          <w:p w14:paraId="0C2D4577" w14:textId="77777777" w:rsidR="001A1EEB" w:rsidRPr="00297E5F" w:rsidRDefault="001A1EEB" w:rsidP="0005287E">
            <w:pPr>
              <w:rPr>
                <w:i/>
                <w:iCs/>
              </w:rPr>
            </w:pPr>
          </w:p>
          <w:p w14:paraId="3FCE9ECD" w14:textId="77777777" w:rsidR="001A1EEB" w:rsidRPr="00297E5F" w:rsidRDefault="001A1EEB" w:rsidP="0005287E">
            <w:pPr>
              <w:rPr>
                <w:i/>
                <w:iCs/>
              </w:rPr>
            </w:pPr>
          </w:p>
          <w:p w14:paraId="74AEFDA1" w14:textId="77777777" w:rsidR="001A1EEB" w:rsidRPr="00297E5F" w:rsidRDefault="001A1EEB" w:rsidP="0005287E">
            <w:pPr>
              <w:rPr>
                <w:i/>
                <w:iCs/>
              </w:rPr>
            </w:pPr>
          </w:p>
          <w:p w14:paraId="7844FD8D" w14:textId="77777777" w:rsidR="001A1EEB" w:rsidRPr="00297E5F" w:rsidRDefault="001A1EEB" w:rsidP="0005287E">
            <w:pPr>
              <w:rPr>
                <w:i/>
                <w:iCs/>
              </w:rPr>
            </w:pPr>
          </w:p>
          <w:p w14:paraId="09BFF201" w14:textId="77777777" w:rsidR="001A1EEB" w:rsidRPr="00297E5F" w:rsidRDefault="001A1EEB" w:rsidP="0005287E">
            <w:pPr>
              <w:rPr>
                <w:i/>
                <w:iCs/>
              </w:rPr>
            </w:pPr>
          </w:p>
          <w:p w14:paraId="23B3B382" w14:textId="77777777" w:rsidR="001A1EEB" w:rsidRPr="00297E5F" w:rsidRDefault="001A1EEB" w:rsidP="0005287E">
            <w:pPr>
              <w:rPr>
                <w:i/>
                <w:iCs/>
              </w:rPr>
            </w:pPr>
          </w:p>
          <w:p w14:paraId="3FFA3CF8" w14:textId="77777777" w:rsidR="001A1EEB" w:rsidRPr="00297E5F" w:rsidRDefault="001A1EEB" w:rsidP="0005287E">
            <w:pPr>
              <w:rPr>
                <w:i/>
                <w:iCs/>
              </w:rPr>
            </w:pPr>
          </w:p>
          <w:p w14:paraId="7E01DF84" w14:textId="77777777" w:rsidR="001A1EEB" w:rsidRPr="00297E5F" w:rsidRDefault="001A1EEB" w:rsidP="0005287E">
            <w:pPr>
              <w:rPr>
                <w:i/>
                <w:iCs/>
              </w:rPr>
            </w:pPr>
          </w:p>
          <w:p w14:paraId="28E8BA99" w14:textId="77777777" w:rsidR="001A1EEB" w:rsidRPr="00297E5F" w:rsidRDefault="001A1EEB" w:rsidP="0005287E">
            <w:pPr>
              <w:rPr>
                <w:i/>
                <w:iCs/>
              </w:rPr>
            </w:pPr>
          </w:p>
          <w:p w14:paraId="034B4BF0" w14:textId="77777777" w:rsidR="001A1EEB" w:rsidRPr="00297E5F" w:rsidRDefault="001A1EEB" w:rsidP="0005287E">
            <w:pPr>
              <w:rPr>
                <w:i/>
                <w:iCs/>
              </w:rPr>
            </w:pPr>
          </w:p>
        </w:tc>
      </w:tr>
    </w:tbl>
    <w:p w14:paraId="24579536" w14:textId="669C2684" w:rsidR="000F056E" w:rsidRPr="00297E5F" w:rsidRDefault="000F056E" w:rsidP="0074668F">
      <w:pPr>
        <w:spacing w:after="160" w:line="259" w:lineRule="auto"/>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9062"/>
      </w:tblGrid>
      <w:tr w:rsidR="003B7D46" w:rsidRPr="00297E5F" w14:paraId="4D51705A" w14:textId="77777777" w:rsidTr="0005287E">
        <w:trPr>
          <w:trHeight w:val="318"/>
        </w:trPr>
        <w:tc>
          <w:tcPr>
            <w:tcW w:w="5000" w:type="pct"/>
            <w:shd w:val="clear" w:color="auto" w:fill="D9E2F3" w:themeFill="accent1" w:themeFillTint="33"/>
          </w:tcPr>
          <w:p w14:paraId="53B2AE59" w14:textId="40BF3B4B" w:rsidR="003B7D46" w:rsidRPr="00297E5F" w:rsidRDefault="003B7D46" w:rsidP="0005287E">
            <w:pPr>
              <w:rPr>
                <w:b/>
                <w:bCs/>
                <w:lang w:val="en-US"/>
              </w:rPr>
            </w:pPr>
            <w:r w:rsidRPr="00297E5F">
              <w:rPr>
                <w:rFonts w:cs="Arial"/>
                <w:b/>
                <w:bCs/>
                <w:lang w:val="en-US"/>
              </w:rPr>
              <w:lastRenderedPageBreak/>
              <w:t>2:</w:t>
            </w:r>
            <w:r w:rsidRPr="00297E5F">
              <w:rPr>
                <w:b/>
                <w:bCs/>
                <w:lang w:val="en-US"/>
              </w:rPr>
              <w:t xml:space="preserve"> Pro</w:t>
            </w:r>
            <w:r w:rsidR="008B5CBD" w:rsidRPr="00297E5F">
              <w:rPr>
                <w:b/>
                <w:bCs/>
                <w:lang w:val="en-US"/>
              </w:rPr>
              <w:t>posed</w:t>
            </w:r>
            <w:r w:rsidRPr="00297E5F">
              <w:rPr>
                <w:b/>
                <w:bCs/>
                <w:lang w:val="en-US"/>
              </w:rPr>
              <w:t xml:space="preserve"> team (maximum 2 A4-pages and maximum 200 points)</w:t>
            </w:r>
          </w:p>
          <w:p w14:paraId="55CA4F4F" w14:textId="0257FD4E" w:rsidR="00866710" w:rsidRPr="00297E5F" w:rsidRDefault="00866710" w:rsidP="0005287E">
            <w:pPr>
              <w:rPr>
                <w:b/>
                <w:bCs/>
                <w:lang w:val="en-US"/>
              </w:rPr>
            </w:pPr>
            <w:r w:rsidRPr="00297E5F">
              <w:rPr>
                <w:rFonts w:eastAsia="Times New Roman"/>
                <w:lang w:val="en-US"/>
              </w:rPr>
              <w:t>Any attached CVs and/or visual materials will not be included in the page limit.</w:t>
            </w:r>
          </w:p>
        </w:tc>
      </w:tr>
      <w:tr w:rsidR="003B7D46" w:rsidRPr="00297E5F" w14:paraId="1282F477" w14:textId="77777777" w:rsidTr="0005287E">
        <w:trPr>
          <w:trHeight w:val="318"/>
        </w:trPr>
        <w:tc>
          <w:tcPr>
            <w:tcW w:w="5000" w:type="pct"/>
          </w:tcPr>
          <w:p w14:paraId="36D210DB" w14:textId="4E882E90" w:rsidR="00CF441F" w:rsidRPr="00297E5F" w:rsidRDefault="00CF441F" w:rsidP="003B7D46">
            <w:pPr>
              <w:spacing w:after="160" w:line="276" w:lineRule="auto"/>
              <w:rPr>
                <w:i/>
                <w:iCs/>
                <w:lang w:val="en-US"/>
              </w:rPr>
            </w:pPr>
            <w:r w:rsidRPr="00297E5F">
              <w:rPr>
                <w:i/>
                <w:iCs/>
                <w:lang w:val="en-US"/>
              </w:rPr>
              <w:t>The Tenderer is requested to describe the proposed team for this award criterion. The Tenderer shall include the following in its proposal:</w:t>
            </w:r>
          </w:p>
          <w:p w14:paraId="0C0F6EA6" w14:textId="77777777" w:rsidR="00CF441F" w:rsidRPr="00297E5F" w:rsidRDefault="00CF441F" w:rsidP="00CF441F">
            <w:pPr>
              <w:spacing w:after="160" w:line="276" w:lineRule="auto"/>
              <w:rPr>
                <w:i/>
                <w:iCs/>
                <w:lang w:val="en-US"/>
              </w:rPr>
            </w:pPr>
            <w:r w:rsidRPr="00297E5F">
              <w:rPr>
                <w:i/>
                <w:iCs/>
                <w:lang w:val="en-US"/>
              </w:rPr>
              <w:t>-</w:t>
            </w:r>
            <w:r w:rsidRPr="00297E5F">
              <w:rPr>
                <w:i/>
                <w:iCs/>
                <w:lang w:val="en-US"/>
              </w:rPr>
              <w:tab/>
              <w:t>An overview of the proposed team composition, including the names, roles, responsibilities, task distribution and an explanation of the suitability of the proposed team;</w:t>
            </w:r>
          </w:p>
          <w:p w14:paraId="47148E93" w14:textId="77777777" w:rsidR="00CF441F" w:rsidRPr="00297E5F" w:rsidRDefault="00CF441F" w:rsidP="00CF441F">
            <w:pPr>
              <w:spacing w:after="160" w:line="276" w:lineRule="auto"/>
              <w:rPr>
                <w:i/>
                <w:iCs/>
                <w:lang w:val="en-US"/>
              </w:rPr>
            </w:pPr>
            <w:r w:rsidRPr="00297E5F">
              <w:rPr>
                <w:i/>
                <w:iCs/>
                <w:lang w:val="en-US"/>
              </w:rPr>
              <w:t>-</w:t>
            </w:r>
            <w:r w:rsidRPr="00297E5F">
              <w:rPr>
                <w:i/>
                <w:iCs/>
                <w:lang w:val="en-US"/>
              </w:rPr>
              <w:tab/>
              <w:t>A brief CV for each proposed team member, including relevant education, work experience and relevant assignments;</w:t>
            </w:r>
          </w:p>
          <w:p w14:paraId="253F8FF8" w14:textId="7AAE870C" w:rsidR="003B7D46" w:rsidRPr="00297E5F" w:rsidRDefault="00CF441F" w:rsidP="00CF441F">
            <w:pPr>
              <w:spacing w:after="160" w:line="276" w:lineRule="auto"/>
            </w:pPr>
            <w:r w:rsidRPr="00297E5F">
              <w:rPr>
                <w:i/>
                <w:iCs/>
                <w:lang w:val="en-US"/>
              </w:rPr>
              <w:t>-</w:t>
            </w:r>
            <w:r w:rsidRPr="00297E5F">
              <w:rPr>
                <w:i/>
                <w:iCs/>
                <w:lang w:val="en-US"/>
              </w:rPr>
              <w:tab/>
              <w:t>A description of the measures in place to ensure the availability of suitably qualified personnel throughout the term of the Contract, including arrangements for personnel replacement where necessary.</w:t>
            </w:r>
          </w:p>
        </w:tc>
      </w:tr>
      <w:tr w:rsidR="003B7D46" w:rsidRPr="004C099C" w14:paraId="789B68CF" w14:textId="77777777" w:rsidTr="0005287E">
        <w:trPr>
          <w:trHeight w:val="318"/>
        </w:trPr>
        <w:tc>
          <w:tcPr>
            <w:tcW w:w="5000" w:type="pct"/>
          </w:tcPr>
          <w:p w14:paraId="44E924C4" w14:textId="63389E43" w:rsidR="003B7D46" w:rsidRPr="004C099C" w:rsidRDefault="003B7D46" w:rsidP="0005287E">
            <w:pPr>
              <w:rPr>
                <w:i/>
                <w:iCs/>
                <w:lang w:val="nl-NL"/>
              </w:rPr>
            </w:pPr>
            <w:r w:rsidRPr="00297E5F">
              <w:rPr>
                <w:i/>
                <w:iCs/>
                <w:lang w:val="nl-NL"/>
              </w:rPr>
              <w:t>&lt;&lt;Elaboration on award criteri</w:t>
            </w:r>
            <w:r w:rsidR="00D10611" w:rsidRPr="00297E5F">
              <w:rPr>
                <w:i/>
                <w:iCs/>
                <w:lang w:val="nl-NL"/>
              </w:rPr>
              <w:t>on</w:t>
            </w:r>
            <w:r w:rsidRPr="00297E5F">
              <w:rPr>
                <w:i/>
                <w:iCs/>
                <w:lang w:val="nl-NL"/>
              </w:rPr>
              <w:t xml:space="preserve"> 2&gt;&gt;</w:t>
            </w:r>
          </w:p>
          <w:p w14:paraId="3F343B22" w14:textId="77777777" w:rsidR="003B7D46" w:rsidRPr="004C099C" w:rsidRDefault="003B7D46" w:rsidP="0005287E">
            <w:pPr>
              <w:rPr>
                <w:i/>
                <w:iCs/>
                <w:lang w:val="nl-NL"/>
              </w:rPr>
            </w:pPr>
          </w:p>
          <w:p w14:paraId="51CD6F93" w14:textId="77777777" w:rsidR="003B7D46" w:rsidRPr="004C099C" w:rsidRDefault="003B7D46" w:rsidP="0005287E">
            <w:pPr>
              <w:rPr>
                <w:i/>
                <w:iCs/>
                <w:lang w:val="nl-NL"/>
              </w:rPr>
            </w:pPr>
          </w:p>
          <w:p w14:paraId="513E4DA4" w14:textId="77777777" w:rsidR="003B7D46" w:rsidRPr="004C099C" w:rsidRDefault="003B7D46" w:rsidP="0005287E">
            <w:pPr>
              <w:rPr>
                <w:i/>
                <w:iCs/>
                <w:lang w:val="nl-NL"/>
              </w:rPr>
            </w:pPr>
          </w:p>
          <w:p w14:paraId="5E35745A" w14:textId="77777777" w:rsidR="003B7D46" w:rsidRPr="004C099C" w:rsidRDefault="003B7D46" w:rsidP="0005287E">
            <w:pPr>
              <w:rPr>
                <w:i/>
                <w:iCs/>
                <w:lang w:val="nl-NL"/>
              </w:rPr>
            </w:pPr>
          </w:p>
          <w:p w14:paraId="43BD907D" w14:textId="77777777" w:rsidR="003B7D46" w:rsidRPr="004C099C" w:rsidRDefault="003B7D46" w:rsidP="0005287E">
            <w:pPr>
              <w:rPr>
                <w:i/>
                <w:iCs/>
                <w:lang w:val="nl-NL"/>
              </w:rPr>
            </w:pPr>
          </w:p>
          <w:p w14:paraId="5A5CE58C" w14:textId="77777777" w:rsidR="003B7D46" w:rsidRPr="004C099C" w:rsidRDefault="003B7D46" w:rsidP="0005287E">
            <w:pPr>
              <w:rPr>
                <w:i/>
                <w:iCs/>
                <w:lang w:val="nl-NL"/>
              </w:rPr>
            </w:pPr>
          </w:p>
          <w:p w14:paraId="38DF1968" w14:textId="77777777" w:rsidR="003B7D46" w:rsidRPr="004C099C" w:rsidRDefault="003B7D46" w:rsidP="0005287E">
            <w:pPr>
              <w:rPr>
                <w:i/>
                <w:iCs/>
                <w:lang w:val="nl-NL"/>
              </w:rPr>
            </w:pPr>
          </w:p>
          <w:p w14:paraId="61DE73AF" w14:textId="77777777" w:rsidR="003B7D46" w:rsidRPr="004C099C" w:rsidRDefault="003B7D46" w:rsidP="0005287E">
            <w:pPr>
              <w:rPr>
                <w:i/>
                <w:iCs/>
                <w:lang w:val="nl-NL"/>
              </w:rPr>
            </w:pPr>
          </w:p>
          <w:p w14:paraId="2E08F6AA" w14:textId="77777777" w:rsidR="003B7D46" w:rsidRPr="004C099C" w:rsidRDefault="003B7D46" w:rsidP="0005287E">
            <w:pPr>
              <w:rPr>
                <w:i/>
                <w:iCs/>
                <w:lang w:val="nl-NL"/>
              </w:rPr>
            </w:pPr>
          </w:p>
          <w:p w14:paraId="28EB956D" w14:textId="77777777" w:rsidR="003B7D46" w:rsidRPr="004C099C" w:rsidRDefault="003B7D46" w:rsidP="0005287E">
            <w:pPr>
              <w:rPr>
                <w:i/>
                <w:iCs/>
                <w:lang w:val="nl-NL"/>
              </w:rPr>
            </w:pPr>
          </w:p>
          <w:p w14:paraId="70D03CE1" w14:textId="77777777" w:rsidR="003B7D46" w:rsidRPr="004C099C" w:rsidRDefault="003B7D46" w:rsidP="0005287E">
            <w:pPr>
              <w:rPr>
                <w:i/>
                <w:iCs/>
                <w:lang w:val="nl-NL"/>
              </w:rPr>
            </w:pPr>
          </w:p>
          <w:p w14:paraId="7FBC6C1C" w14:textId="77777777" w:rsidR="003B7D46" w:rsidRPr="004C099C" w:rsidRDefault="003B7D46" w:rsidP="0005287E">
            <w:pPr>
              <w:rPr>
                <w:i/>
                <w:iCs/>
                <w:lang w:val="nl-NL"/>
              </w:rPr>
            </w:pPr>
          </w:p>
          <w:p w14:paraId="7A8C6F6C" w14:textId="77777777" w:rsidR="003B7D46" w:rsidRPr="004C099C" w:rsidRDefault="003B7D46" w:rsidP="0005287E">
            <w:pPr>
              <w:rPr>
                <w:i/>
                <w:iCs/>
                <w:lang w:val="nl-NL"/>
              </w:rPr>
            </w:pPr>
          </w:p>
        </w:tc>
      </w:tr>
    </w:tbl>
    <w:p w14:paraId="395CFE54" w14:textId="77777777" w:rsidR="001D3CEB" w:rsidRPr="004C099C" w:rsidRDefault="001D3CEB" w:rsidP="002E3D84">
      <w:pPr>
        <w:rPr>
          <w:b/>
          <w:lang w:val="nl-NL"/>
        </w:rPr>
      </w:pPr>
    </w:p>
    <w:sectPr w:rsidR="001D3CEB" w:rsidRPr="004C099C" w:rsidSect="00C845CE">
      <w:footerReference w:type="even"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C95B8" w14:textId="77777777" w:rsidR="0023557F" w:rsidRDefault="0023557F" w:rsidP="00746D40">
      <w:pPr>
        <w:spacing w:line="240" w:lineRule="auto"/>
      </w:pPr>
      <w:r>
        <w:separator/>
      </w:r>
    </w:p>
  </w:endnote>
  <w:endnote w:type="continuationSeparator" w:id="0">
    <w:p w14:paraId="3CB3ACCC" w14:textId="77777777" w:rsidR="0023557F" w:rsidRDefault="0023557F" w:rsidP="00746D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A3B5" w14:textId="20DF0E45" w:rsidR="00746D40" w:rsidRDefault="00746D40">
    <w:pPr>
      <w:pStyle w:val="Voettekst"/>
    </w:pPr>
    <w:r>
      <w:rPr>
        <w:noProof/>
      </w:rPr>
      <mc:AlternateContent>
        <mc:Choice Requires="wps">
          <w:drawing>
            <wp:anchor distT="0" distB="0" distL="0" distR="0" simplePos="0" relativeHeight="251659264" behindDoc="0" locked="0" layoutInCell="1" allowOverlap="1" wp14:anchorId="28333154" wp14:editId="5FAEB255">
              <wp:simplePos x="635" y="635"/>
              <wp:positionH relativeFrom="page">
                <wp:align>left</wp:align>
              </wp:positionH>
              <wp:positionV relativeFrom="page">
                <wp:align>bottom</wp:align>
              </wp:positionV>
              <wp:extent cx="443865" cy="443865"/>
              <wp:effectExtent l="0" t="0" r="825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0A3BC" w14:textId="2FC63FD6" w:rsidR="00746D40" w:rsidRPr="00746D40" w:rsidRDefault="00746D40" w:rsidP="00746D40">
                          <w:pPr>
                            <w:rPr>
                              <w:rFonts w:ascii="Calibri" w:hAnsi="Calibri" w:cs="Calibri"/>
                              <w:noProof/>
                              <w:color w:val="000000"/>
                              <w:sz w:val="20"/>
                              <w:szCs w:val="20"/>
                            </w:rPr>
                          </w:pPr>
                          <w:r w:rsidRPr="00746D40">
                            <w:rPr>
                              <w:rFonts w:ascii="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3315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9F0A3BC" w14:textId="2FC63FD6" w:rsidR="00746D40" w:rsidRPr="00746D40" w:rsidRDefault="00746D40" w:rsidP="00746D40">
                    <w:pPr>
                      <w:rPr>
                        <w:rFonts w:ascii="Calibri" w:hAnsi="Calibri" w:cs="Calibri"/>
                        <w:noProof/>
                        <w:color w:val="000000"/>
                        <w:sz w:val="20"/>
                        <w:szCs w:val="20"/>
                      </w:rPr>
                    </w:pPr>
                    <w:r w:rsidRPr="00746D40">
                      <w:rPr>
                        <w:rFonts w:ascii="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6298"/>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sdt>
            <w:sdtPr>
              <w:id w:val="-1005978632"/>
              <w:docPartObj>
                <w:docPartGallery w:val="Page Numbers (Top of Page)"/>
                <w:docPartUnique/>
              </w:docPartObj>
            </w:sdtPr>
            <w:sdtEndPr/>
            <w:sdtContent>
              <w:p w14:paraId="0D0D8139" w14:textId="0810FB94" w:rsidR="006E0444" w:rsidRPr="00307996" w:rsidRDefault="006E0444" w:rsidP="006E0444">
                <w:pPr>
                  <w:pStyle w:val="Voettekst"/>
                  <w:rPr>
                    <w:sz w:val="16"/>
                    <w:szCs w:val="16"/>
                    <w:lang w:val="en-US"/>
                  </w:rPr>
                </w:pPr>
                <w:r w:rsidRPr="00307996">
                  <w:rPr>
                    <w:sz w:val="16"/>
                    <w:szCs w:val="16"/>
                    <w:lang w:val="en-US"/>
                  </w:rPr>
                  <w:t>A</w:t>
                </w:r>
                <w:r>
                  <w:rPr>
                    <w:sz w:val="16"/>
                    <w:szCs w:val="16"/>
                    <w:lang w:val="en-US"/>
                  </w:rPr>
                  <w:t>nnex 6</w:t>
                </w:r>
                <w:r w:rsidRPr="00307996">
                  <w:rPr>
                    <w:sz w:val="16"/>
                    <w:szCs w:val="16"/>
                    <w:lang w:val="en-US"/>
                  </w:rPr>
                  <w:t xml:space="preserve"> to the Tender </w:t>
                </w:r>
                <w:r>
                  <w:rPr>
                    <w:sz w:val="16"/>
                    <w:szCs w:val="16"/>
                    <w:lang w:val="en-US"/>
                  </w:rPr>
                  <w:t>D</w:t>
                </w:r>
                <w:r w:rsidRPr="00307996">
                  <w:rPr>
                    <w:sz w:val="16"/>
                    <w:szCs w:val="16"/>
                    <w:lang w:val="en-US"/>
                  </w:rPr>
                  <w:t>ocument ‘</w:t>
                </w:r>
                <w:r>
                  <w:rPr>
                    <w:sz w:val="16"/>
                    <w:szCs w:val="16"/>
                    <w:lang w:val="en-US"/>
                  </w:rPr>
                  <w:t>P</w:t>
                </w:r>
                <w:r w:rsidRPr="00307996">
                  <w:rPr>
                    <w:sz w:val="16"/>
                    <w:szCs w:val="16"/>
                    <w:lang w:val="en-US"/>
                  </w:rPr>
                  <w:t>rovision of commodity price Datasets’</w:t>
                </w:r>
              </w:p>
              <w:p w14:paraId="5D791895" w14:textId="097FFFC8" w:rsidR="00D73264" w:rsidRPr="006E0444" w:rsidRDefault="006E0444" w:rsidP="00D73264">
                <w:pPr>
                  <w:pStyle w:val="Voettekst"/>
                </w:pPr>
                <w:r w:rsidRPr="00307996">
                  <w:rPr>
                    <w:sz w:val="16"/>
                    <w:szCs w:val="16"/>
                    <w:lang w:val="en-US"/>
                  </w:rPr>
                  <w:t xml:space="preserve">(IUC-reference </w:t>
                </w:r>
                <w:r w:rsidRPr="00B50B64">
                  <w:rPr>
                    <w:sz w:val="16"/>
                    <w:szCs w:val="16"/>
                    <w:lang w:val="en-US"/>
                  </w:rPr>
                  <w:t>202603054</w:t>
                </w:r>
                <w:r w:rsidRPr="00307996">
                  <w:rPr>
                    <w:sz w:val="16"/>
                    <w:szCs w:val="16"/>
                    <w:lang w:val="en-US"/>
                  </w:rPr>
                  <w:t>)</w:t>
                </w:r>
                <w:r w:rsidRPr="00307996">
                  <w:rPr>
                    <w:sz w:val="16"/>
                    <w:szCs w:val="16"/>
                    <w:lang w:val="en-US"/>
                  </w:rPr>
                  <w:tab/>
                </w:r>
                <w:r w:rsidRPr="00307996">
                  <w:rPr>
                    <w:sz w:val="16"/>
                    <w:szCs w:val="16"/>
                    <w:lang w:val="en-US"/>
                  </w:rPr>
                  <w:tab/>
                  <w:t xml:space="preserve">Page </w:t>
                </w:r>
                <w:r w:rsidRPr="00307996">
                  <w:rPr>
                    <w:b/>
                    <w:bCs/>
                    <w:sz w:val="16"/>
                    <w:szCs w:val="16"/>
                  </w:rPr>
                  <w:fldChar w:fldCharType="begin"/>
                </w:r>
                <w:r w:rsidRPr="00307996">
                  <w:rPr>
                    <w:b/>
                    <w:bCs/>
                    <w:sz w:val="16"/>
                    <w:szCs w:val="16"/>
                    <w:lang w:val="en-US"/>
                  </w:rPr>
                  <w:instrText>PAGE</w:instrText>
                </w:r>
                <w:r w:rsidRPr="00307996">
                  <w:rPr>
                    <w:b/>
                    <w:bCs/>
                    <w:sz w:val="16"/>
                    <w:szCs w:val="16"/>
                  </w:rPr>
                  <w:fldChar w:fldCharType="separate"/>
                </w:r>
                <w:r>
                  <w:rPr>
                    <w:b/>
                    <w:bCs/>
                    <w:sz w:val="16"/>
                    <w:szCs w:val="16"/>
                  </w:rPr>
                  <w:t>2</w:t>
                </w:r>
                <w:r w:rsidRPr="00307996">
                  <w:rPr>
                    <w:b/>
                    <w:bCs/>
                    <w:sz w:val="16"/>
                    <w:szCs w:val="16"/>
                  </w:rPr>
                  <w:fldChar w:fldCharType="end"/>
                </w:r>
                <w:r w:rsidRPr="00307996">
                  <w:rPr>
                    <w:sz w:val="16"/>
                    <w:szCs w:val="16"/>
                    <w:lang w:val="en-US"/>
                  </w:rPr>
                  <w:t xml:space="preserve"> of </w:t>
                </w:r>
                <w:r w:rsidRPr="00307996">
                  <w:rPr>
                    <w:b/>
                    <w:bCs/>
                    <w:sz w:val="16"/>
                    <w:szCs w:val="16"/>
                  </w:rPr>
                  <w:fldChar w:fldCharType="begin"/>
                </w:r>
                <w:r w:rsidRPr="00307996">
                  <w:rPr>
                    <w:b/>
                    <w:bCs/>
                    <w:sz w:val="16"/>
                    <w:szCs w:val="16"/>
                    <w:lang w:val="en-US"/>
                  </w:rPr>
                  <w:instrText>NUMPAGES</w:instrText>
                </w:r>
                <w:r w:rsidRPr="00307996">
                  <w:rPr>
                    <w:b/>
                    <w:bCs/>
                    <w:sz w:val="16"/>
                    <w:szCs w:val="16"/>
                  </w:rPr>
                  <w:fldChar w:fldCharType="separate"/>
                </w:r>
                <w:r>
                  <w:rPr>
                    <w:b/>
                    <w:bCs/>
                    <w:sz w:val="16"/>
                    <w:szCs w:val="16"/>
                  </w:rPr>
                  <w:t>3</w:t>
                </w:r>
                <w:r w:rsidRPr="00307996">
                  <w:rPr>
                    <w:b/>
                    <w:bCs/>
                    <w:sz w:val="16"/>
                    <w:szCs w:val="16"/>
                  </w:rPr>
                  <w:fldChar w:fldCharType="end"/>
                </w:r>
              </w:p>
            </w:sdtContent>
          </w:sdt>
        </w:sdtContent>
      </w:sdt>
    </w:sdtContent>
  </w:sdt>
  <w:p w14:paraId="594C2BE3" w14:textId="6850D0D8" w:rsidR="00C845CE" w:rsidRPr="00F85109" w:rsidRDefault="00C845CE" w:rsidP="00DC4C86">
    <w:pPr>
      <w:pStyle w:val="Voettekst"/>
      <w:jc w:val="right"/>
      <w:rPr>
        <w:sz w:val="16"/>
        <w:szCs w:val="16"/>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BD55" w14:textId="77777777" w:rsidR="0023557F" w:rsidRDefault="0023557F" w:rsidP="00746D40">
      <w:pPr>
        <w:spacing w:line="240" w:lineRule="auto"/>
      </w:pPr>
      <w:r>
        <w:separator/>
      </w:r>
    </w:p>
  </w:footnote>
  <w:footnote w:type="continuationSeparator" w:id="0">
    <w:p w14:paraId="63F0F493" w14:textId="77777777" w:rsidR="0023557F" w:rsidRDefault="0023557F" w:rsidP="00746D4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607A"/>
    <w:multiLevelType w:val="hybridMultilevel"/>
    <w:tmpl w:val="3D96140C"/>
    <w:lvl w:ilvl="0" w:tplc="79BED074">
      <w:start w:val="1"/>
      <w:numFmt w:val="bullet"/>
      <w:lvlText w:val=""/>
      <w:lvlJc w:val="left"/>
      <w:pPr>
        <w:ind w:left="720" w:hanging="360"/>
      </w:pPr>
      <w:rPr>
        <w:rFonts w:ascii="Symbol" w:hAnsi="Symbol" w:hint="default"/>
      </w:rPr>
    </w:lvl>
    <w:lvl w:ilvl="1" w:tplc="A4828534">
      <w:start w:val="1"/>
      <w:numFmt w:val="bullet"/>
      <w:lvlText w:val=""/>
      <w:lvlJc w:val="left"/>
      <w:pPr>
        <w:ind w:left="1440" w:hanging="360"/>
      </w:pPr>
      <w:rPr>
        <w:rFonts w:ascii="Symbol" w:hAnsi="Symbol" w:hint="default"/>
      </w:rPr>
    </w:lvl>
    <w:lvl w:ilvl="2" w:tplc="8182DF5A">
      <w:start w:val="1"/>
      <w:numFmt w:val="bullet"/>
      <w:lvlText w:val=""/>
      <w:lvlJc w:val="left"/>
      <w:pPr>
        <w:ind w:left="2160" w:hanging="360"/>
      </w:pPr>
      <w:rPr>
        <w:rFonts w:ascii="Wingdings" w:hAnsi="Wingdings" w:hint="default"/>
      </w:rPr>
    </w:lvl>
    <w:lvl w:ilvl="3" w:tplc="0EEA74F0">
      <w:start w:val="1"/>
      <w:numFmt w:val="bullet"/>
      <w:lvlText w:val=""/>
      <w:lvlJc w:val="left"/>
      <w:pPr>
        <w:ind w:left="2880" w:hanging="360"/>
      </w:pPr>
      <w:rPr>
        <w:rFonts w:ascii="Symbol" w:hAnsi="Symbol" w:hint="default"/>
      </w:rPr>
    </w:lvl>
    <w:lvl w:ilvl="4" w:tplc="B300BA12">
      <w:start w:val="1"/>
      <w:numFmt w:val="bullet"/>
      <w:lvlText w:val="o"/>
      <w:lvlJc w:val="left"/>
      <w:pPr>
        <w:ind w:left="3600" w:hanging="360"/>
      </w:pPr>
      <w:rPr>
        <w:rFonts w:ascii="Courier New" w:hAnsi="Courier New" w:hint="default"/>
      </w:rPr>
    </w:lvl>
    <w:lvl w:ilvl="5" w:tplc="BFEC5946">
      <w:start w:val="1"/>
      <w:numFmt w:val="bullet"/>
      <w:lvlText w:val=""/>
      <w:lvlJc w:val="left"/>
      <w:pPr>
        <w:ind w:left="4320" w:hanging="360"/>
      </w:pPr>
      <w:rPr>
        <w:rFonts w:ascii="Wingdings" w:hAnsi="Wingdings" w:hint="default"/>
      </w:rPr>
    </w:lvl>
    <w:lvl w:ilvl="6" w:tplc="608431DE">
      <w:start w:val="1"/>
      <w:numFmt w:val="bullet"/>
      <w:lvlText w:val=""/>
      <w:lvlJc w:val="left"/>
      <w:pPr>
        <w:ind w:left="5040" w:hanging="360"/>
      </w:pPr>
      <w:rPr>
        <w:rFonts w:ascii="Symbol" w:hAnsi="Symbol" w:hint="default"/>
      </w:rPr>
    </w:lvl>
    <w:lvl w:ilvl="7" w:tplc="A34876A0">
      <w:start w:val="1"/>
      <w:numFmt w:val="bullet"/>
      <w:lvlText w:val="o"/>
      <w:lvlJc w:val="left"/>
      <w:pPr>
        <w:ind w:left="5760" w:hanging="360"/>
      </w:pPr>
      <w:rPr>
        <w:rFonts w:ascii="Courier New" w:hAnsi="Courier New" w:hint="default"/>
      </w:rPr>
    </w:lvl>
    <w:lvl w:ilvl="8" w:tplc="4BB02FBC">
      <w:start w:val="1"/>
      <w:numFmt w:val="bullet"/>
      <w:lvlText w:val=""/>
      <w:lvlJc w:val="left"/>
      <w:pPr>
        <w:ind w:left="6480" w:hanging="360"/>
      </w:pPr>
      <w:rPr>
        <w:rFonts w:ascii="Wingdings" w:hAnsi="Wingdings" w:hint="default"/>
      </w:rPr>
    </w:lvl>
  </w:abstractNum>
  <w:abstractNum w:abstractNumId="1" w15:restartNumberingAfterBreak="0">
    <w:nsid w:val="179020C7"/>
    <w:multiLevelType w:val="hybridMultilevel"/>
    <w:tmpl w:val="16E24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61036D"/>
    <w:multiLevelType w:val="multilevel"/>
    <w:tmpl w:val="F3A0EC6E"/>
    <w:lvl w:ilvl="0">
      <w:start w:val="1"/>
      <w:numFmt w:val="decimal"/>
      <w:pStyle w:val="Kop1"/>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3"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lvlText w:val="%1.%2.%3"/>
      <w:lvlJc w:val="left"/>
      <w:pPr>
        <w:tabs>
          <w:tab w:val="num" w:pos="567"/>
        </w:tabs>
        <w:ind w:left="567" w:hanging="567"/>
      </w:pPr>
      <w:rPr>
        <w:rFonts w:ascii="Verdana" w:hAnsi="Verdana" w:hint="default"/>
        <w:b w:val="0"/>
        <w:i w:val="0"/>
        <w:sz w:val="18"/>
        <w:szCs w:val="22"/>
      </w:rPr>
    </w:lvl>
    <w:lvl w:ilvl="3">
      <w:start w:val="1"/>
      <w:numFmt w:val="none"/>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4" w15:restartNumberingAfterBreak="0">
    <w:nsid w:val="2C9D3B87"/>
    <w:multiLevelType w:val="multilevel"/>
    <w:tmpl w:val="EC38CF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3EEA47AE"/>
    <w:multiLevelType w:val="hybridMultilevel"/>
    <w:tmpl w:val="1346D3A4"/>
    <w:lvl w:ilvl="0" w:tplc="E63C26FA">
      <w:start w:val="1"/>
      <w:numFmt w:val="bullet"/>
      <w:lvlText w:val=""/>
      <w:lvlJc w:val="left"/>
      <w:pPr>
        <w:ind w:left="720" w:hanging="360"/>
      </w:pPr>
      <w:rPr>
        <w:rFonts w:ascii="Symbol" w:hAnsi="Symbol" w:hint="default"/>
        <w:sz w:val="28"/>
        <w:szCs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BB0A88"/>
    <w:multiLevelType w:val="multilevel"/>
    <w:tmpl w:val="436E3B5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2E0445F"/>
    <w:multiLevelType w:val="multilevel"/>
    <w:tmpl w:val="53C2D0E8"/>
    <w:lvl w:ilvl="0">
      <w:start w:val="1"/>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46335563"/>
    <w:multiLevelType w:val="hybridMultilevel"/>
    <w:tmpl w:val="16E244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0A7AA2"/>
    <w:multiLevelType w:val="multilevel"/>
    <w:tmpl w:val="C56C536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60C6047"/>
    <w:multiLevelType w:val="hybridMultilevel"/>
    <w:tmpl w:val="32900AB2"/>
    <w:lvl w:ilvl="0" w:tplc="E4064D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6233BD7"/>
    <w:multiLevelType w:val="multilevel"/>
    <w:tmpl w:val="C8CE3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7E2F4B"/>
    <w:multiLevelType w:val="hybridMultilevel"/>
    <w:tmpl w:val="16E244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680D51"/>
    <w:multiLevelType w:val="multilevel"/>
    <w:tmpl w:val="1AEC2F8E"/>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6322E00"/>
    <w:multiLevelType w:val="hybridMultilevel"/>
    <w:tmpl w:val="3A4E48E2"/>
    <w:lvl w:ilvl="0" w:tplc="3D9A8770">
      <w:start w:val="100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DDC2EAC"/>
    <w:multiLevelType w:val="multilevel"/>
    <w:tmpl w:val="7AB63E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2008053628">
    <w:abstractNumId w:val="0"/>
  </w:num>
  <w:num w:numId="2" w16cid:durableId="1550610391">
    <w:abstractNumId w:val="3"/>
  </w:num>
  <w:num w:numId="3" w16cid:durableId="89932980">
    <w:abstractNumId w:val="2"/>
  </w:num>
  <w:num w:numId="4" w16cid:durableId="1504778504">
    <w:abstractNumId w:val="8"/>
  </w:num>
  <w:num w:numId="5" w16cid:durableId="1563911206">
    <w:abstractNumId w:val="5"/>
  </w:num>
  <w:num w:numId="6" w16cid:durableId="954020403">
    <w:abstractNumId w:val="12"/>
  </w:num>
  <w:num w:numId="7" w16cid:durableId="1057626734">
    <w:abstractNumId w:val="15"/>
  </w:num>
  <w:num w:numId="8" w16cid:durableId="1779835348">
    <w:abstractNumId w:val="9"/>
  </w:num>
  <w:num w:numId="9" w16cid:durableId="1286427239">
    <w:abstractNumId w:val="1"/>
  </w:num>
  <w:num w:numId="10" w16cid:durableId="1647004345">
    <w:abstractNumId w:val="10"/>
  </w:num>
  <w:num w:numId="11" w16cid:durableId="1686009429">
    <w:abstractNumId w:val="11"/>
  </w:num>
  <w:num w:numId="12" w16cid:durableId="1867867424">
    <w:abstractNumId w:val="7"/>
  </w:num>
  <w:num w:numId="13" w16cid:durableId="1550070816">
    <w:abstractNumId w:val="13"/>
  </w:num>
  <w:num w:numId="14" w16cid:durableId="2005283803">
    <w:abstractNumId w:val="6"/>
  </w:num>
  <w:num w:numId="15" w16cid:durableId="89204495">
    <w:abstractNumId w:val="14"/>
  </w:num>
  <w:num w:numId="16" w16cid:durableId="42966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5C"/>
    <w:rsid w:val="00023608"/>
    <w:rsid w:val="0004345A"/>
    <w:rsid w:val="00043677"/>
    <w:rsid w:val="00047BA8"/>
    <w:rsid w:val="00051B15"/>
    <w:rsid w:val="00052A4A"/>
    <w:rsid w:val="00061FBF"/>
    <w:rsid w:val="00067A92"/>
    <w:rsid w:val="00074484"/>
    <w:rsid w:val="00083B51"/>
    <w:rsid w:val="000A2ADC"/>
    <w:rsid w:val="000C61FF"/>
    <w:rsid w:val="000D68DA"/>
    <w:rsid w:val="000F056E"/>
    <w:rsid w:val="00104DBE"/>
    <w:rsid w:val="00113A75"/>
    <w:rsid w:val="00114454"/>
    <w:rsid w:val="00120042"/>
    <w:rsid w:val="0012355F"/>
    <w:rsid w:val="00127EFF"/>
    <w:rsid w:val="00133B09"/>
    <w:rsid w:val="00133BF6"/>
    <w:rsid w:val="001378FC"/>
    <w:rsid w:val="001645D3"/>
    <w:rsid w:val="00172A95"/>
    <w:rsid w:val="00187A5B"/>
    <w:rsid w:val="0019276E"/>
    <w:rsid w:val="0019388F"/>
    <w:rsid w:val="001A1EEB"/>
    <w:rsid w:val="001B2F12"/>
    <w:rsid w:val="001B6048"/>
    <w:rsid w:val="001C1BEC"/>
    <w:rsid w:val="001C44A4"/>
    <w:rsid w:val="001C648E"/>
    <w:rsid w:val="001D2705"/>
    <w:rsid w:val="001D3CEB"/>
    <w:rsid w:val="001D474A"/>
    <w:rsid w:val="001D7592"/>
    <w:rsid w:val="001E199F"/>
    <w:rsid w:val="001E1EAB"/>
    <w:rsid w:val="0021266E"/>
    <w:rsid w:val="00213672"/>
    <w:rsid w:val="00223A95"/>
    <w:rsid w:val="002332D1"/>
    <w:rsid w:val="0023557F"/>
    <w:rsid w:val="0024765A"/>
    <w:rsid w:val="00274474"/>
    <w:rsid w:val="00276819"/>
    <w:rsid w:val="002852CB"/>
    <w:rsid w:val="0029052C"/>
    <w:rsid w:val="00297E5F"/>
    <w:rsid w:val="002A0962"/>
    <w:rsid w:val="002A7698"/>
    <w:rsid w:val="002B39BE"/>
    <w:rsid w:val="002B42B8"/>
    <w:rsid w:val="002C0261"/>
    <w:rsid w:val="002D1E5F"/>
    <w:rsid w:val="002D3048"/>
    <w:rsid w:val="002E2A29"/>
    <w:rsid w:val="002E2F36"/>
    <w:rsid w:val="002E3D84"/>
    <w:rsid w:val="002E64CE"/>
    <w:rsid w:val="002F069F"/>
    <w:rsid w:val="002F379A"/>
    <w:rsid w:val="002F6498"/>
    <w:rsid w:val="003047E6"/>
    <w:rsid w:val="00305503"/>
    <w:rsid w:val="0030625F"/>
    <w:rsid w:val="00316643"/>
    <w:rsid w:val="00324C21"/>
    <w:rsid w:val="00334125"/>
    <w:rsid w:val="00356BEA"/>
    <w:rsid w:val="00360D2C"/>
    <w:rsid w:val="0036568A"/>
    <w:rsid w:val="00383FFF"/>
    <w:rsid w:val="00385BDE"/>
    <w:rsid w:val="003A17BE"/>
    <w:rsid w:val="003A497A"/>
    <w:rsid w:val="003B2FD8"/>
    <w:rsid w:val="003B7D46"/>
    <w:rsid w:val="003F6CAC"/>
    <w:rsid w:val="00402B73"/>
    <w:rsid w:val="00406930"/>
    <w:rsid w:val="00414E77"/>
    <w:rsid w:val="00420005"/>
    <w:rsid w:val="004213FB"/>
    <w:rsid w:val="00427B20"/>
    <w:rsid w:val="004340E7"/>
    <w:rsid w:val="0043675A"/>
    <w:rsid w:val="00445EB0"/>
    <w:rsid w:val="004552EB"/>
    <w:rsid w:val="00460A16"/>
    <w:rsid w:val="004620BC"/>
    <w:rsid w:val="00472165"/>
    <w:rsid w:val="00480755"/>
    <w:rsid w:val="00492601"/>
    <w:rsid w:val="004B023F"/>
    <w:rsid w:val="004B34EC"/>
    <w:rsid w:val="004C099C"/>
    <w:rsid w:val="004C57B9"/>
    <w:rsid w:val="004C6AA0"/>
    <w:rsid w:val="004D3D5A"/>
    <w:rsid w:val="004D5055"/>
    <w:rsid w:val="004E5198"/>
    <w:rsid w:val="004F1395"/>
    <w:rsid w:val="004F317C"/>
    <w:rsid w:val="00500EAD"/>
    <w:rsid w:val="00506A40"/>
    <w:rsid w:val="0050702D"/>
    <w:rsid w:val="00521983"/>
    <w:rsid w:val="00524CAF"/>
    <w:rsid w:val="005355A7"/>
    <w:rsid w:val="0056471A"/>
    <w:rsid w:val="00565457"/>
    <w:rsid w:val="00573390"/>
    <w:rsid w:val="005746E4"/>
    <w:rsid w:val="0057621B"/>
    <w:rsid w:val="00576780"/>
    <w:rsid w:val="00583D8A"/>
    <w:rsid w:val="005A76BC"/>
    <w:rsid w:val="005B4027"/>
    <w:rsid w:val="005B7A8D"/>
    <w:rsid w:val="005C3643"/>
    <w:rsid w:val="005D48D8"/>
    <w:rsid w:val="005D7947"/>
    <w:rsid w:val="005E099A"/>
    <w:rsid w:val="005E39D3"/>
    <w:rsid w:val="005E51BE"/>
    <w:rsid w:val="00605576"/>
    <w:rsid w:val="00616257"/>
    <w:rsid w:val="006268C4"/>
    <w:rsid w:val="0062712B"/>
    <w:rsid w:val="00637B20"/>
    <w:rsid w:val="006432C7"/>
    <w:rsid w:val="0066675A"/>
    <w:rsid w:val="006C6B54"/>
    <w:rsid w:val="006C7159"/>
    <w:rsid w:val="006D7D40"/>
    <w:rsid w:val="006E0444"/>
    <w:rsid w:val="006E0F71"/>
    <w:rsid w:val="006F1916"/>
    <w:rsid w:val="006F348B"/>
    <w:rsid w:val="006F5692"/>
    <w:rsid w:val="007117A4"/>
    <w:rsid w:val="00727D71"/>
    <w:rsid w:val="00744604"/>
    <w:rsid w:val="0074668F"/>
    <w:rsid w:val="00746D40"/>
    <w:rsid w:val="00763B95"/>
    <w:rsid w:val="00767ACB"/>
    <w:rsid w:val="00771555"/>
    <w:rsid w:val="00780F19"/>
    <w:rsid w:val="00797EBA"/>
    <w:rsid w:val="007A0EEB"/>
    <w:rsid w:val="007A0FF5"/>
    <w:rsid w:val="007A630E"/>
    <w:rsid w:val="007B27B2"/>
    <w:rsid w:val="007B7ED9"/>
    <w:rsid w:val="007C26C2"/>
    <w:rsid w:val="007D5E21"/>
    <w:rsid w:val="007D6AF2"/>
    <w:rsid w:val="007D768D"/>
    <w:rsid w:val="007E5EBD"/>
    <w:rsid w:val="007F46DF"/>
    <w:rsid w:val="00803DD5"/>
    <w:rsid w:val="00807A9A"/>
    <w:rsid w:val="0081358E"/>
    <w:rsid w:val="008159C2"/>
    <w:rsid w:val="00825C6F"/>
    <w:rsid w:val="00831A6C"/>
    <w:rsid w:val="00835F5C"/>
    <w:rsid w:val="00856916"/>
    <w:rsid w:val="00866710"/>
    <w:rsid w:val="00883142"/>
    <w:rsid w:val="00890D3F"/>
    <w:rsid w:val="008A2AEB"/>
    <w:rsid w:val="008B2BDC"/>
    <w:rsid w:val="008B5CBD"/>
    <w:rsid w:val="008D00AD"/>
    <w:rsid w:val="008D0BEE"/>
    <w:rsid w:val="008D43BB"/>
    <w:rsid w:val="008F32BF"/>
    <w:rsid w:val="008F3574"/>
    <w:rsid w:val="009066EC"/>
    <w:rsid w:val="00910BC5"/>
    <w:rsid w:val="009216C4"/>
    <w:rsid w:val="0092190B"/>
    <w:rsid w:val="00923741"/>
    <w:rsid w:val="009341FF"/>
    <w:rsid w:val="009500BD"/>
    <w:rsid w:val="00955774"/>
    <w:rsid w:val="0096462B"/>
    <w:rsid w:val="009748F4"/>
    <w:rsid w:val="009B2DBD"/>
    <w:rsid w:val="009B4054"/>
    <w:rsid w:val="009B5586"/>
    <w:rsid w:val="009F168F"/>
    <w:rsid w:val="009F2BFA"/>
    <w:rsid w:val="009F684B"/>
    <w:rsid w:val="00A11E18"/>
    <w:rsid w:val="00A149A8"/>
    <w:rsid w:val="00A22343"/>
    <w:rsid w:val="00A55BB0"/>
    <w:rsid w:val="00A63335"/>
    <w:rsid w:val="00A67BA7"/>
    <w:rsid w:val="00A764EA"/>
    <w:rsid w:val="00A77F0E"/>
    <w:rsid w:val="00A94787"/>
    <w:rsid w:val="00AA12C1"/>
    <w:rsid w:val="00AA1DB0"/>
    <w:rsid w:val="00AA2F3A"/>
    <w:rsid w:val="00AA3D4C"/>
    <w:rsid w:val="00AA6785"/>
    <w:rsid w:val="00AB4765"/>
    <w:rsid w:val="00AB4F16"/>
    <w:rsid w:val="00AB7260"/>
    <w:rsid w:val="00AC1942"/>
    <w:rsid w:val="00AC3405"/>
    <w:rsid w:val="00AD66C1"/>
    <w:rsid w:val="00AE2173"/>
    <w:rsid w:val="00B02F86"/>
    <w:rsid w:val="00B11095"/>
    <w:rsid w:val="00B2306E"/>
    <w:rsid w:val="00B24FCE"/>
    <w:rsid w:val="00B254E9"/>
    <w:rsid w:val="00B3764C"/>
    <w:rsid w:val="00B4078B"/>
    <w:rsid w:val="00B45517"/>
    <w:rsid w:val="00B601D3"/>
    <w:rsid w:val="00B73242"/>
    <w:rsid w:val="00B73E0F"/>
    <w:rsid w:val="00BA4D9B"/>
    <w:rsid w:val="00BC30A1"/>
    <w:rsid w:val="00BC4A8C"/>
    <w:rsid w:val="00BC6EE0"/>
    <w:rsid w:val="00BD1D66"/>
    <w:rsid w:val="00BE251D"/>
    <w:rsid w:val="00BF1102"/>
    <w:rsid w:val="00C03CF6"/>
    <w:rsid w:val="00C04A6B"/>
    <w:rsid w:val="00C21233"/>
    <w:rsid w:val="00C21ADA"/>
    <w:rsid w:val="00C23CB6"/>
    <w:rsid w:val="00C27B9F"/>
    <w:rsid w:val="00C3225D"/>
    <w:rsid w:val="00C34555"/>
    <w:rsid w:val="00C355A1"/>
    <w:rsid w:val="00C45AA2"/>
    <w:rsid w:val="00C47A77"/>
    <w:rsid w:val="00C553BA"/>
    <w:rsid w:val="00C6475A"/>
    <w:rsid w:val="00C81ADC"/>
    <w:rsid w:val="00C845CE"/>
    <w:rsid w:val="00C84F94"/>
    <w:rsid w:val="00C8787F"/>
    <w:rsid w:val="00C96F8E"/>
    <w:rsid w:val="00CA24CA"/>
    <w:rsid w:val="00CB1A39"/>
    <w:rsid w:val="00CB1B62"/>
    <w:rsid w:val="00CC0FAE"/>
    <w:rsid w:val="00CD31E3"/>
    <w:rsid w:val="00CD457B"/>
    <w:rsid w:val="00CD4FAE"/>
    <w:rsid w:val="00CE4B5C"/>
    <w:rsid w:val="00CF441F"/>
    <w:rsid w:val="00CF5C17"/>
    <w:rsid w:val="00D10611"/>
    <w:rsid w:val="00D159FC"/>
    <w:rsid w:val="00D36C7D"/>
    <w:rsid w:val="00D5730A"/>
    <w:rsid w:val="00D66E60"/>
    <w:rsid w:val="00D73264"/>
    <w:rsid w:val="00D76821"/>
    <w:rsid w:val="00D80971"/>
    <w:rsid w:val="00D84F03"/>
    <w:rsid w:val="00DC4C86"/>
    <w:rsid w:val="00DC7BED"/>
    <w:rsid w:val="00DE020B"/>
    <w:rsid w:val="00DE59FA"/>
    <w:rsid w:val="00DF5D3B"/>
    <w:rsid w:val="00E11EE2"/>
    <w:rsid w:val="00E14E0C"/>
    <w:rsid w:val="00E25D9E"/>
    <w:rsid w:val="00E31883"/>
    <w:rsid w:val="00E5253B"/>
    <w:rsid w:val="00E5550E"/>
    <w:rsid w:val="00E76EF6"/>
    <w:rsid w:val="00E830BA"/>
    <w:rsid w:val="00E909B0"/>
    <w:rsid w:val="00E955E6"/>
    <w:rsid w:val="00E9712B"/>
    <w:rsid w:val="00EA4814"/>
    <w:rsid w:val="00EA5E06"/>
    <w:rsid w:val="00EC1267"/>
    <w:rsid w:val="00EC5F47"/>
    <w:rsid w:val="00ED7503"/>
    <w:rsid w:val="00EE0FFA"/>
    <w:rsid w:val="00EE6923"/>
    <w:rsid w:val="00EF2925"/>
    <w:rsid w:val="00EF74A5"/>
    <w:rsid w:val="00F00A80"/>
    <w:rsid w:val="00F05079"/>
    <w:rsid w:val="00F12FD6"/>
    <w:rsid w:val="00F2046A"/>
    <w:rsid w:val="00F20CA5"/>
    <w:rsid w:val="00F22853"/>
    <w:rsid w:val="00F7760E"/>
    <w:rsid w:val="00F85109"/>
    <w:rsid w:val="00F861F5"/>
    <w:rsid w:val="00FC3CB6"/>
    <w:rsid w:val="00FE7327"/>
    <w:rsid w:val="00FF4843"/>
    <w:rsid w:val="011B688F"/>
    <w:rsid w:val="016603D1"/>
    <w:rsid w:val="01DA0FDE"/>
    <w:rsid w:val="03166B6A"/>
    <w:rsid w:val="03E5D1E6"/>
    <w:rsid w:val="05B7FDA7"/>
    <w:rsid w:val="13CA2967"/>
    <w:rsid w:val="1A68B49D"/>
    <w:rsid w:val="1B4863F6"/>
    <w:rsid w:val="1EB4339C"/>
    <w:rsid w:val="2025FF30"/>
    <w:rsid w:val="26EAC9A2"/>
    <w:rsid w:val="29F04F97"/>
    <w:rsid w:val="29F6DC87"/>
    <w:rsid w:val="397627C5"/>
    <w:rsid w:val="3F7D747F"/>
    <w:rsid w:val="46F00F0A"/>
    <w:rsid w:val="479FE970"/>
    <w:rsid w:val="48ACB4DD"/>
    <w:rsid w:val="48C35F1A"/>
    <w:rsid w:val="4D92DCF2"/>
    <w:rsid w:val="50B674AA"/>
    <w:rsid w:val="54C385EE"/>
    <w:rsid w:val="562D732F"/>
    <w:rsid w:val="5BB832C3"/>
    <w:rsid w:val="5C6863CF"/>
    <w:rsid w:val="5D3F4246"/>
    <w:rsid w:val="5E7385CB"/>
    <w:rsid w:val="60302BDC"/>
    <w:rsid w:val="60F170AA"/>
    <w:rsid w:val="6124EC82"/>
    <w:rsid w:val="631077CB"/>
    <w:rsid w:val="6531237C"/>
    <w:rsid w:val="65FAA355"/>
    <w:rsid w:val="68379410"/>
    <w:rsid w:val="6B60C276"/>
    <w:rsid w:val="6F2876A0"/>
    <w:rsid w:val="72BC3F7E"/>
    <w:rsid w:val="74A650BC"/>
    <w:rsid w:val="782A25D9"/>
    <w:rsid w:val="796E7198"/>
    <w:rsid w:val="7DF9D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FB86"/>
  <w15:chartTrackingRefBased/>
  <w15:docId w15:val="{3CA67475-4876-417B-A931-52DA7A5E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6930"/>
    <w:pPr>
      <w:spacing w:after="0" w:line="240" w:lineRule="atLeast"/>
    </w:pPr>
    <w:rPr>
      <w:rFonts w:ascii="Verdana" w:hAnsi="Verdana" w:cs="Times New Roman"/>
      <w:sz w:val="18"/>
      <w:szCs w:val="18"/>
      <w:lang w:val="en-GB" w:eastAsia="en-GB"/>
    </w:rPr>
  </w:style>
  <w:style w:type="paragraph" w:styleId="Kop1">
    <w:name w:val="heading 1"/>
    <w:basedOn w:val="Standaard"/>
    <w:next w:val="Standaard"/>
    <w:link w:val="Kop1Char"/>
    <w:uiPriority w:val="9"/>
    <w:qFormat/>
    <w:rsid w:val="00835F5C"/>
    <w:pPr>
      <w:keepNext/>
      <w:keepLines/>
      <w:numPr>
        <w:numId w:val="3"/>
      </w:numPr>
      <w:spacing w:before="480"/>
      <w:outlineLvl w:val="0"/>
    </w:pPr>
    <w:rPr>
      <w:rFonts w:eastAsiaTheme="majorEastAsia" w:cstheme="majorBidi"/>
      <w:b/>
      <w:bCs/>
      <w:kern w:val="0"/>
      <w:sz w:val="28"/>
      <w:szCs w:val="28"/>
      <w:lang w:val="nl-NL" w:eastAsia="en-US"/>
      <w14:ligatures w14:val="none"/>
    </w:rPr>
  </w:style>
  <w:style w:type="paragraph" w:styleId="Kop2">
    <w:name w:val="heading 2"/>
    <w:basedOn w:val="Standaard"/>
    <w:next w:val="Standaard"/>
    <w:link w:val="Kop2Char"/>
    <w:unhideWhenUsed/>
    <w:qFormat/>
    <w:rsid w:val="00406930"/>
    <w:pPr>
      <w:keepNext/>
      <w:keepLines/>
      <w:spacing w:before="200"/>
      <w:outlineLvl w:val="1"/>
    </w:pPr>
    <w:rPr>
      <w:rFonts w:eastAsia="Times New Roman" w:cstheme="minorBidi"/>
      <w:b/>
      <w:bCs/>
      <w:sz w:val="22"/>
      <w:szCs w:val="26"/>
    </w:rPr>
  </w:style>
  <w:style w:type="paragraph" w:styleId="Kop3">
    <w:name w:val="heading 3"/>
    <w:basedOn w:val="Standaard"/>
    <w:next w:val="Standaard"/>
    <w:link w:val="Kop3Char"/>
    <w:autoRedefine/>
    <w:unhideWhenUsed/>
    <w:qFormat/>
    <w:rsid w:val="00406930"/>
    <w:pPr>
      <w:keepNext/>
      <w:keepLines/>
      <w:spacing w:before="200" w:after="120"/>
      <w:outlineLvl w:val="2"/>
    </w:pPr>
    <w:rPr>
      <w:rFonts w:eastAsia="Times New Roman" w:cstheme="minorBidi"/>
      <w:b/>
      <w:bCs/>
    </w:rPr>
  </w:style>
  <w:style w:type="paragraph" w:styleId="Kop4">
    <w:name w:val="heading 4"/>
    <w:basedOn w:val="Standaard"/>
    <w:next w:val="Standaard"/>
    <w:link w:val="Kop4Char"/>
    <w:uiPriority w:val="9"/>
    <w:qFormat/>
    <w:rsid w:val="00835F5C"/>
    <w:pPr>
      <w:keepNext/>
      <w:tabs>
        <w:tab w:val="num" w:pos="360"/>
      </w:tabs>
      <w:spacing w:before="300" w:after="120"/>
      <w:ind w:left="284" w:hanging="284"/>
      <w:outlineLvl w:val="3"/>
    </w:pPr>
    <w:rPr>
      <w:rFonts w:eastAsia="Times New Roman"/>
      <w:kern w:val="0"/>
      <w:szCs w:val="24"/>
      <w:u w:val="single"/>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sid w:val="00406930"/>
    <w:rPr>
      <w:rFonts w:ascii="Verdana" w:eastAsia="Times New Roman" w:hAnsi="Verdana"/>
      <w:b/>
      <w:bCs/>
      <w:szCs w:val="26"/>
      <w:lang w:val="en-GB" w:eastAsia="en-GB"/>
    </w:rPr>
  </w:style>
  <w:style w:type="character" w:customStyle="1" w:styleId="Kop3Char">
    <w:name w:val="Kop 3 Char"/>
    <w:link w:val="Kop3"/>
    <w:uiPriority w:val="9"/>
    <w:rsid w:val="00406930"/>
    <w:rPr>
      <w:rFonts w:ascii="Verdana" w:eastAsia="Times New Roman" w:hAnsi="Verdana"/>
      <w:b/>
      <w:bCs/>
      <w:sz w:val="18"/>
      <w:szCs w:val="18"/>
      <w:lang w:val="en-GB" w:eastAsia="en-GB"/>
    </w:rPr>
  </w:style>
  <w:style w:type="character" w:customStyle="1" w:styleId="Kop4Char">
    <w:name w:val="Kop 4 Char"/>
    <w:basedOn w:val="Standaardalinea-lettertype"/>
    <w:link w:val="Kop4"/>
    <w:rsid w:val="00835F5C"/>
    <w:rPr>
      <w:rFonts w:ascii="Verdana" w:eastAsia="Times New Roman" w:hAnsi="Verdana" w:cs="Times New Roman"/>
      <w:kern w:val="0"/>
      <w:sz w:val="18"/>
      <w:szCs w:val="24"/>
      <w:u w:val="single"/>
      <w:lang w:eastAsia="nl-NL"/>
      <w14:ligatures w14:val="none"/>
    </w:rPr>
  </w:style>
  <w:style w:type="character" w:styleId="Voetnootmarkering">
    <w:name w:val="footnote reference"/>
    <w:uiPriority w:val="99"/>
    <w:semiHidden/>
    <w:unhideWhenUsed/>
    <w:rsid w:val="00835F5C"/>
    <w:rPr>
      <w:vertAlign w:val="superscript"/>
    </w:rPr>
  </w:style>
  <w:style w:type="character" w:customStyle="1" w:styleId="Kop1Char">
    <w:name w:val="Kop 1 Char"/>
    <w:basedOn w:val="Standaardalinea-lettertype"/>
    <w:link w:val="Kop1"/>
    <w:uiPriority w:val="9"/>
    <w:rsid w:val="00835F5C"/>
    <w:rPr>
      <w:rFonts w:ascii="Verdana" w:eastAsiaTheme="majorEastAsia" w:hAnsi="Verdana" w:cstheme="majorBidi"/>
      <w:b/>
      <w:bCs/>
      <w:kern w:val="0"/>
      <w:sz w:val="28"/>
      <w:szCs w:val="28"/>
      <w14:ligatures w14:val="none"/>
    </w:rPr>
  </w:style>
  <w:style w:type="paragraph" w:styleId="Geenafstand">
    <w:name w:val="No Spacing"/>
    <w:uiPriority w:val="1"/>
    <w:qFormat/>
    <w:rsid w:val="00835F5C"/>
    <w:pPr>
      <w:spacing w:after="0" w:line="240" w:lineRule="auto"/>
    </w:pPr>
    <w:rPr>
      <w:rFonts w:eastAsiaTheme="minorHAnsi"/>
      <w:kern w:val="0"/>
      <w:lang w:val="en-US"/>
      <w14:ligatures w14:val="none"/>
    </w:rPr>
  </w:style>
  <w:style w:type="paragraph" w:styleId="Voettekst">
    <w:name w:val="footer"/>
    <w:basedOn w:val="Standaard"/>
    <w:link w:val="VoettekstChar"/>
    <w:uiPriority w:val="99"/>
    <w:unhideWhenUsed/>
    <w:rsid w:val="00746D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46D40"/>
    <w:rPr>
      <w:rFonts w:ascii="Verdana" w:hAnsi="Verdana" w:cs="Times New Roman"/>
      <w:sz w:val="18"/>
      <w:szCs w:val="18"/>
      <w:lang w:val="en-GB" w:eastAsia="en-GB"/>
    </w:rPr>
  </w:style>
  <w:style w:type="paragraph" w:styleId="Lijstalinea">
    <w:name w:val="List Paragraph"/>
    <w:aliases w:val="Configuration Code,List Paragraph1,Paragraaf zonder nummering,Kop 1.1,Bulletlijst NS,Bullet Number,lp1,lp11,List Paragraph11,Bullet 1,Use Case List Paragraph,Num Bullet 1,Bullet List,FooterText,Num List Paragraph,Heading2,b1,-_BOMW"/>
    <w:basedOn w:val="Standaard"/>
    <w:link w:val="LijstalineaChar"/>
    <w:uiPriority w:val="34"/>
    <w:qFormat/>
    <w:rsid w:val="00172A95"/>
    <w:pPr>
      <w:ind w:left="720"/>
      <w:contextualSpacing/>
    </w:pPr>
  </w:style>
  <w:style w:type="paragraph" w:customStyle="1" w:styleId="Default">
    <w:name w:val="Default"/>
    <w:rsid w:val="001D3CEB"/>
    <w:pPr>
      <w:autoSpaceDE w:val="0"/>
      <w:autoSpaceDN w:val="0"/>
      <w:adjustRightInd w:val="0"/>
      <w:spacing w:after="0" w:line="240" w:lineRule="auto"/>
    </w:pPr>
    <w:rPr>
      <w:rFonts w:ascii="Verdana" w:eastAsiaTheme="minorHAnsi" w:hAnsi="Verdana" w:cs="Verdana"/>
      <w:color w:val="000000"/>
      <w:kern w:val="0"/>
      <w:sz w:val="24"/>
      <w:szCs w:val="24"/>
      <w14:ligatures w14:val="none"/>
    </w:rPr>
  </w:style>
  <w:style w:type="paragraph" w:styleId="Koptekst">
    <w:name w:val="header"/>
    <w:basedOn w:val="Standaard"/>
    <w:link w:val="KoptekstChar"/>
    <w:uiPriority w:val="99"/>
    <w:unhideWhenUsed/>
    <w:rsid w:val="001D3C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3CEB"/>
    <w:rPr>
      <w:rFonts w:ascii="Verdana" w:hAnsi="Verdana" w:cs="Times New Roman"/>
      <w:sz w:val="18"/>
      <w:szCs w:val="18"/>
      <w:lang w:val="en-GB" w:eastAsia="en-GB"/>
    </w:rPr>
  </w:style>
  <w:style w:type="character" w:customStyle="1" w:styleId="normaltextrun">
    <w:name w:val="normaltextrun"/>
    <w:basedOn w:val="Standaardalinea-lettertype"/>
    <w:rsid w:val="00B73E0F"/>
  </w:style>
  <w:style w:type="character" w:customStyle="1" w:styleId="LijstalineaChar">
    <w:name w:val="Lijstalinea Char"/>
    <w:aliases w:val="Configuration Code Char,List Paragraph1 Char,Paragraaf zonder nummering Char,Kop 1.1 Char,Bulletlijst NS Char,Bullet Number Char,lp1 Char,lp11 Char,List Paragraph11 Char,Bullet 1 Char,Use Case List Paragraph Char,Num Bullet 1 Char"/>
    <w:basedOn w:val="Standaardalinea-lettertype"/>
    <w:link w:val="Lijstalinea"/>
    <w:uiPriority w:val="34"/>
    <w:locked/>
    <w:rsid w:val="004552EB"/>
    <w:rPr>
      <w:rFonts w:ascii="Verdana" w:hAnsi="Verdana" w:cs="Times New Roman"/>
      <w:sz w:val="18"/>
      <w:szCs w:val="18"/>
      <w:lang w:val="en-GB" w:eastAsia="en-GB"/>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187A5B"/>
    <w:rPr>
      <w:color w:val="0563C1" w:themeColor="hyperlink"/>
      <w:u w:val="single"/>
    </w:rPr>
  </w:style>
  <w:style w:type="character" w:styleId="Onopgelostemelding">
    <w:name w:val="Unresolved Mention"/>
    <w:basedOn w:val="Standaardalinea-lettertype"/>
    <w:uiPriority w:val="99"/>
    <w:semiHidden/>
    <w:unhideWhenUsed/>
    <w:rsid w:val="00187A5B"/>
    <w:rPr>
      <w:color w:val="605E5C"/>
      <w:shd w:val="clear" w:color="auto" w:fill="E1DFDD"/>
    </w:rPr>
  </w:style>
  <w:style w:type="paragraph" w:styleId="Revisie">
    <w:name w:val="Revision"/>
    <w:hidden/>
    <w:uiPriority w:val="99"/>
    <w:semiHidden/>
    <w:rsid w:val="00825C6F"/>
    <w:pPr>
      <w:spacing w:after="0" w:line="240" w:lineRule="auto"/>
    </w:pPr>
    <w:rPr>
      <w:rFonts w:ascii="Verdana" w:hAnsi="Verdana" w:cs="Times New Roman"/>
      <w:sz w:val="18"/>
      <w:szCs w:val="18"/>
      <w:lang w:val="en-GB" w:eastAsia="en-GB"/>
    </w:rPr>
  </w:style>
  <w:style w:type="character" w:styleId="Verwijzingopmerking">
    <w:name w:val="annotation reference"/>
    <w:basedOn w:val="Standaardalinea-lettertype"/>
    <w:uiPriority w:val="99"/>
    <w:unhideWhenUsed/>
    <w:rsid w:val="00825C6F"/>
    <w:rPr>
      <w:sz w:val="16"/>
      <w:szCs w:val="16"/>
    </w:rPr>
  </w:style>
  <w:style w:type="paragraph" w:styleId="Tekstopmerking">
    <w:name w:val="annotation text"/>
    <w:basedOn w:val="Standaard"/>
    <w:link w:val="TekstopmerkingChar"/>
    <w:uiPriority w:val="99"/>
    <w:unhideWhenUsed/>
    <w:rsid w:val="00825C6F"/>
    <w:pPr>
      <w:spacing w:line="240" w:lineRule="auto"/>
    </w:pPr>
    <w:rPr>
      <w:sz w:val="20"/>
      <w:szCs w:val="20"/>
    </w:rPr>
  </w:style>
  <w:style w:type="character" w:customStyle="1" w:styleId="TekstopmerkingChar">
    <w:name w:val="Tekst opmerking Char"/>
    <w:basedOn w:val="Standaardalinea-lettertype"/>
    <w:link w:val="Tekstopmerking"/>
    <w:uiPriority w:val="99"/>
    <w:rsid w:val="00825C6F"/>
    <w:rPr>
      <w:rFonts w:ascii="Verdana" w:hAnsi="Verdana" w:cs="Times New Roman"/>
      <w:sz w:val="20"/>
      <w:szCs w:val="20"/>
      <w:lang w:val="en-GB" w:eastAsia="en-GB"/>
    </w:rPr>
  </w:style>
  <w:style w:type="paragraph" w:styleId="Onderwerpvanopmerking">
    <w:name w:val="annotation subject"/>
    <w:basedOn w:val="Tekstopmerking"/>
    <w:next w:val="Tekstopmerking"/>
    <w:link w:val="OnderwerpvanopmerkingChar"/>
    <w:uiPriority w:val="99"/>
    <w:semiHidden/>
    <w:unhideWhenUsed/>
    <w:rsid w:val="00825C6F"/>
    <w:rPr>
      <w:b/>
      <w:bCs/>
    </w:rPr>
  </w:style>
  <w:style w:type="character" w:customStyle="1" w:styleId="OnderwerpvanopmerkingChar">
    <w:name w:val="Onderwerp van opmerking Char"/>
    <w:basedOn w:val="TekstopmerkingChar"/>
    <w:link w:val="Onderwerpvanopmerking"/>
    <w:uiPriority w:val="99"/>
    <w:semiHidden/>
    <w:rsid w:val="00825C6F"/>
    <w:rPr>
      <w:rFonts w:ascii="Verdana" w:hAnsi="Verdana" w:cs="Times New Roman"/>
      <w:b/>
      <w:bCs/>
      <w:sz w:val="20"/>
      <w:szCs w:val="20"/>
      <w:lang w:val="en-GB" w:eastAsia="en-GB"/>
    </w:rPr>
  </w:style>
  <w:style w:type="paragraph" w:customStyle="1" w:styleId="Eis11">
    <w:name w:val="Eis 1.1"/>
    <w:basedOn w:val="Standaard"/>
    <w:autoRedefine/>
    <w:rsid w:val="001A1EEB"/>
    <w:pPr>
      <w:spacing w:after="120"/>
    </w:pPr>
    <w:rPr>
      <w:i/>
      <w:iC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558D0EC6F5B449AA8D0E344483818B" ma:contentTypeVersion="3" ma:contentTypeDescription="Een nieuw document maken." ma:contentTypeScope="" ma:versionID="11e5c27b99596e9592da4d33cac963c9">
  <xsd:schema xmlns:xsd="http://www.w3.org/2001/XMLSchema" xmlns:xs="http://www.w3.org/2001/XMLSchema" xmlns:p="http://schemas.microsoft.com/office/2006/metadata/properties" xmlns:ns2="9420344b-3d55-4d3c-b57b-173fb664685c" targetNamespace="http://schemas.microsoft.com/office/2006/metadata/properties" ma:root="true" ma:fieldsID="5278e6602ccad4dbe46f4f09089a0dc1" ns2:_="">
    <xsd:import namespace="9420344b-3d55-4d3c-b57b-173fb66468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0344b-3d55-4d3c-b57b-173fb664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292A5-D9A0-47BB-90B9-EE325457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0344b-3d55-4d3c-b57b-173fb6646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ED633-FBB9-47C6-B8B3-757FBCC04D50}">
  <ds:schemaRefs>
    <ds:schemaRef ds:uri="http://schemas.microsoft.com/sharepoint/v3/contenttype/forms"/>
  </ds:schemaRefs>
</ds:datastoreItem>
</file>

<file path=customXml/itemProps3.xml><?xml version="1.0" encoding="utf-8"?>
<ds:datastoreItem xmlns:ds="http://schemas.openxmlformats.org/officeDocument/2006/customXml" ds:itemID="{3ABDC442-F0CD-40F4-9319-56BDACC81626}">
  <ds:schemaRefs>
    <ds:schemaRef ds:uri="http://schemas.openxmlformats.org/officeDocument/2006/bibliography"/>
  </ds:schemaRefs>
</ds:datastoreItem>
</file>

<file path=customXml/itemProps4.xml><?xml version="1.0" encoding="utf-8"?>
<ds:datastoreItem xmlns:ds="http://schemas.openxmlformats.org/officeDocument/2006/customXml" ds:itemID="{4BFF6444-6160-4940-A551-AEAC72968DD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692</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Bijlage 3 Beantwoording gunningscriteria</vt:lpstr>
    </vt:vector>
  </TitlesOfParts>
  <Company>Ministerie van Economische Zaken en Klimaat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3 Beantwoording gunningscriteria</dc:title>
  <dc:subject/>
  <dc:creator>Bochove, A.S. van (Sophie)</dc:creator>
  <cp:keywords/>
  <dc:description/>
  <cp:lastModifiedBy>Cheung, H.S.H. (Hely)</cp:lastModifiedBy>
  <cp:revision>2</cp:revision>
  <dcterms:created xsi:type="dcterms:W3CDTF">2026-06-05T15:16:00Z</dcterms:created>
  <dcterms:modified xsi:type="dcterms:W3CDTF">2026-06-05T15:16:00Z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0x0101003D558D0EC6F5B449AA8D0E344483818B</vt:lpwstr>
  </property>
</Properties>
</file>