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7C6BC50B" w:rsidR="001A3EA1" w:rsidRDefault="001A3EA1" w:rsidP="001A3EA1">
      <w:pPr>
        <w:pStyle w:val="Kop1"/>
        <w:rPr>
          <w:lang w:eastAsia="nl-NL"/>
        </w:rPr>
      </w:pPr>
      <w:r w:rsidRPr="120FD201">
        <w:rPr>
          <w:lang w:eastAsia="nl-NL"/>
        </w:rPr>
        <w:t xml:space="preserve">Overeenkomst </w:t>
      </w:r>
    </w:p>
    <w:p w14:paraId="232E7866" w14:textId="05EA975C" w:rsidR="003E79FE" w:rsidRDefault="003E79FE" w:rsidP="120FD201">
      <w:pPr>
        <w:pStyle w:val="Geenafstand"/>
        <w:rPr>
          <w:lang w:eastAsia="nl-NL"/>
        </w:rPr>
      </w:pPr>
      <w:r w:rsidRPr="120FD201">
        <w:rPr>
          <w:rFonts w:eastAsiaTheme="majorEastAsia" w:cstheme="majorBidi"/>
          <w:b/>
          <w:bCs/>
          <w:sz w:val="24"/>
          <w:szCs w:val="24"/>
          <w:highlight w:val="lightGray"/>
          <w:lang w:eastAsia="nl-NL"/>
        </w:rPr>
        <w:t xml:space="preserve">Europees openbare aanbesteding </w:t>
      </w:r>
      <w:r w:rsidR="00D137F6">
        <w:rPr>
          <w:rFonts w:eastAsiaTheme="majorEastAsia" w:cstheme="majorBidi"/>
          <w:b/>
          <w:bCs/>
          <w:sz w:val="24"/>
          <w:szCs w:val="24"/>
          <w:highlight w:val="lightGray"/>
          <w:lang w:eastAsia="nl-NL"/>
        </w:rPr>
        <w:t>Broker</w:t>
      </w:r>
    </w:p>
    <w:p w14:paraId="48CD9B59" w14:textId="77777777" w:rsidR="001A3EA1" w:rsidRPr="001A3EA1" w:rsidRDefault="001A3EA1" w:rsidP="3D9D2EFB">
      <w:pPr>
        <w:widowControl w:val="0"/>
        <w:autoSpaceDE w:val="0"/>
        <w:autoSpaceDN w:val="0"/>
        <w:adjustRightInd w:val="0"/>
        <w:spacing w:line="240" w:lineRule="auto"/>
        <w:rPr>
          <w:rFonts w:eastAsia="MS Mincho" w:cs="Arial"/>
          <w:b/>
          <w:bCs/>
          <w:color w:val="312E2F"/>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2446AD8E"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C2672B">
        <w:rPr>
          <w:rFonts w:eastAsia="MS Mincho" w:cs="Arial"/>
          <w:color w:val="312E2F"/>
          <w:szCs w:val="20"/>
          <w:lang w:eastAsia="nl-NL"/>
        </w:rPr>
        <w:t>&lt;</w:t>
      </w:r>
      <w:proofErr w:type="spellStart"/>
      <w:r w:rsidR="00C2672B">
        <w:rPr>
          <w:rFonts w:eastAsia="MS Mincho" w:cs="Arial"/>
          <w:color w:val="312E2F"/>
          <w:szCs w:val="20"/>
          <w:lang w:eastAsia="nl-NL"/>
        </w:rPr>
        <w:t>xxxx</w:t>
      </w:r>
      <w:proofErr w:type="spellEnd"/>
      <w:r w:rsidR="00C2672B">
        <w:rPr>
          <w:rFonts w:eastAsia="MS Mincho" w:cs="Arial"/>
          <w:color w:val="312E2F"/>
          <w:szCs w:val="20"/>
          <w:lang w:eastAsia="nl-NL"/>
        </w:rPr>
        <w:t>&gt;/</w:t>
      </w:r>
      <w:r w:rsidRPr="001A3EA1">
        <w:rPr>
          <w:rFonts w:eastAsia="MS Mincho" w:cs="Arial"/>
          <w:color w:val="312E2F"/>
          <w:szCs w:val="20"/>
          <w:shd w:val="clear" w:color="auto" w:fill="BFBFBF"/>
          <w:lang w:eastAsia="nl-NL"/>
        </w:rPr>
        <w:t>&lt;</w:t>
      </w:r>
      <w:proofErr w:type="spellStart"/>
      <w:r w:rsidRPr="001A3EA1">
        <w:rPr>
          <w:rFonts w:eastAsia="MS Mincho" w:cs="Arial"/>
          <w:color w:val="312E2F"/>
          <w:szCs w:val="20"/>
          <w:shd w:val="clear" w:color="auto" w:fill="BFBFBF"/>
          <w:lang w:eastAsia="nl-NL"/>
        </w:rPr>
        <w:t>xxxxxx</w:t>
      </w:r>
      <w:proofErr w:type="spellEnd"/>
      <w:r w:rsidRPr="001A3EA1">
        <w:rPr>
          <w:rFonts w:eastAsia="MS Mincho" w:cs="Arial"/>
          <w:color w:val="312E2F"/>
          <w:szCs w:val="20"/>
          <w:shd w:val="clear" w:color="auto" w:fill="BFBFBF"/>
          <w:lang w:eastAsia="nl-NL"/>
        </w:rPr>
        <w:t>&gt;</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vertegenwoordigd door </w:t>
      </w:r>
      <w:r w:rsidRPr="00836384">
        <w:rPr>
          <w:rFonts w:asciiTheme="majorHAnsi" w:hAnsiTheme="majorHAnsi" w:cstheme="majorHAnsi"/>
          <w:szCs w:val="20"/>
          <w:highlight w:val="lightGray"/>
        </w:rPr>
        <w:t>&lt;functie&gt;, &lt;de heer/mevrouw&gt; &lt;naam tekenbevoegde opdracht&gt;</w:t>
      </w:r>
      <w:r w:rsidRPr="003E79FE">
        <w:rPr>
          <w:rFonts w:asciiTheme="majorHAnsi" w:hAnsiTheme="majorHAnsi" w:cstheme="majorHAnsi"/>
          <w:szCs w:val="20"/>
        </w:rPr>
        <w:t xml:space="preserve"> hierna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36CF3C0C" w:rsidR="001A3EA1" w:rsidRPr="003E79FE" w:rsidRDefault="001A3EA1" w:rsidP="003E79FE">
      <w:pPr>
        <w:tabs>
          <w:tab w:val="left" w:pos="1170"/>
        </w:tabs>
        <w:jc w:val="both"/>
        <w:rPr>
          <w:rFonts w:asciiTheme="majorHAnsi" w:hAnsiTheme="majorHAnsi" w:cstheme="majorHAnsi"/>
          <w:szCs w:val="20"/>
        </w:rPr>
      </w:pPr>
    </w:p>
    <w:p w14:paraId="5E16BFB7" w14:textId="33E102B9"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779289A1"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Opdrachtgever een </w:t>
      </w:r>
      <w:r w:rsidRPr="003E79FE">
        <w:rPr>
          <w:rFonts w:asciiTheme="majorHAnsi" w:hAnsiTheme="majorHAnsi" w:cstheme="majorHAnsi"/>
          <w:szCs w:val="20"/>
          <w:highlight w:val="lightGray"/>
        </w:rPr>
        <w:t>Europese</w:t>
      </w:r>
      <w:r w:rsidR="00E310DA">
        <w:rPr>
          <w:rFonts w:asciiTheme="majorHAnsi" w:hAnsiTheme="majorHAnsi" w:cstheme="majorHAnsi"/>
          <w:szCs w:val="20"/>
        </w:rPr>
        <w:t xml:space="preserve"> </w:t>
      </w:r>
      <w:r w:rsidRPr="003E79FE">
        <w:rPr>
          <w:rFonts w:asciiTheme="majorHAnsi" w:hAnsiTheme="majorHAnsi" w:cstheme="majorHAnsi"/>
          <w:szCs w:val="20"/>
        </w:rPr>
        <w:t xml:space="preserve">aanbestedingsprocedure is gestart voor </w:t>
      </w:r>
      <w:r w:rsidR="004D18A0">
        <w:rPr>
          <w:rFonts w:asciiTheme="majorHAnsi" w:hAnsiTheme="majorHAnsi" w:cstheme="majorHAnsi"/>
          <w:szCs w:val="20"/>
        </w:rPr>
        <w:t xml:space="preserve">Inhuur personeel, Broker </w:t>
      </w:r>
      <w:r w:rsidRPr="003E79FE">
        <w:rPr>
          <w:rFonts w:asciiTheme="majorHAnsi" w:hAnsiTheme="majorHAnsi" w:cstheme="majorHAnsi"/>
          <w:szCs w:val="20"/>
        </w:rPr>
        <w:t xml:space="preserve">met kenmerk: </w:t>
      </w:r>
      <w:r w:rsidRPr="003E79FE">
        <w:rPr>
          <w:rFonts w:asciiTheme="majorHAnsi" w:hAnsiTheme="majorHAnsi" w:cstheme="majorHAnsi"/>
          <w:szCs w:val="20"/>
          <w:highlight w:val="lightGray"/>
        </w:rPr>
        <w:t>&lt;invullen kenmerk&gt;</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4BB6CC24"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naar aanleiding van deze aanbestedingsprocedure de inschrijving van Opdrachtnemer als </w:t>
      </w:r>
      <w:r w:rsidRPr="004D18A0">
        <w:rPr>
          <w:rFonts w:asciiTheme="majorHAnsi" w:hAnsiTheme="majorHAnsi" w:cstheme="majorHAnsi"/>
          <w:szCs w:val="20"/>
        </w:rPr>
        <w:t>‘’economisch meest voordelige inschrijving op basis van beste prijs-kwaliteitverhouding” 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211266A3"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overeenkomst.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3C44F625"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Aard van de overeenkomst</w:t>
      </w:r>
    </w:p>
    <w:p w14:paraId="4B64675A" w14:textId="77777777"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sidRPr="003E79FE">
        <w:rPr>
          <w:rFonts w:asciiTheme="majorHAnsi" w:hAnsiTheme="majorHAnsi" w:cstheme="majorHAnsi"/>
          <w:szCs w:val="20"/>
          <w:highlight w:val="lightGray"/>
        </w:rPr>
        <w:t>&lt;naam/omschrijving opdracht&gt;.</w:t>
      </w:r>
    </w:p>
    <w:p w14:paraId="65DDBCBD" w14:textId="77777777"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De voorwaarden van deze overeenkomst zijn, voor zover aan de orde, van toepassing op alle nadere overeenkomsten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17885D19"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overeenkomst zijn de Algemene </w:t>
      </w:r>
      <w:r w:rsidR="00EB6AEB">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338EB740"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De in de overeenkomst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overeenkomst. Voor zover de overeenkomst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11BA1F67"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nhoud van deze overeenkomst;</w:t>
      </w:r>
    </w:p>
    <w:p w14:paraId="65461971" w14:textId="3EC25539" w:rsidR="005123FD"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5123FD" w:rsidRPr="003E79FE">
        <w:rPr>
          <w:rFonts w:asciiTheme="majorHAnsi" w:hAnsiTheme="majorHAnsi" w:cstheme="majorHAnsi"/>
          <w:szCs w:val="20"/>
        </w:rPr>
        <w:t xml:space="preserve">nhoud </w:t>
      </w:r>
      <w:r w:rsidR="001326E6" w:rsidRPr="001326E6">
        <w:rPr>
          <w:rFonts w:eastAsia="MS Mincho" w:cs="Arial"/>
          <w:szCs w:val="20"/>
          <w:highlight w:val="lightGray"/>
          <w:lang w:eastAsia="nl-NL"/>
        </w:rPr>
        <w:t xml:space="preserve">&lt;verwerkersovereenkomst / </w:t>
      </w:r>
      <w:r w:rsidR="005123FD" w:rsidRPr="003E79FE">
        <w:rPr>
          <w:rFonts w:asciiTheme="majorHAnsi" w:hAnsiTheme="majorHAnsi" w:cstheme="majorHAnsi"/>
          <w:szCs w:val="20"/>
          <w:highlight w:val="lightGray"/>
        </w:rPr>
        <w:t>(bijlage …)</w:t>
      </w:r>
      <w:r w:rsidR="006A0DBE">
        <w:rPr>
          <w:rFonts w:asciiTheme="majorHAnsi" w:hAnsiTheme="majorHAnsi" w:cstheme="majorHAnsi"/>
          <w:szCs w:val="20"/>
          <w:highlight w:val="lightGray"/>
        </w:rPr>
        <w:t xml:space="preserve"> </w:t>
      </w:r>
      <w:r w:rsidR="005123FD" w:rsidRPr="003E79FE">
        <w:rPr>
          <w:rFonts w:asciiTheme="majorHAnsi" w:hAnsiTheme="majorHAnsi" w:cstheme="majorHAnsi"/>
          <w:szCs w:val="20"/>
          <w:highlight w:val="lightGray"/>
        </w:rPr>
        <w:t>&lt;optioneel&gt;</w:t>
      </w:r>
      <w:r w:rsidR="005123FD" w:rsidRPr="003E79FE">
        <w:rPr>
          <w:rFonts w:asciiTheme="majorHAnsi" w:hAnsiTheme="majorHAnsi" w:cstheme="majorHAnsi"/>
          <w:szCs w:val="20"/>
        </w:rPr>
        <w:t>;</w:t>
      </w:r>
    </w:p>
    <w:p w14:paraId="0BED61CD" w14:textId="0C3F143A"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r w:rsidR="00471999">
        <w:rPr>
          <w:rFonts w:cs="Arial"/>
          <w:szCs w:val="20"/>
        </w:rPr>
        <w:t>TenderNed</w:t>
      </w:r>
      <w:r w:rsidR="00426B15">
        <w:rPr>
          <w:rFonts w:cs="Arial"/>
          <w:szCs w:val="20"/>
        </w:rPr>
        <w:t xml:space="preserve"> </w:t>
      </w:r>
      <w:r>
        <w:rPr>
          <w:rFonts w:cs="Arial"/>
          <w:szCs w:val="20"/>
        </w:rPr>
        <w:t xml:space="preserve">opgenomen informatie, als de vragenlijst) </w:t>
      </w:r>
      <w:r w:rsidR="002B3CD8">
        <w:rPr>
          <w:rFonts w:cs="Arial"/>
          <w:szCs w:val="20"/>
        </w:rPr>
        <w:t xml:space="preserve">ten behoeve van de </w:t>
      </w:r>
      <w:r w:rsidR="002B3CD8">
        <w:rPr>
          <w:rFonts w:cs="Arial"/>
          <w:szCs w:val="20"/>
          <w:highlight w:val="lightGray"/>
        </w:rPr>
        <w:t>&lt;Europese /Meervoudige/ Enkelvoudige onderhandse&gt;</w:t>
      </w:r>
      <w:r w:rsidR="002B3CD8">
        <w:rPr>
          <w:rFonts w:cs="Arial"/>
          <w:szCs w:val="20"/>
        </w:rPr>
        <w:t xml:space="preserve"> aanbesteding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73DAD19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EB6AEB">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A209F6E"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Duur van de overeenkomst</w:t>
      </w:r>
    </w:p>
    <w:p w14:paraId="63C12CBD" w14:textId="77777777"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sidRPr="003E79FE">
        <w:rPr>
          <w:rFonts w:asciiTheme="majorHAnsi" w:hAnsiTheme="majorHAnsi" w:cstheme="majorHAnsi"/>
          <w:szCs w:val="20"/>
          <w:highlight w:val="lightGray"/>
        </w:rPr>
        <w:t>&lt;aanvangsdatum&gt;</w:t>
      </w:r>
      <w:r w:rsidRPr="003E79FE">
        <w:rPr>
          <w:rFonts w:asciiTheme="majorHAnsi" w:hAnsiTheme="majorHAnsi" w:cstheme="majorHAnsi"/>
          <w:szCs w:val="20"/>
        </w:rPr>
        <w:t xml:space="preserve"> en eindigt van rechtswege na </w:t>
      </w:r>
      <w:r w:rsidRPr="003E79FE">
        <w:rPr>
          <w:rFonts w:asciiTheme="majorHAnsi" w:hAnsiTheme="majorHAnsi" w:cstheme="majorHAnsi"/>
          <w:szCs w:val="20"/>
          <w:highlight w:val="lightGray"/>
        </w:rPr>
        <w:t>&lt;aantal&gt;</w:t>
      </w:r>
      <w:r w:rsidRPr="003E79FE">
        <w:rPr>
          <w:rFonts w:asciiTheme="majorHAnsi" w:hAnsiTheme="majorHAnsi" w:cstheme="majorHAnsi"/>
          <w:szCs w:val="20"/>
        </w:rPr>
        <w:t xml:space="preserve"> jaar op </w:t>
      </w:r>
      <w:r w:rsidRPr="003E79FE">
        <w:rPr>
          <w:rFonts w:asciiTheme="majorHAnsi" w:hAnsiTheme="majorHAnsi" w:cstheme="majorHAnsi"/>
          <w:szCs w:val="20"/>
          <w:highlight w:val="lightGray"/>
        </w:rPr>
        <w:t>&lt;einddatum&gt;</w:t>
      </w:r>
      <w:r w:rsidRPr="003E79FE">
        <w:rPr>
          <w:rFonts w:asciiTheme="majorHAnsi" w:hAnsiTheme="majorHAnsi" w:cstheme="majorHAnsi"/>
          <w:szCs w:val="20"/>
        </w:rPr>
        <w:t>.</w:t>
      </w:r>
    </w:p>
    <w:p w14:paraId="256F77B7" w14:textId="25AAF992" w:rsidR="00EB3531" w:rsidRPr="00004719"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sidRPr="003E79FE">
        <w:rPr>
          <w:rFonts w:asciiTheme="majorHAnsi" w:hAnsiTheme="majorHAnsi" w:cstheme="majorHAnsi"/>
          <w:szCs w:val="20"/>
          <w:highlight w:val="lightGray"/>
        </w:rPr>
        <w:t>&lt;aantal&gt;</w:t>
      </w:r>
      <w:r w:rsidRPr="003E79FE">
        <w:rPr>
          <w:rFonts w:asciiTheme="majorHAnsi" w:hAnsiTheme="majorHAnsi" w:cstheme="majorHAnsi"/>
          <w:szCs w:val="20"/>
        </w:rPr>
        <w:t xml:space="preserve"> keer met </w:t>
      </w:r>
      <w:r w:rsidRPr="003E79FE">
        <w:rPr>
          <w:rFonts w:asciiTheme="majorHAnsi" w:hAnsiTheme="majorHAnsi" w:cstheme="majorHAnsi"/>
          <w:szCs w:val="20"/>
          <w:highlight w:val="lightGray"/>
        </w:rPr>
        <w:t>&lt;aantal&gt;</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Pr="00004719">
        <w:rPr>
          <w:rFonts w:asciiTheme="majorHAnsi" w:hAnsiTheme="majorHAnsi" w:cstheme="majorHAnsi"/>
          <w:szCs w:val="20"/>
          <w:highlight w:val="lightGray"/>
        </w:rPr>
        <w:t>&lt;aantal&gt;</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 </w:t>
      </w:r>
      <w:r w:rsidRPr="00004719">
        <w:rPr>
          <w:rFonts w:asciiTheme="majorHAnsi" w:hAnsiTheme="majorHAnsi" w:cstheme="majorHAnsi"/>
          <w:szCs w:val="20"/>
          <w:highlight w:val="lightGray"/>
        </w:rPr>
        <w:t>&lt;optioneel&gt;</w:t>
      </w:r>
    </w:p>
    <w:p w14:paraId="227A3A9D" w14:textId="52F402C6"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overeenkomst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5FF45325" w14:textId="10CE7FE9" w:rsidR="00587ED5" w:rsidRDefault="00EB3531" w:rsidP="00921657">
      <w:pPr>
        <w:pStyle w:val="Lijstalinea"/>
        <w:numPr>
          <w:ilvl w:val="1"/>
          <w:numId w:val="11"/>
        </w:numPr>
        <w:tabs>
          <w:tab w:val="left" w:pos="1170"/>
        </w:tabs>
        <w:jc w:val="both"/>
        <w:rPr>
          <w:rFonts w:asciiTheme="majorHAnsi" w:hAnsiTheme="majorHAnsi" w:cstheme="majorHAnsi"/>
          <w:szCs w:val="20"/>
        </w:rPr>
      </w:pPr>
      <w:r w:rsidRPr="00AD6912">
        <w:rPr>
          <w:rFonts w:asciiTheme="majorHAnsi" w:hAnsiTheme="majorHAnsi" w:cstheme="majorHAnsi"/>
          <w:szCs w:val="20"/>
        </w:rPr>
        <w:t>Opdrachtgever kan op ieder moment de overeenkomst schriftelijk opzeggen met inachtneming van een opzegtermijn van</w:t>
      </w:r>
      <w:r w:rsidR="00AD6912" w:rsidRPr="00AD6912">
        <w:rPr>
          <w:rFonts w:asciiTheme="majorHAnsi" w:hAnsiTheme="majorHAnsi" w:cstheme="majorHAnsi"/>
          <w:szCs w:val="20"/>
        </w:rPr>
        <w:t xml:space="preserve"> 3</w:t>
      </w:r>
      <w:r w:rsidRPr="00AD6912">
        <w:rPr>
          <w:rFonts w:asciiTheme="majorHAnsi" w:hAnsiTheme="majorHAnsi" w:cstheme="majorHAnsi"/>
          <w:szCs w:val="20"/>
        </w:rPr>
        <w:t xml:space="preserve"> maanden. </w:t>
      </w:r>
    </w:p>
    <w:p w14:paraId="4204BC3C" w14:textId="77777777" w:rsidR="00AD6912" w:rsidRPr="00AD6912" w:rsidRDefault="00AD6912" w:rsidP="00AD6912">
      <w:pPr>
        <w:pStyle w:val="Lijstalinea"/>
        <w:tabs>
          <w:tab w:val="left" w:pos="1170"/>
        </w:tabs>
        <w:ind w:left="792"/>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C6143CC" w14:textId="77777777" w:rsidR="00EB3531" w:rsidRPr="003E79FE"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bedraagt: €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r w:rsidRPr="003E79FE">
        <w:rPr>
          <w:rFonts w:asciiTheme="majorHAnsi" w:hAnsiTheme="majorHAnsi" w:cstheme="majorHAnsi"/>
          <w:szCs w:val="20"/>
        </w:rPr>
        <w:t xml:space="preserve"> exclusief BTW. </w:t>
      </w:r>
      <w:r w:rsidRPr="003E79FE">
        <w:rPr>
          <w:rFonts w:asciiTheme="majorHAnsi" w:hAnsiTheme="majorHAnsi" w:cstheme="majorHAnsi"/>
          <w:szCs w:val="20"/>
          <w:highlight w:val="lightGray"/>
        </w:rPr>
        <w:t>&lt;of verwijs naar bijlage&gt;</w:t>
      </w:r>
    </w:p>
    <w:p w14:paraId="578C4F0F" w14:textId="6E57ABEE" w:rsidR="00EB3531"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zijn vast voor de duur van de overeenkomst, inclusief een eventuele verlenging. </w:t>
      </w:r>
      <w:r w:rsidRPr="003E79FE">
        <w:rPr>
          <w:rFonts w:asciiTheme="majorHAnsi" w:hAnsiTheme="majorHAnsi" w:cstheme="majorHAnsi"/>
          <w:szCs w:val="20"/>
          <w:highlight w:val="lightGray"/>
        </w:rPr>
        <w:t>&lt;of andere afspraak over</w:t>
      </w:r>
      <w:r w:rsidR="00C939BA">
        <w:rPr>
          <w:rFonts w:asciiTheme="majorHAnsi" w:hAnsiTheme="majorHAnsi" w:cstheme="majorHAnsi"/>
          <w:szCs w:val="20"/>
          <w:highlight w:val="lightGray"/>
        </w:rPr>
        <w:t xml:space="preserve"> de</w:t>
      </w:r>
      <w:r w:rsidRPr="003E79FE">
        <w:rPr>
          <w:rFonts w:asciiTheme="majorHAnsi" w:hAnsiTheme="majorHAnsi" w:cstheme="majorHAnsi"/>
          <w:szCs w:val="20"/>
          <w:highlight w:val="lightGray"/>
        </w:rPr>
        <w:t xml:space="preserve"> prijsontwikkeling&gt;</w:t>
      </w:r>
      <w:r w:rsidRPr="003E79FE">
        <w:rPr>
          <w:rFonts w:asciiTheme="majorHAnsi" w:hAnsiTheme="majorHAnsi" w:cstheme="majorHAnsi"/>
          <w:szCs w:val="20"/>
        </w:rPr>
        <w:t xml:space="preserve"> </w:t>
      </w:r>
    </w:p>
    <w:p w14:paraId="346BB296" w14:textId="64614991" w:rsidR="002B15B8" w:rsidRPr="002B15B8" w:rsidRDefault="002B15B8" w:rsidP="002B15B8">
      <w:pPr>
        <w:pStyle w:val="Lijstalinea"/>
        <w:numPr>
          <w:ilvl w:val="1"/>
          <w:numId w:val="12"/>
        </w:numPr>
        <w:jc w:val="both"/>
        <w:rPr>
          <w:rFonts w:asciiTheme="majorHAnsi" w:hAnsiTheme="majorHAnsi" w:cstheme="majorHAnsi"/>
          <w:szCs w:val="20"/>
        </w:rPr>
      </w:pPr>
      <w:r>
        <w:rPr>
          <w:rFonts w:asciiTheme="majorHAnsi" w:hAnsiTheme="majorHAnsi" w:cstheme="majorHAnsi"/>
          <w:szCs w:val="20"/>
          <w:highlight w:val="lightGray"/>
        </w:rPr>
        <w:t>&lt;opnemen wann</w:t>
      </w:r>
      <w:r w:rsidR="00C201D5">
        <w:rPr>
          <w:rFonts w:asciiTheme="majorHAnsi" w:hAnsiTheme="majorHAnsi" w:cstheme="majorHAnsi"/>
          <w:szCs w:val="20"/>
          <w:highlight w:val="lightGray"/>
        </w:rPr>
        <w:t>eer indexatie wordt afgesproken</w:t>
      </w:r>
      <w:r>
        <w:rPr>
          <w:rFonts w:asciiTheme="majorHAnsi" w:hAnsiTheme="majorHAnsi" w:cstheme="majorHAnsi"/>
          <w:szCs w:val="20"/>
          <w:highlight w:val="lightGray"/>
        </w:rPr>
        <w:t xml:space="preserve">&gt; </w:t>
      </w:r>
      <w:r w:rsidR="005B526B">
        <w:rPr>
          <w:rFonts w:asciiTheme="majorHAnsi" w:hAnsiTheme="majorHAnsi" w:cstheme="majorHAnsi"/>
          <w:szCs w:val="20"/>
        </w:rPr>
        <w:t>De overeengekomen prijs staat</w:t>
      </w:r>
      <w:r w:rsidRPr="002B15B8">
        <w:rPr>
          <w:rFonts w:asciiTheme="majorHAnsi" w:hAnsiTheme="majorHAnsi" w:cstheme="majorHAnsi"/>
          <w:szCs w:val="20"/>
        </w:rPr>
        <w:t xml:space="preserve"> </w:t>
      </w:r>
      <w:r w:rsidRPr="002B15B8">
        <w:rPr>
          <w:rFonts w:asciiTheme="majorHAnsi" w:hAnsiTheme="majorHAnsi" w:cstheme="majorHAnsi"/>
          <w:szCs w:val="20"/>
          <w:highlight w:val="lightGray"/>
        </w:rPr>
        <w:t>&lt;aantal jaren dat de prijs vaststaat&gt;</w:t>
      </w:r>
      <w:r w:rsidRPr="002B15B8">
        <w:rPr>
          <w:rFonts w:asciiTheme="majorHAnsi" w:hAnsiTheme="majorHAnsi" w:cstheme="majorHAnsi"/>
          <w:szCs w:val="20"/>
        </w:rPr>
        <w:t xml:space="preserve"> van de overeenkomst vast. Prijswijzigingen zijn één (1) keer per jaar mogelijk, per ingang van het eventuele navolgende contractjaar, altijd ingaande op </w:t>
      </w:r>
      <w:r w:rsidRPr="002B15B8">
        <w:rPr>
          <w:rFonts w:asciiTheme="majorHAnsi" w:hAnsiTheme="majorHAnsi" w:cstheme="majorHAnsi"/>
          <w:szCs w:val="20"/>
          <w:highlight w:val="lightGray"/>
        </w:rPr>
        <w:t>&lt;datum&gt;</w:t>
      </w:r>
      <w:r w:rsidRPr="002B15B8">
        <w:rPr>
          <w:rFonts w:asciiTheme="majorHAnsi" w:hAnsiTheme="majorHAnsi" w:cstheme="majorHAnsi"/>
          <w:szCs w:val="20"/>
        </w:rPr>
        <w:t xml:space="preserve"> van het betreffende jaar. Opdrachtnemer legt een prijswijzigingsvoorstel minimaal </w:t>
      </w:r>
      <w:r w:rsidR="005B526B">
        <w:rPr>
          <w:rFonts w:asciiTheme="majorHAnsi" w:hAnsiTheme="majorHAnsi" w:cstheme="majorHAnsi"/>
          <w:szCs w:val="20"/>
        </w:rPr>
        <w:t>drie (</w:t>
      </w:r>
      <w:r w:rsidRPr="002B15B8">
        <w:rPr>
          <w:rFonts w:asciiTheme="majorHAnsi" w:hAnsiTheme="majorHAnsi" w:cstheme="majorHAnsi"/>
          <w:szCs w:val="20"/>
        </w:rPr>
        <w:t>3</w:t>
      </w:r>
      <w:r w:rsidR="005B526B">
        <w:rPr>
          <w:rFonts w:asciiTheme="majorHAnsi" w:hAnsiTheme="majorHAnsi" w:cstheme="majorHAnsi"/>
          <w:szCs w:val="20"/>
        </w:rPr>
        <w:t>)</w:t>
      </w:r>
      <w:r w:rsidRPr="002B15B8">
        <w:rPr>
          <w:rFonts w:asciiTheme="majorHAnsi" w:hAnsiTheme="majorHAnsi" w:cstheme="majorHAnsi"/>
          <w:szCs w:val="20"/>
        </w:rPr>
        <w:t xml:space="preserve"> maanden voorafgaand aan een eventuele prijswijziging ingaande per </w:t>
      </w:r>
      <w:r w:rsidRPr="00C201D5">
        <w:rPr>
          <w:rFonts w:asciiTheme="majorHAnsi" w:hAnsiTheme="majorHAnsi" w:cstheme="majorHAnsi"/>
          <w:szCs w:val="20"/>
          <w:highlight w:val="lightGray"/>
        </w:rPr>
        <w:t>&lt;datum&gt;</w:t>
      </w:r>
      <w:r w:rsidRPr="002B15B8">
        <w:rPr>
          <w:rFonts w:asciiTheme="majorHAnsi" w:hAnsiTheme="majorHAnsi" w:cstheme="majorHAnsi"/>
          <w:szCs w:val="20"/>
        </w:rPr>
        <w:t xml:space="preserve"> van het betreffende contractjaar eerst ter goedkeuring voor aan Opdrachtgever, welke voor akkoord zal moeten tekenen.</w:t>
      </w:r>
    </w:p>
    <w:p w14:paraId="72D841B0" w14:textId="2D3209D1"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w:t>
      </w:r>
      <w:r w:rsidR="006B616E" w:rsidRPr="000D4385">
        <w:rPr>
          <w:rFonts w:asciiTheme="majorHAnsi" w:hAnsiTheme="majorHAnsi" w:cstheme="majorHAnsi"/>
          <w:szCs w:val="20"/>
          <w:highlight w:val="lightGray"/>
        </w:rPr>
        <w:t>&lt;of een andere betalingsafspraak&gt;</w:t>
      </w:r>
      <w:r w:rsidR="006B616E">
        <w:rPr>
          <w:rFonts w:asciiTheme="majorHAnsi" w:hAnsiTheme="majorHAnsi" w:cstheme="majorHAnsi"/>
          <w:szCs w:val="20"/>
        </w:rPr>
        <w:t xml:space="preserve"> </w:t>
      </w:r>
      <w:r w:rsidRPr="00587ED5">
        <w:rPr>
          <w:rFonts w:asciiTheme="majorHAnsi" w:hAnsiTheme="majorHAnsi" w:cstheme="majorHAnsi"/>
          <w:szCs w:val="20"/>
        </w:rPr>
        <w:t xml:space="preserve">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1B4F7EA5" w14:textId="6E5E0F85" w:rsidR="00587ED5" w:rsidRPr="005B1856" w:rsidRDefault="00EB3531" w:rsidP="00CF521E">
      <w:pPr>
        <w:pStyle w:val="Lijstalinea"/>
        <w:numPr>
          <w:ilvl w:val="1"/>
          <w:numId w:val="12"/>
        </w:numPr>
        <w:jc w:val="both"/>
        <w:rPr>
          <w:rFonts w:asciiTheme="majorHAnsi" w:hAnsiTheme="majorHAnsi" w:cstheme="majorHAnsi"/>
          <w:sz w:val="24"/>
        </w:rPr>
      </w:pPr>
      <w:r w:rsidRPr="005B1856">
        <w:rPr>
          <w:rFonts w:asciiTheme="majorHAnsi" w:hAnsiTheme="majorHAnsi" w:cstheme="majorHAnsi"/>
          <w:szCs w:val="20"/>
        </w:rPr>
        <w:t xml:space="preserve">De factuur dient te voldoen aan de eisen die de Belastingdienst daaraan </w:t>
      </w:r>
      <w:r w:rsidR="005B1856">
        <w:rPr>
          <w:rFonts w:asciiTheme="majorHAnsi" w:hAnsiTheme="majorHAnsi" w:cstheme="majorHAnsi"/>
          <w:szCs w:val="20"/>
        </w:rPr>
        <w:t>steld.</w:t>
      </w:r>
    </w:p>
    <w:p w14:paraId="624C3349" w14:textId="77777777" w:rsidR="005B1856" w:rsidRPr="005B1856" w:rsidRDefault="005B1856" w:rsidP="005B1856">
      <w:pPr>
        <w:pStyle w:val="Lijstalinea"/>
        <w:ind w:left="792"/>
        <w:jc w:val="both"/>
        <w:rPr>
          <w:rFonts w:asciiTheme="majorHAnsi" w:hAnsiTheme="majorHAnsi" w:cstheme="majorHAnsi"/>
          <w:sz w:val="24"/>
        </w:rPr>
      </w:pPr>
    </w:p>
    <w:p w14:paraId="611F0C15" w14:textId="17F347EB"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r>
      <w:r w:rsidR="00520876">
        <w:rPr>
          <w:rFonts w:asciiTheme="majorHAnsi" w:hAnsiTheme="majorHAnsi" w:cstheme="majorHAnsi"/>
          <w:sz w:val="24"/>
        </w:rPr>
        <w:t>Bibob</w:t>
      </w:r>
    </w:p>
    <w:p w14:paraId="3D5CCD6A" w14:textId="2A14641E" w:rsidR="00520876" w:rsidRPr="00520876" w:rsidRDefault="00520876" w:rsidP="00520876">
      <w:pPr>
        <w:pStyle w:val="Lijstalinea"/>
        <w:numPr>
          <w:ilvl w:val="1"/>
          <w:numId w:val="13"/>
        </w:numPr>
        <w:jc w:val="both"/>
        <w:rPr>
          <w:rFonts w:asciiTheme="majorHAnsi" w:hAnsiTheme="majorHAnsi" w:cstheme="majorHAnsi"/>
          <w:szCs w:val="20"/>
        </w:rPr>
      </w:pPr>
      <w:r w:rsidRPr="00520876">
        <w:rPr>
          <w:rFonts w:asciiTheme="majorHAnsi" w:hAnsiTheme="majorHAnsi" w:cstheme="majorHAnsi"/>
          <w:szCs w:val="20"/>
        </w:rPr>
        <w:t>Gedurende de looptijd van deze overeenkomst kan er op basis van signalen een Bibob-onderzoek plaatsvinden.</w:t>
      </w:r>
    </w:p>
    <w:p w14:paraId="2C412803" w14:textId="77777777" w:rsidR="00520876" w:rsidRDefault="00520876" w:rsidP="00520876">
      <w:pPr>
        <w:pStyle w:val="Lijstalinea"/>
        <w:numPr>
          <w:ilvl w:val="1"/>
          <w:numId w:val="13"/>
        </w:numPr>
        <w:jc w:val="both"/>
        <w:rPr>
          <w:rFonts w:asciiTheme="majorHAnsi" w:hAnsiTheme="majorHAnsi" w:cstheme="majorHAnsi"/>
          <w:szCs w:val="20"/>
        </w:rPr>
      </w:pPr>
      <w:r>
        <w:rPr>
          <w:rFonts w:asciiTheme="majorHAnsi" w:hAnsiTheme="majorHAnsi" w:cstheme="majorHAnsi"/>
          <w:szCs w:val="20"/>
        </w:rPr>
        <w:t xml:space="preserve">Een </w:t>
      </w:r>
      <w:r w:rsidRPr="00C621C6">
        <w:rPr>
          <w:rFonts w:asciiTheme="majorHAnsi" w:hAnsiTheme="majorHAnsi" w:cstheme="majorHAnsi"/>
          <w:szCs w:val="20"/>
        </w:rPr>
        <w:t>Bibob-onderzoek g</w:t>
      </w:r>
      <w:r>
        <w:rPr>
          <w:rFonts w:asciiTheme="majorHAnsi" w:hAnsiTheme="majorHAnsi" w:cstheme="majorHAnsi"/>
          <w:szCs w:val="20"/>
        </w:rPr>
        <w:t xml:space="preserve">edurende de looptijd van deze </w:t>
      </w:r>
      <w:r w:rsidRPr="00C621C6">
        <w:rPr>
          <w:rFonts w:asciiTheme="majorHAnsi" w:hAnsiTheme="majorHAnsi" w:cstheme="majorHAnsi"/>
          <w:szCs w:val="20"/>
        </w:rPr>
        <w:t>overeenkomst zal zich mede uitstrekken over de zakelijke relaties (in de zin van artikel 3, vierde lid van de Wet Bibo</w:t>
      </w:r>
      <w:r>
        <w:rPr>
          <w:rFonts w:asciiTheme="majorHAnsi" w:hAnsiTheme="majorHAnsi" w:cstheme="majorHAnsi"/>
          <w:szCs w:val="20"/>
        </w:rPr>
        <w:t xml:space="preserve">b) van de Opdrachtnemer </w:t>
      </w:r>
      <w:r w:rsidRPr="00C621C6">
        <w:rPr>
          <w:rFonts w:asciiTheme="majorHAnsi" w:hAnsiTheme="majorHAnsi" w:cstheme="majorHAnsi"/>
          <w:szCs w:val="20"/>
        </w:rPr>
        <w:t>en de za</w:t>
      </w:r>
      <w:r>
        <w:rPr>
          <w:rFonts w:asciiTheme="majorHAnsi" w:hAnsiTheme="majorHAnsi" w:cstheme="majorHAnsi"/>
          <w:szCs w:val="20"/>
        </w:rPr>
        <w:t>kelijke relaties van eventuele o</w:t>
      </w:r>
      <w:r w:rsidRPr="00C621C6">
        <w:rPr>
          <w:rFonts w:asciiTheme="majorHAnsi" w:hAnsiTheme="majorHAnsi" w:cstheme="majorHAnsi"/>
          <w:szCs w:val="20"/>
        </w:rPr>
        <w:t>nderaannemers.</w:t>
      </w:r>
    </w:p>
    <w:p w14:paraId="5AA8C006" w14:textId="77777777" w:rsidR="00520876" w:rsidRPr="00442976" w:rsidRDefault="00520876" w:rsidP="00520876">
      <w:pPr>
        <w:pStyle w:val="Lijstalinea"/>
        <w:numPr>
          <w:ilvl w:val="1"/>
          <w:numId w:val="13"/>
        </w:numPr>
        <w:jc w:val="both"/>
        <w:rPr>
          <w:rFonts w:asciiTheme="majorHAnsi" w:hAnsiTheme="majorHAnsi" w:cstheme="majorHAnsi"/>
          <w:szCs w:val="20"/>
        </w:rPr>
      </w:pPr>
      <w:r w:rsidRPr="00442976">
        <w:rPr>
          <w:rFonts w:asciiTheme="majorHAnsi" w:hAnsiTheme="majorHAnsi" w:cstheme="majorHAnsi"/>
          <w:szCs w:val="20"/>
        </w:rPr>
        <w:t>Opdrachtgever kan naar aanleiding van</w:t>
      </w:r>
      <w:r>
        <w:rPr>
          <w:rFonts w:asciiTheme="majorHAnsi" w:hAnsiTheme="majorHAnsi" w:cstheme="majorHAnsi"/>
          <w:szCs w:val="20"/>
        </w:rPr>
        <w:t xml:space="preserve"> de uitkomsten van een Bibob-</w:t>
      </w:r>
      <w:r w:rsidRPr="00442976">
        <w:rPr>
          <w:rFonts w:asciiTheme="majorHAnsi" w:hAnsiTheme="majorHAnsi" w:cstheme="majorHAnsi"/>
          <w:szCs w:val="20"/>
        </w:rPr>
        <w:t>onderzoek, naast ontbinding zoals genoemd in artikel 7 lid 1 van deze overeenkomst, besluiten</w:t>
      </w:r>
      <w:r w:rsidRPr="00442976">
        <w:t xml:space="preserve"> </w:t>
      </w:r>
      <w:r>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Pr>
          <w:rFonts w:asciiTheme="majorHAnsi" w:hAnsiTheme="majorHAnsi" w:cstheme="majorHAnsi"/>
          <w:szCs w:val="20"/>
        </w:rPr>
        <w:t>s</w:t>
      </w:r>
      <w:r w:rsidRPr="00442976">
        <w:rPr>
          <w:rFonts w:asciiTheme="majorHAnsi" w:hAnsiTheme="majorHAnsi" w:cstheme="majorHAnsi"/>
          <w:szCs w:val="20"/>
        </w:rPr>
        <w:t xml:space="preserve"> te verbieden</w:t>
      </w:r>
      <w:r>
        <w:rPr>
          <w:rFonts w:asciiTheme="majorHAnsi" w:hAnsiTheme="majorHAnsi" w:cstheme="majorHAnsi"/>
          <w:szCs w:val="20"/>
        </w:rPr>
        <w:t>.</w:t>
      </w:r>
    </w:p>
    <w:p w14:paraId="6465A5F5" w14:textId="77777777" w:rsidR="00520876" w:rsidRPr="00520876" w:rsidRDefault="00520876" w:rsidP="00520876">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3F0372A6"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en de o</w:t>
      </w:r>
      <w:r w:rsidRPr="003E79FE">
        <w:rPr>
          <w:rFonts w:asciiTheme="majorHAnsi" w:hAnsiTheme="majorHAnsi" w:cstheme="majorHAnsi"/>
          <w:szCs w:val="20"/>
        </w:rPr>
        <w:t>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o</w:t>
      </w:r>
      <w:r w:rsidRPr="003E79FE">
        <w:rPr>
          <w:rFonts w:asciiTheme="majorHAnsi" w:hAnsiTheme="majorHAnsi" w:cstheme="majorHAnsi"/>
          <w:szCs w:val="20"/>
        </w:rPr>
        <w:t>vereenkomst.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03C8B88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overeenkomst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361B813D"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die haar verplichtingen voortvloeiende uit deze overeenkomst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overeenkomst blijvend niet kan nakomen; </w:t>
      </w:r>
    </w:p>
    <w:p w14:paraId="266B4DB1"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overeenkomst;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een rechterlijke uitspraak de Opdrachtgever of Opdrachtnemer verbiedt uitvoering te geven aan deze overeenkomst;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34013F05"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overeenkomst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overeenkomst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77777777"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overeenkomst laat onverlet het recht van Opdrachtgever om schadevergoeding te vorderen. </w:t>
      </w:r>
    </w:p>
    <w:p w14:paraId="711063AC" w14:textId="0FAD2F2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overeenkomst </w:t>
      </w:r>
      <w:r w:rsidRPr="003E79FE">
        <w:rPr>
          <w:rFonts w:asciiTheme="majorHAnsi" w:hAnsiTheme="majorHAnsi" w:cstheme="majorHAnsi"/>
          <w:szCs w:val="20"/>
        </w:rPr>
        <w:t>ontbinden ingeval Opdrachtgever haar verplichtingen voortvloeiende uit de overeenkomst,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 xml:space="preserve">artij. Opdrachtnemer verplicht zich tot volledige medewerking </w:t>
      </w:r>
      <w:r w:rsidRPr="003E79FE">
        <w:rPr>
          <w:rFonts w:asciiTheme="majorHAnsi" w:hAnsiTheme="majorHAnsi" w:cstheme="majorHAnsi"/>
          <w:szCs w:val="20"/>
        </w:rPr>
        <w:lastRenderedPageBreak/>
        <w:t>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overeenkomst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77777777"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Op de Opdrachtnemer rust de verplichting om direct en schriftelijk bij de Opdrachtgever te melden dat sprake is van één van de beëindigingsgronden genoemd in deze overeenkomst of dat redelijkerwijs voorzienbaar is dat er sprake zal zijn van één van deze gronden. De Opdrachtgever overlegt met de Opdrachtnemer over de consequenties voor de uitvoering van de overeenkomst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42AF6A30"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overeenkomst ieder een contactpersoon binnen de organisatie aan.</w:t>
      </w:r>
    </w:p>
    <w:p w14:paraId="28AB1646" w14:textId="24A71EB7"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over de wijze waarop deze overeenkomst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652175BA"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r w:rsidR="00676023">
        <w:rPr>
          <w:rFonts w:asciiTheme="majorHAnsi" w:hAnsiTheme="majorHAnsi" w:cstheme="majorHAnsi"/>
          <w:sz w:val="24"/>
        </w:rPr>
        <w:t>Slotbepalingen</w:t>
      </w:r>
    </w:p>
    <w:p w14:paraId="39F7B5A9" w14:textId="77777777" w:rsidR="00676023" w:rsidRDefault="00880885"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 xml:space="preserve">Op </w:t>
      </w:r>
      <w:r w:rsidR="00014046" w:rsidRPr="00676023">
        <w:rPr>
          <w:rFonts w:asciiTheme="majorHAnsi" w:hAnsiTheme="majorHAnsi" w:cstheme="majorHAnsi"/>
          <w:szCs w:val="20"/>
        </w:rPr>
        <w:t xml:space="preserve">deze overeenkomst is uitsluitend </w:t>
      </w:r>
      <w:r w:rsidR="00836384" w:rsidRPr="00676023">
        <w:rPr>
          <w:rFonts w:asciiTheme="majorHAnsi" w:hAnsiTheme="majorHAnsi" w:cstheme="majorHAnsi"/>
          <w:szCs w:val="20"/>
        </w:rPr>
        <w:t xml:space="preserve">het </w:t>
      </w:r>
      <w:r w:rsidR="00014046" w:rsidRPr="00676023">
        <w:rPr>
          <w:rFonts w:asciiTheme="majorHAnsi" w:hAnsiTheme="majorHAnsi" w:cstheme="majorHAnsi"/>
          <w:szCs w:val="20"/>
        </w:rPr>
        <w:t>Nederlands recht van toepassing. Het Weens Koopverdrag is niet van toepassing.</w:t>
      </w:r>
    </w:p>
    <w:p w14:paraId="0416A0D3"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Verplichtingen uit deze overeenkomst welke naar hun aard bestemd zijn om ook na het einde van de overeenkomst voort te duren, blijven na beëindiging jegens de betreffende Partij bestaan.</w:t>
      </w:r>
    </w:p>
    <w:p w14:paraId="42239D50" w14:textId="77777777" w:rsidR="00676023" w:rsidRDefault="00823052"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 xml:space="preserve">Indien en voor zover van toepassing geldt het bepaalde in de overeenkomst onverlet de publiekrechtelijke verantwoordelijkheden en/of </w:t>
      </w:r>
      <w:r w:rsidR="0042010E" w:rsidRPr="00676023">
        <w:rPr>
          <w:rFonts w:asciiTheme="majorHAnsi" w:hAnsiTheme="majorHAnsi" w:cstheme="majorHAnsi"/>
          <w:szCs w:val="20"/>
        </w:rPr>
        <w:t>de privaatrechtelijke verantwoordelijkheden</w:t>
      </w:r>
      <w:r w:rsidR="00880885" w:rsidRPr="00676023">
        <w:rPr>
          <w:rFonts w:asciiTheme="majorHAnsi" w:hAnsiTheme="majorHAnsi" w:cstheme="majorHAnsi"/>
          <w:szCs w:val="20"/>
        </w:rPr>
        <w:t>, waarop</w:t>
      </w:r>
      <w:r w:rsidR="0042010E" w:rsidRPr="00676023">
        <w:rPr>
          <w:rFonts w:asciiTheme="majorHAnsi" w:hAnsiTheme="majorHAnsi" w:cstheme="majorHAnsi"/>
          <w:szCs w:val="20"/>
        </w:rPr>
        <w:t xml:space="preserve"> </w:t>
      </w:r>
      <w:r w:rsidRPr="00676023">
        <w:rPr>
          <w:rFonts w:asciiTheme="majorHAnsi" w:hAnsiTheme="majorHAnsi" w:cstheme="majorHAnsi"/>
          <w:szCs w:val="20"/>
        </w:rPr>
        <w:t>de algemene begi</w:t>
      </w:r>
      <w:r w:rsidR="00880885" w:rsidRPr="00676023">
        <w:rPr>
          <w:rFonts w:asciiTheme="majorHAnsi" w:hAnsiTheme="majorHAnsi" w:cstheme="majorHAnsi"/>
          <w:szCs w:val="20"/>
        </w:rPr>
        <w:t>nselen van behoorlijk bestuur van toepassing zijn,</w:t>
      </w:r>
      <w:r w:rsidRPr="00676023">
        <w:rPr>
          <w:rFonts w:asciiTheme="majorHAnsi" w:hAnsiTheme="majorHAnsi" w:cstheme="majorHAnsi"/>
          <w:szCs w:val="20"/>
        </w:rPr>
        <w:t xml:space="preserve"> </w:t>
      </w:r>
      <w:r w:rsidR="00880885" w:rsidRPr="00676023">
        <w:rPr>
          <w:rFonts w:asciiTheme="majorHAnsi" w:hAnsiTheme="majorHAnsi" w:cstheme="majorHAnsi"/>
          <w:szCs w:val="20"/>
        </w:rPr>
        <w:t xml:space="preserve">van </w:t>
      </w:r>
      <w:r w:rsidRPr="00676023">
        <w:rPr>
          <w:rFonts w:asciiTheme="majorHAnsi" w:hAnsiTheme="majorHAnsi" w:cstheme="majorHAnsi"/>
          <w:szCs w:val="20"/>
        </w:rPr>
        <w:lastRenderedPageBreak/>
        <w:t xml:space="preserve">Opdrachtgever. Dit houdt in, dat er van de zijde van Opdrachtgever geen sprake is van een toerekenbare tekortkoming, indien het handelen naar deze verantwoordelijkheden en/of </w:t>
      </w:r>
      <w:r w:rsidR="00BE1781" w:rsidRPr="00676023">
        <w:rPr>
          <w:rFonts w:asciiTheme="majorHAnsi" w:hAnsiTheme="majorHAnsi" w:cstheme="majorHAnsi"/>
          <w:szCs w:val="20"/>
        </w:rPr>
        <w:t>de algemene beginselen van behoorlijk bestuur eis</w:t>
      </w:r>
      <w:r w:rsidR="00E63168" w:rsidRPr="00676023">
        <w:rPr>
          <w:rFonts w:asciiTheme="majorHAnsi" w:hAnsiTheme="majorHAnsi" w:cstheme="majorHAnsi"/>
          <w:szCs w:val="20"/>
        </w:rPr>
        <w:t>t</w:t>
      </w:r>
      <w:r w:rsidRPr="00676023">
        <w:rPr>
          <w:rFonts w:asciiTheme="majorHAnsi" w:hAnsiTheme="majorHAnsi" w:cstheme="majorHAnsi"/>
          <w:szCs w:val="20"/>
        </w:rPr>
        <w:t xml:space="preserve"> dat Opdrachtgever rechtshandelingen verricht die niet in het voordeel zijn van de aard of de strekking van deze overeenkomst.</w:t>
      </w:r>
    </w:p>
    <w:p w14:paraId="0D4DBC21"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Opdrachtnemer mag de rechten en verplichtingen uit deze overeenkomst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7E610DA3" w14:textId="77777777" w:rsid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Alle geschillen in verband met deze overeenkomst zullen, indien Partijen niet tot een buitengerechtelijke oplossing kunnen komen, worden voorgelegd aan de Rechtbank Noord-Nederland, locatie Groningen.</w:t>
      </w:r>
    </w:p>
    <w:p w14:paraId="59CC44C6" w14:textId="60C5CD7C" w:rsidR="00BB2ADC" w:rsidRPr="00676023" w:rsidRDefault="00014046" w:rsidP="00676023">
      <w:pPr>
        <w:pStyle w:val="Lijstalinea"/>
        <w:numPr>
          <w:ilvl w:val="1"/>
          <w:numId w:val="20"/>
        </w:numPr>
        <w:ind w:left="851" w:hanging="491"/>
        <w:jc w:val="both"/>
        <w:rPr>
          <w:rFonts w:asciiTheme="majorHAnsi" w:hAnsiTheme="majorHAnsi" w:cstheme="majorHAnsi"/>
          <w:szCs w:val="20"/>
        </w:rPr>
      </w:pPr>
      <w:r w:rsidRPr="00676023">
        <w:rPr>
          <w:rFonts w:asciiTheme="majorHAnsi" w:hAnsiTheme="majorHAnsi" w:cstheme="majorHAnsi"/>
          <w:szCs w:val="20"/>
        </w:rPr>
        <w:t>Indien een of meer bepalingen van de overeenkomst onverbindend zijn of worden, blijven de overige bepalingen van kracht. Niet-verbindende bepalingen worden door Partijen vervangen door bepalingen die wel verbindend zijn en die zo min mogelijk (gelet op doel en strekking van de overeenkomst) afwijken van de niet-verbindende bepalingen.</w:t>
      </w: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08D0FA5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&lt;naam&gt;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7E081007" w14:textId="7DDCAF1D" w:rsidR="007A7C0A"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&lt;functie&gt;</w:t>
      </w:r>
      <w:r w:rsidRPr="003E79FE">
        <w:rPr>
          <w:rFonts w:asciiTheme="majorHAnsi" w:hAnsiTheme="majorHAnsi" w:cstheme="majorHAnsi"/>
          <w:szCs w:val="20"/>
        </w:rPr>
        <w:tab/>
      </w:r>
      <w:r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52D6F161" w14:textId="261FE474" w:rsidR="00C25000" w:rsidRDefault="00C25000" w:rsidP="00C25000">
      <w:pPr>
        <w:pStyle w:val="Geenafstand"/>
        <w:rPr>
          <w:rFonts w:eastAsiaTheme="majorEastAsia" w:cstheme="majorBidi"/>
          <w:b/>
          <w:bCs/>
          <w:sz w:val="24"/>
          <w:szCs w:val="26"/>
          <w:lang w:eastAsia="nl-NL"/>
        </w:rPr>
      </w:pPr>
      <w:bookmarkStart w:id="0" w:name="_Hlk12369980"/>
      <w:r w:rsidRPr="00C25000">
        <w:rPr>
          <w:rFonts w:eastAsia="Calibri" w:cs="Arial"/>
          <w:b/>
          <w:sz w:val="24"/>
        </w:rPr>
        <w:t xml:space="preserve">Bijlagevel overeenkomst </w:t>
      </w:r>
      <w:r w:rsidRPr="003E79FE">
        <w:rPr>
          <w:rFonts w:eastAsiaTheme="majorEastAsia" w:cstheme="majorBidi"/>
          <w:b/>
          <w:bCs/>
          <w:sz w:val="24"/>
          <w:szCs w:val="26"/>
          <w:highlight w:val="lightGray"/>
          <w:lang w:eastAsia="nl-NL"/>
        </w:rPr>
        <w:t xml:space="preserve">Europees openbare aanbesteding </w:t>
      </w:r>
      <w:r w:rsidR="004D18A0">
        <w:rPr>
          <w:rFonts w:eastAsiaTheme="majorEastAsia" w:cstheme="majorBidi"/>
          <w:b/>
          <w:bCs/>
          <w:sz w:val="24"/>
          <w:szCs w:val="26"/>
          <w:highlight w:val="lightGray"/>
          <w:lang w:eastAsia="nl-NL"/>
        </w:rPr>
        <w:t xml:space="preserve">inhuur personeel, </w:t>
      </w:r>
      <w:proofErr w:type="spellStart"/>
      <w:r w:rsidR="004D18A0">
        <w:rPr>
          <w:rFonts w:eastAsiaTheme="majorEastAsia" w:cstheme="majorBidi"/>
          <w:b/>
          <w:bCs/>
          <w:sz w:val="24"/>
          <w:szCs w:val="26"/>
          <w:highlight w:val="lightGray"/>
          <w:lang w:eastAsia="nl-NL"/>
        </w:rPr>
        <w:t>Borker</w:t>
      </w:r>
      <w:proofErr w:type="spellEnd"/>
    </w:p>
    <w:p w14:paraId="27765653" w14:textId="77777777" w:rsidR="00C25000" w:rsidRPr="00C25000" w:rsidRDefault="00C25000" w:rsidP="00C25000">
      <w:pPr>
        <w:pStyle w:val="Geenafstand"/>
        <w:rPr>
          <w:lang w:eastAsia="nl-NL"/>
        </w:rPr>
      </w:pPr>
    </w:p>
    <w:p w14:paraId="1AF6F22E" w14:textId="11B65088" w:rsidR="00C25000" w:rsidRPr="00C25000" w:rsidRDefault="00C25000" w:rsidP="00C25000">
      <w:pPr>
        <w:tabs>
          <w:tab w:val="left" w:pos="1170"/>
        </w:tabs>
        <w:jc w:val="both"/>
        <w:rPr>
          <w:rFonts w:eastAsia="Arial" w:cs="Arial"/>
        </w:rPr>
      </w:pPr>
      <w:r w:rsidRPr="00C25000">
        <w:rPr>
          <w:rFonts w:eastAsia="Arial" w:cs="Arial"/>
        </w:rPr>
        <w:t xml:space="preserve">De in de overeenkomst genoemde documenten en bijlagen, die reeds bij beide partijen in bezit zijn via </w:t>
      </w:r>
      <w:r w:rsidR="00471999">
        <w:rPr>
          <w:rFonts w:eastAsia="Arial" w:cs="Arial"/>
        </w:rPr>
        <w:t>TenderNed</w:t>
      </w:r>
      <w:r w:rsidRPr="00C25000">
        <w:rPr>
          <w:rFonts w:eastAsia="Arial" w:cs="Arial"/>
        </w:rPr>
        <w:t xml:space="preserve"> en welke door de Opdrachtnemer zijn opgeslagen voor zijn eigen administratie, zoals </w:t>
      </w:r>
      <w:r w:rsidRPr="00C25000">
        <w:rPr>
          <w:rFonts w:eastAsia="Arial" w:cs="Arial"/>
        </w:rPr>
        <w:lastRenderedPageBreak/>
        <w:t xml:space="preserve">gepubliceerd </w:t>
      </w:r>
      <w:proofErr w:type="spellStart"/>
      <w:r w:rsidRPr="00C25000">
        <w:rPr>
          <w:rFonts w:eastAsia="Arial" w:cs="Arial"/>
        </w:rPr>
        <w:t>d.d</w:t>
      </w:r>
      <w:proofErr w:type="spellEnd"/>
      <w:r w:rsidRPr="00C25000">
        <w:rPr>
          <w:rFonts w:eastAsia="Arial" w:cs="Arial"/>
        </w:rPr>
        <w:t xml:space="preserve">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overeenkomst.</w:t>
      </w:r>
    </w:p>
    <w:p w14:paraId="0EB57D52" w14:textId="77777777" w:rsidR="00C25000" w:rsidRPr="00C25000" w:rsidRDefault="00C25000" w:rsidP="00C25000">
      <w:pPr>
        <w:tabs>
          <w:tab w:val="left" w:pos="1170"/>
        </w:tabs>
        <w:jc w:val="both"/>
        <w:rPr>
          <w:rFonts w:eastAsia="Arial" w:cs="Times New Roman"/>
        </w:rPr>
      </w:pPr>
    </w:p>
    <w:p w14:paraId="63956584" w14:textId="6DDF0126"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EB6AEB">
        <w:rPr>
          <w:rFonts w:eastAsia="Calibri" w:cs="Arial"/>
          <w:b/>
          <w:szCs w:val="20"/>
        </w:rPr>
        <w:t>PRIJZENBLAD</w:t>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12D1AE60"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 xml:space="preserve">AANBESTEDINGSLEIDRAAD (INCL. DE DIGITALE, IN </w:t>
      </w:r>
      <w:r w:rsidR="00471999">
        <w:rPr>
          <w:rFonts w:eastAsia="Calibri" w:cs="Arial"/>
          <w:b/>
          <w:szCs w:val="20"/>
        </w:rPr>
        <w:t>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37471DC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2272147A" w14:textId="43648565" w:rsidR="00C25000" w:rsidRPr="00C25000" w:rsidRDefault="00C25000" w:rsidP="00C25000">
      <w:pPr>
        <w:spacing w:line="240" w:lineRule="auto"/>
        <w:ind w:left="1410" w:hanging="1410"/>
        <w:rPr>
          <w:rFonts w:eastAsia="Calibri" w:cs="Arial"/>
          <w:b/>
          <w:szCs w:val="20"/>
        </w:rPr>
      </w:pPr>
      <w:r>
        <w:rPr>
          <w:rFonts w:eastAsia="Calibri" w:cs="Arial"/>
          <w:b/>
          <w:szCs w:val="20"/>
        </w:rPr>
        <w:t xml:space="preserve">BIJLAGE 6 </w:t>
      </w:r>
      <w:r>
        <w:rPr>
          <w:rFonts w:eastAsia="Calibri" w:cs="Arial"/>
          <w:b/>
          <w:szCs w:val="20"/>
        </w:rPr>
        <w:tab/>
      </w:r>
      <w:r w:rsidRPr="001326E6">
        <w:rPr>
          <w:rFonts w:eastAsia="Calibri" w:cs="Arial"/>
          <w:b/>
          <w:szCs w:val="20"/>
          <w:highlight w:val="lightGray"/>
        </w:rPr>
        <w:t>VERWERKERSOVEREENKOMST</w:t>
      </w:r>
      <w:r w:rsidR="001326E6" w:rsidRPr="001326E6">
        <w:rPr>
          <w:rFonts w:eastAsia="Calibri" w:cs="Arial"/>
          <w:b/>
          <w:szCs w:val="20"/>
          <w:highlight w:val="lightGray"/>
        </w:rPr>
        <w:t xml:space="preserve"> </w:t>
      </w: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&lt;naam&gt;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09AB6315" w14:textId="77777777" w:rsidR="00C25000"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&lt;functie&gt;</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A26F" w14:textId="77777777" w:rsidR="00A8701A" w:rsidRDefault="00A8701A" w:rsidP="00E664FA">
      <w:r>
        <w:separator/>
      </w:r>
    </w:p>
  </w:endnote>
  <w:endnote w:type="continuationSeparator" w:id="0">
    <w:p w14:paraId="51E66360" w14:textId="77777777" w:rsidR="00A8701A" w:rsidRDefault="00A8701A"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9B7E" w14:textId="77777777" w:rsidR="00A8701A" w:rsidRDefault="00A8701A" w:rsidP="00E664FA">
      <w:r>
        <w:separator/>
      </w:r>
    </w:p>
  </w:footnote>
  <w:footnote w:type="continuationSeparator" w:id="0">
    <w:p w14:paraId="01C72012" w14:textId="77777777" w:rsidR="00A8701A" w:rsidRDefault="00A8701A"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489B"/>
    <w:rsid w:val="000858EA"/>
    <w:rsid w:val="000D4385"/>
    <w:rsid w:val="000D5FEC"/>
    <w:rsid w:val="000E41BB"/>
    <w:rsid w:val="00123351"/>
    <w:rsid w:val="00130BAE"/>
    <w:rsid w:val="001326E6"/>
    <w:rsid w:val="0013399D"/>
    <w:rsid w:val="00144076"/>
    <w:rsid w:val="00196434"/>
    <w:rsid w:val="001A3EA1"/>
    <w:rsid w:val="001B7C7B"/>
    <w:rsid w:val="00224C85"/>
    <w:rsid w:val="0025194B"/>
    <w:rsid w:val="00280008"/>
    <w:rsid w:val="00284EFA"/>
    <w:rsid w:val="0029400D"/>
    <w:rsid w:val="002954E9"/>
    <w:rsid w:val="002B15B8"/>
    <w:rsid w:val="002B3CD8"/>
    <w:rsid w:val="002C3254"/>
    <w:rsid w:val="002D0E80"/>
    <w:rsid w:val="002D7CE4"/>
    <w:rsid w:val="002E52AB"/>
    <w:rsid w:val="003037A2"/>
    <w:rsid w:val="00315F5F"/>
    <w:rsid w:val="00353655"/>
    <w:rsid w:val="00361E27"/>
    <w:rsid w:val="00364842"/>
    <w:rsid w:val="00366BF2"/>
    <w:rsid w:val="00377399"/>
    <w:rsid w:val="003A5838"/>
    <w:rsid w:val="003E79FE"/>
    <w:rsid w:val="00400B90"/>
    <w:rsid w:val="004010F7"/>
    <w:rsid w:val="00413354"/>
    <w:rsid w:val="00414E38"/>
    <w:rsid w:val="0042010E"/>
    <w:rsid w:val="00426B15"/>
    <w:rsid w:val="00442976"/>
    <w:rsid w:val="00471999"/>
    <w:rsid w:val="00482F75"/>
    <w:rsid w:val="004853C5"/>
    <w:rsid w:val="00486B0A"/>
    <w:rsid w:val="0049171E"/>
    <w:rsid w:val="004C4E0C"/>
    <w:rsid w:val="004C7C59"/>
    <w:rsid w:val="004D18A0"/>
    <w:rsid w:val="004D2F57"/>
    <w:rsid w:val="004E0F06"/>
    <w:rsid w:val="00502B6A"/>
    <w:rsid w:val="005123FD"/>
    <w:rsid w:val="005147D1"/>
    <w:rsid w:val="00520876"/>
    <w:rsid w:val="00535417"/>
    <w:rsid w:val="00536F56"/>
    <w:rsid w:val="00570D3A"/>
    <w:rsid w:val="00587ED5"/>
    <w:rsid w:val="005A4B35"/>
    <w:rsid w:val="005B1856"/>
    <w:rsid w:val="005B526B"/>
    <w:rsid w:val="005B7759"/>
    <w:rsid w:val="005F238D"/>
    <w:rsid w:val="00600722"/>
    <w:rsid w:val="0065295A"/>
    <w:rsid w:val="00676023"/>
    <w:rsid w:val="006A0DBE"/>
    <w:rsid w:val="006B616E"/>
    <w:rsid w:val="006B79BE"/>
    <w:rsid w:val="006D0E53"/>
    <w:rsid w:val="0070050A"/>
    <w:rsid w:val="00755D54"/>
    <w:rsid w:val="0078085B"/>
    <w:rsid w:val="007866A3"/>
    <w:rsid w:val="007A7C0A"/>
    <w:rsid w:val="007C2148"/>
    <w:rsid w:val="00810CDA"/>
    <w:rsid w:val="00823052"/>
    <w:rsid w:val="00836384"/>
    <w:rsid w:val="00836B29"/>
    <w:rsid w:val="00842A12"/>
    <w:rsid w:val="00851795"/>
    <w:rsid w:val="00880885"/>
    <w:rsid w:val="008A4E1E"/>
    <w:rsid w:val="008D4E00"/>
    <w:rsid w:val="009048CA"/>
    <w:rsid w:val="0097505E"/>
    <w:rsid w:val="00986C9B"/>
    <w:rsid w:val="009B2D4B"/>
    <w:rsid w:val="009C1CC9"/>
    <w:rsid w:val="00A16E7D"/>
    <w:rsid w:val="00A24CD3"/>
    <w:rsid w:val="00A36CD4"/>
    <w:rsid w:val="00A43C15"/>
    <w:rsid w:val="00A56169"/>
    <w:rsid w:val="00A57F2F"/>
    <w:rsid w:val="00A6078B"/>
    <w:rsid w:val="00A65260"/>
    <w:rsid w:val="00A84204"/>
    <w:rsid w:val="00A8701A"/>
    <w:rsid w:val="00AA12FE"/>
    <w:rsid w:val="00AB6E3B"/>
    <w:rsid w:val="00AD6912"/>
    <w:rsid w:val="00AF0598"/>
    <w:rsid w:val="00B06E25"/>
    <w:rsid w:val="00B16C2D"/>
    <w:rsid w:val="00B207CB"/>
    <w:rsid w:val="00B23E4D"/>
    <w:rsid w:val="00BA3897"/>
    <w:rsid w:val="00BB2ADC"/>
    <w:rsid w:val="00BD5254"/>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CD338E"/>
    <w:rsid w:val="00D137F6"/>
    <w:rsid w:val="00D16923"/>
    <w:rsid w:val="00D34C18"/>
    <w:rsid w:val="00D42AC1"/>
    <w:rsid w:val="00D91BD2"/>
    <w:rsid w:val="00DA5BE8"/>
    <w:rsid w:val="00DC7A40"/>
    <w:rsid w:val="00E310DA"/>
    <w:rsid w:val="00E33895"/>
    <w:rsid w:val="00E42C5A"/>
    <w:rsid w:val="00E63168"/>
    <w:rsid w:val="00E664FA"/>
    <w:rsid w:val="00E81C4D"/>
    <w:rsid w:val="00EA3165"/>
    <w:rsid w:val="00EA42E0"/>
    <w:rsid w:val="00EA7E05"/>
    <w:rsid w:val="00EB3531"/>
    <w:rsid w:val="00EB491B"/>
    <w:rsid w:val="00EB6AEB"/>
    <w:rsid w:val="00EC0023"/>
    <w:rsid w:val="00ED0FEA"/>
    <w:rsid w:val="00ED2E3B"/>
    <w:rsid w:val="00F03353"/>
    <w:rsid w:val="00F14158"/>
    <w:rsid w:val="00F338A5"/>
    <w:rsid w:val="00F8200C"/>
    <w:rsid w:val="00FA25FF"/>
    <w:rsid w:val="00FA75EA"/>
    <w:rsid w:val="00FB4A48"/>
    <w:rsid w:val="00FC5ABE"/>
    <w:rsid w:val="00FC7425"/>
    <w:rsid w:val="00FD0587"/>
    <w:rsid w:val="00FF6460"/>
    <w:rsid w:val="120FD201"/>
    <w:rsid w:val="133677F0"/>
    <w:rsid w:val="3D9D2EF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2.xml><?xml version="1.0" encoding="utf-8"?>
<ds:datastoreItem xmlns:ds="http://schemas.openxmlformats.org/officeDocument/2006/customXml" ds:itemID="{FE43ED22-9A96-4A2C-A89D-F2C1F17FF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F274-EEDB-443F-BF93-2B7278736F75}">
  <ds:schemaRefs>
    <ds:schemaRef ds:uri="http://schemas.microsoft.com/sharepoint/v3/contenttype/forms"/>
  </ds:schemaRefs>
</ds:datastoreItem>
</file>

<file path=customXml/itemProps4.xml><?xml version="1.0" encoding="utf-8"?>
<ds:datastoreItem xmlns:ds="http://schemas.openxmlformats.org/officeDocument/2006/customXml" ds:itemID="{86B92788-882D-46A4-8881-7E34E8045B17}">
  <ds:schemaRefs>
    <ds:schemaRef ds:uri="http://purl.org/dc/dcmitype/"/>
    <ds:schemaRef ds:uri="http://schemas.microsoft.com/office/2006/documentManagement/types"/>
    <ds:schemaRef ds:uri="28f50e0f-986c-470f-8df2-2f41b0ddbee0"/>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c0ada764-fdf6-4be1-afd3-daa9329ded8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2300</Words>
  <Characters>12655</Characters>
  <Application>Microsoft Office Word</Application>
  <DocSecurity>0</DocSecurity>
  <Lines>105</Lines>
  <Paragraphs>29</Paragraphs>
  <ScaleCrop>false</ScaleCrop>
  <Company>Het Hogeland</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Gert Olthuis</cp:lastModifiedBy>
  <cp:revision>33</cp:revision>
  <cp:lastPrinted>2021-08-23T07:44:00Z</cp:lastPrinted>
  <dcterms:created xsi:type="dcterms:W3CDTF">2022-08-01T11:28:00Z</dcterms:created>
  <dcterms:modified xsi:type="dcterms:W3CDTF">2026-06-05T08:34:00Z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1007600</vt:r8>
  </property>
  <property fmtid="{D5CDD505-2E9C-101B-9397-08002B2CF9AE}" pid="4" name="MediaServiceImageTags">
    <vt:lpwstr/>
  </property>
</Properties>
</file>