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88A5" w14:textId="264DF1A6" w:rsidR="0075030A" w:rsidRPr="009547D0" w:rsidRDefault="0075030A">
      <w:pPr>
        <w:rPr>
          <w:rFonts w:ascii="Arial" w:hAnsi="Arial" w:cs="Arial"/>
          <w:b/>
          <w:bCs/>
          <w:sz w:val="36"/>
          <w:szCs w:val="36"/>
        </w:rPr>
      </w:pPr>
      <w:r w:rsidRPr="009547D0">
        <w:rPr>
          <w:rFonts w:ascii="Arial" w:hAnsi="Arial" w:cs="Arial"/>
          <w:b/>
          <w:bCs/>
          <w:sz w:val="36"/>
          <w:szCs w:val="36"/>
        </w:rPr>
        <w:t xml:space="preserve">Bijlage </w:t>
      </w:r>
      <w:r w:rsidR="009547D0" w:rsidRPr="009547D0">
        <w:rPr>
          <w:rFonts w:ascii="Arial" w:hAnsi="Arial" w:cs="Arial"/>
          <w:b/>
          <w:bCs/>
          <w:sz w:val="36"/>
          <w:szCs w:val="36"/>
        </w:rPr>
        <w:t>8</w:t>
      </w:r>
      <w:r w:rsidR="009547D0">
        <w:rPr>
          <w:rFonts w:ascii="Arial" w:hAnsi="Arial" w:cs="Arial"/>
          <w:b/>
          <w:bCs/>
          <w:sz w:val="36"/>
          <w:szCs w:val="36"/>
        </w:rPr>
        <w:tab/>
      </w:r>
      <w:r w:rsidRPr="009547D0">
        <w:rPr>
          <w:rFonts w:ascii="Arial" w:hAnsi="Arial" w:cs="Arial"/>
          <w:b/>
          <w:bCs/>
          <w:sz w:val="36"/>
          <w:szCs w:val="36"/>
        </w:rPr>
        <w:t xml:space="preserve">Social Return </w:t>
      </w:r>
    </w:p>
    <w:p w14:paraId="4875F6C3" w14:textId="77777777" w:rsidR="0075030A" w:rsidRPr="00A26051" w:rsidRDefault="0075030A">
      <w:pPr>
        <w:rPr>
          <w:rFonts w:ascii="Arial" w:hAnsi="Arial" w:cs="Arial"/>
          <w:sz w:val="20"/>
          <w:szCs w:val="20"/>
        </w:rPr>
      </w:pPr>
    </w:p>
    <w:p w14:paraId="708861FE" w14:textId="77777777" w:rsidR="0075030A" w:rsidRPr="00A26051" w:rsidRDefault="0075030A">
      <w:pPr>
        <w:rPr>
          <w:rFonts w:ascii="Arial" w:hAnsi="Arial" w:cs="Arial"/>
          <w:sz w:val="20"/>
          <w:szCs w:val="20"/>
        </w:rPr>
      </w:pPr>
    </w:p>
    <w:p w14:paraId="3B242E3B" w14:textId="77777777" w:rsidR="0075030A" w:rsidRPr="00A26051" w:rsidRDefault="0075030A">
      <w:pPr>
        <w:rPr>
          <w:rFonts w:ascii="Arial" w:hAnsi="Arial" w:cs="Arial"/>
          <w:sz w:val="20"/>
          <w:szCs w:val="20"/>
        </w:rPr>
      </w:pPr>
    </w:p>
    <w:tbl>
      <w:tblPr>
        <w:tblW w:w="8931" w:type="dxa"/>
        <w:tblCellSpacing w:w="15" w:type="dxa"/>
        <w:tblInd w:w="45" w:type="dxa"/>
        <w:tblCellMar>
          <w:left w:w="0" w:type="dxa"/>
          <w:right w:w="0" w:type="dxa"/>
        </w:tblCellMar>
        <w:tblLook w:val="00A0" w:firstRow="1" w:lastRow="0" w:firstColumn="1" w:lastColumn="0" w:noHBand="0" w:noVBand="0"/>
      </w:tblPr>
      <w:tblGrid>
        <w:gridCol w:w="8931"/>
      </w:tblGrid>
      <w:tr w:rsidR="00424C79" w:rsidRPr="00A26051" w14:paraId="21E1B700" w14:textId="77777777" w:rsidTr="00602093">
        <w:trPr>
          <w:tblCellSpacing w:w="15" w:type="dxa"/>
        </w:trPr>
        <w:tc>
          <w:tcPr>
            <w:tcW w:w="8871" w:type="dxa"/>
            <w:tcMar>
              <w:top w:w="15" w:type="dxa"/>
              <w:left w:w="15" w:type="dxa"/>
              <w:bottom w:w="15" w:type="dxa"/>
              <w:right w:w="15" w:type="dxa"/>
            </w:tcMar>
            <w:vAlign w:val="center"/>
          </w:tcPr>
          <w:p w14:paraId="386B49F8" w14:textId="7ECD60C8" w:rsidR="009547D0" w:rsidRDefault="00F40355" w:rsidP="00F40355">
            <w:pPr>
              <w:pStyle w:val="Tekstopmerking"/>
              <w:rPr>
                <w:rFonts w:ascii="Arial" w:hAnsi="Arial" w:cs="Arial"/>
              </w:rPr>
            </w:pPr>
            <w:r w:rsidRPr="00A26051">
              <w:rPr>
                <w:rFonts w:ascii="Arial" w:hAnsi="Arial" w:cs="Arial"/>
              </w:rPr>
              <w:t xml:space="preserve">Gemeente </w:t>
            </w:r>
            <w:r w:rsidR="00347142">
              <w:rPr>
                <w:rFonts w:ascii="Arial" w:hAnsi="Arial" w:cs="Arial"/>
              </w:rPr>
              <w:t>Bunnik</w:t>
            </w:r>
            <w:r w:rsidRPr="00A26051">
              <w:rPr>
                <w:rFonts w:ascii="Arial" w:hAnsi="Arial" w:cs="Arial"/>
              </w:rPr>
              <w:t xml:space="preserve"> </w:t>
            </w:r>
            <w:r w:rsidR="00424C79" w:rsidRPr="00A26051">
              <w:rPr>
                <w:rFonts w:ascii="Arial" w:hAnsi="Arial" w:cs="Arial"/>
              </w:rPr>
              <w:t xml:space="preserve">vindt het een verantwoordelijkheid van Opdrachtnemers </w:t>
            </w:r>
            <w:r w:rsidRPr="00A26051">
              <w:rPr>
                <w:rFonts w:ascii="Arial" w:hAnsi="Arial" w:cs="Arial"/>
              </w:rPr>
              <w:t xml:space="preserve">om </w:t>
            </w:r>
            <w:r w:rsidR="00424C79" w:rsidRPr="00A26051">
              <w:rPr>
                <w:rFonts w:ascii="Arial" w:hAnsi="Arial" w:cs="Arial"/>
              </w:rPr>
              <w:t xml:space="preserve">bij te dragen aan het versterken van de sociale infrastructuur. Door zich in te schrijven op deze aanbesteding, verplicht de </w:t>
            </w:r>
            <w:r w:rsidRPr="00A26051">
              <w:rPr>
                <w:rFonts w:ascii="Arial" w:hAnsi="Arial" w:cs="Arial"/>
              </w:rPr>
              <w:t xml:space="preserve">Opdrachtnemer </w:t>
            </w:r>
            <w:r w:rsidR="00424C79" w:rsidRPr="00A26051">
              <w:rPr>
                <w:rFonts w:ascii="Arial" w:hAnsi="Arial" w:cs="Arial"/>
              </w:rPr>
              <w:t>zich om bij gunning, 5%</w:t>
            </w:r>
            <w:r w:rsidR="00424C79" w:rsidRPr="00DA7C7C">
              <w:rPr>
                <w:rFonts w:ascii="Arial" w:hAnsi="Arial" w:cs="Arial"/>
              </w:rPr>
              <w:t xml:space="preserve"> van de gefactureerde omzet naar aanleiding</w:t>
            </w:r>
            <w:r w:rsidR="00424C79" w:rsidRPr="00A26051">
              <w:rPr>
                <w:rFonts w:ascii="Arial" w:hAnsi="Arial" w:cs="Arial"/>
              </w:rPr>
              <w:t xml:space="preserve"> van de Opdracht aan te wenden om de sociale infrastructuur te versterken.</w:t>
            </w:r>
            <w:r w:rsidR="00902359">
              <w:rPr>
                <w:rFonts w:ascii="Arial" w:hAnsi="Arial" w:cs="Arial"/>
              </w:rPr>
              <w:t xml:space="preserve"> </w:t>
            </w:r>
            <w:r w:rsidR="00424C79" w:rsidRPr="00A26051">
              <w:rPr>
                <w:rFonts w:ascii="Arial" w:hAnsi="Arial" w:cs="Arial"/>
              </w:rPr>
              <w:t>Opdrachtnemer is verantwoordelijk voor een concrete invulling (hoeveel mensen, welk soort mensen, waar inzetten). De invulling van deze Social Return-verplichting kan breder dan enkel op de onderliggende Opdracht worden verwezenlijkt, maar wel gedurende de looptijd van de Overeenkomst. Opdrachtnemer legt hiertoe verantwoording af richting het Bureau Social Return; Werkgeversservicepunt Kromme Rijn Heuvelrug</w:t>
            </w:r>
            <w:r w:rsidR="009547D0">
              <w:rPr>
                <w:rFonts w:ascii="Arial" w:hAnsi="Arial" w:cs="Arial"/>
              </w:rPr>
              <w:t>;</w:t>
            </w:r>
            <w:hyperlink r:id="rId7" w:history="1">
              <w:r w:rsidR="009547D0" w:rsidRPr="008E46D6">
                <w:rPr>
                  <w:rStyle w:val="Hyperlink"/>
                  <w:rFonts w:ascii="Verdana" w:hAnsi="Verdana"/>
                </w:rPr>
                <w:t>wgsp@rsdkrh.nl</w:t>
              </w:r>
            </w:hyperlink>
            <w:r w:rsidR="003426B0">
              <w:rPr>
                <w:rFonts w:ascii="Verdana" w:hAnsi="Verdana"/>
              </w:rPr>
              <w:t xml:space="preserve"> </w:t>
            </w:r>
            <w:r w:rsidR="00A000B4">
              <w:rPr>
                <w:rFonts w:ascii="Arial" w:hAnsi="Arial" w:cs="Arial"/>
              </w:rPr>
              <w:t xml:space="preserve"> </w:t>
            </w:r>
            <w:r w:rsidR="00424C79" w:rsidRPr="00A26051">
              <w:rPr>
                <w:rFonts w:ascii="Arial" w:hAnsi="Arial" w:cs="Arial"/>
              </w:rPr>
              <w:t xml:space="preserve"> </w:t>
            </w:r>
            <w:r w:rsidR="00A000B4">
              <w:rPr>
                <w:rFonts w:ascii="Arial" w:hAnsi="Arial" w:cs="Arial"/>
              </w:rPr>
              <w:br/>
            </w:r>
          </w:p>
          <w:p w14:paraId="760E6911" w14:textId="7FD56406" w:rsidR="00424C79" w:rsidRPr="00A26051" w:rsidRDefault="00424C79" w:rsidP="00F40355">
            <w:pPr>
              <w:pStyle w:val="Tekstopmerking"/>
              <w:rPr>
                <w:rFonts w:ascii="Arial" w:hAnsi="Arial" w:cs="Arial"/>
              </w:rPr>
            </w:pPr>
            <w:r w:rsidRPr="00A26051">
              <w:rPr>
                <w:rFonts w:ascii="Arial" w:hAnsi="Arial" w:cs="Arial"/>
              </w:rPr>
              <w:t>Bij afloop van de Opdracht dient aan deze verplichting voldaan te zijn. Het Bureau Social Return voert hierop de controle uit. Indien na de looptijd niet aan de verplichting is voldaan, beroept Opdrachtgever zich op de boeteclausule.</w:t>
            </w:r>
          </w:p>
        </w:tc>
      </w:tr>
      <w:tr w:rsidR="00424C79" w:rsidRPr="00A26051" w14:paraId="1B033494" w14:textId="77777777" w:rsidTr="00602093">
        <w:trPr>
          <w:tblCellSpacing w:w="15" w:type="dxa"/>
        </w:trPr>
        <w:tc>
          <w:tcPr>
            <w:tcW w:w="8871" w:type="dxa"/>
            <w:tcMar>
              <w:top w:w="15" w:type="dxa"/>
              <w:left w:w="15" w:type="dxa"/>
              <w:bottom w:w="15" w:type="dxa"/>
              <w:right w:w="15" w:type="dxa"/>
            </w:tcMar>
            <w:vAlign w:val="center"/>
          </w:tcPr>
          <w:p w14:paraId="6B363E5C" w14:textId="77777777" w:rsidR="00424C79" w:rsidRPr="00A26051" w:rsidRDefault="00424C79" w:rsidP="00602093">
            <w:pPr>
              <w:rPr>
                <w:rFonts w:ascii="Arial" w:hAnsi="Arial" w:cs="Arial"/>
                <w:sz w:val="20"/>
                <w:szCs w:val="20"/>
              </w:rPr>
            </w:pPr>
          </w:p>
        </w:tc>
      </w:tr>
      <w:tr w:rsidR="00424C79" w:rsidRPr="00A26051" w14:paraId="064C36BE" w14:textId="77777777" w:rsidTr="00602093">
        <w:trPr>
          <w:tblCellSpacing w:w="15" w:type="dxa"/>
        </w:trPr>
        <w:tc>
          <w:tcPr>
            <w:tcW w:w="8871" w:type="dxa"/>
            <w:tcMar>
              <w:top w:w="15" w:type="dxa"/>
              <w:left w:w="600" w:type="dxa"/>
              <w:bottom w:w="15" w:type="dxa"/>
              <w:right w:w="15" w:type="dxa"/>
            </w:tcMar>
            <w:vAlign w:val="center"/>
          </w:tcPr>
          <w:p w14:paraId="6504CDA2" w14:textId="77777777" w:rsidR="00424C79" w:rsidRPr="00A26051" w:rsidRDefault="00424C79" w:rsidP="00424C79">
            <w:pPr>
              <w:pStyle w:val="Lijstalinea1"/>
              <w:numPr>
                <w:ilvl w:val="0"/>
                <w:numId w:val="1"/>
              </w:numPr>
              <w:jc w:val="left"/>
              <w:rPr>
                <w:sz w:val="20"/>
                <w:szCs w:val="20"/>
                <w:lang w:eastAsia="nl-NL"/>
              </w:rPr>
            </w:pPr>
            <w:r w:rsidRPr="00A26051">
              <w:rPr>
                <w:sz w:val="20"/>
                <w:szCs w:val="20"/>
                <w:lang w:eastAsia="nl-NL"/>
              </w:rPr>
              <w:t xml:space="preserve">Opdrachtnemer verplicht zich om </w:t>
            </w:r>
            <w:r w:rsidRPr="00A26051">
              <w:rPr>
                <w:sz w:val="20"/>
                <w:szCs w:val="20"/>
              </w:rPr>
              <w:t xml:space="preserve">5% </w:t>
            </w:r>
            <w:r w:rsidRPr="00A26051">
              <w:rPr>
                <w:sz w:val="20"/>
                <w:szCs w:val="20"/>
                <w:lang w:eastAsia="nl-NL"/>
              </w:rPr>
              <w:t xml:space="preserve">van de gefactureerde </w:t>
            </w:r>
            <w:r w:rsidRPr="00A26051">
              <w:rPr>
                <w:sz w:val="20"/>
                <w:szCs w:val="20"/>
              </w:rPr>
              <w:t>omzet</w:t>
            </w:r>
            <w:r w:rsidRPr="00A26051">
              <w:rPr>
                <w:sz w:val="20"/>
                <w:szCs w:val="20"/>
                <w:lang w:eastAsia="nl-NL"/>
              </w:rPr>
              <w:t xml:space="preserve"> naar aanleiding van de Opdracht te besteden aan inspanningen in het kader van Social Return. Opdrachtnemer kan beslissen om de kandidaten werkzaamheden te laten verrichten die niet direct verband houden met de Opdracht en zelfs niet bij Opdrachtnemer plaatsvinden.</w:t>
            </w:r>
          </w:p>
          <w:p w14:paraId="04519EB7" w14:textId="2DCA513A" w:rsidR="00424C79" w:rsidRPr="00A26051" w:rsidRDefault="00424C79" w:rsidP="00424C79">
            <w:pPr>
              <w:pStyle w:val="Lijstalinea1"/>
              <w:numPr>
                <w:ilvl w:val="0"/>
                <w:numId w:val="1"/>
              </w:numPr>
              <w:jc w:val="left"/>
              <w:rPr>
                <w:sz w:val="20"/>
                <w:szCs w:val="20"/>
                <w:lang w:eastAsia="nl-NL"/>
              </w:rPr>
            </w:pPr>
            <w:r w:rsidRPr="00A26051">
              <w:rPr>
                <w:color w:val="000000"/>
                <w:sz w:val="20"/>
                <w:szCs w:val="20"/>
              </w:rPr>
              <w:t>Het Bureau Social Return (</w:t>
            </w:r>
            <w:hyperlink r:id="rId8" w:history="1">
              <w:r w:rsidR="003426B0">
                <w:rPr>
                  <w:rStyle w:val="Hyperlink"/>
                  <w:rFonts w:ascii="Verdana" w:hAnsi="Verdana"/>
                  <w:sz w:val="20"/>
                  <w:szCs w:val="20"/>
                </w:rPr>
                <w:t>wgsp@rsdkrh.nl</w:t>
              </w:r>
            </w:hyperlink>
            <w:r w:rsidR="003426B0">
              <w:rPr>
                <w:rFonts w:ascii="Verdana" w:hAnsi="Verdana"/>
                <w:sz w:val="20"/>
                <w:szCs w:val="20"/>
              </w:rPr>
              <w:t xml:space="preserve"> </w:t>
            </w:r>
            <w:hyperlink r:id="rId9" w:history="1"/>
            <w:r w:rsidRPr="00A26051">
              <w:rPr>
                <w:color w:val="000000"/>
                <w:sz w:val="20"/>
                <w:szCs w:val="20"/>
              </w:rPr>
              <w:t xml:space="preserve">) adviseert en faciliteert de Opdrachtnemer bij de invulling van Social Return. </w:t>
            </w:r>
            <w:r w:rsidRPr="00A26051">
              <w:rPr>
                <w:sz w:val="20"/>
                <w:szCs w:val="20"/>
                <w:lang w:eastAsia="nl-NL"/>
              </w:rPr>
              <w:t>Na verlening van de Opdracht levert Opdrachtnemer aan het Bureau Social Return een plan op hoe aan de Social Return verplichting te voldoen. Basis voor dit plan is 5% van de geoffreerde opdrachtsom. Voor het bepalen van de waarde van de inspanningen in Social Return, wordt de tabel Social Return gehandhaafd</w:t>
            </w:r>
            <w:r w:rsidR="008A5DD9" w:rsidRPr="00A26051">
              <w:rPr>
                <w:sz w:val="20"/>
                <w:szCs w:val="20"/>
                <w:lang w:eastAsia="nl-NL"/>
              </w:rPr>
              <w:t xml:space="preserve"> welke hieronder </w:t>
            </w:r>
            <w:r w:rsidR="004912D1" w:rsidRPr="00A26051">
              <w:rPr>
                <w:sz w:val="20"/>
                <w:szCs w:val="20"/>
                <w:lang w:eastAsia="nl-NL"/>
              </w:rPr>
              <w:t>is opgenomen .</w:t>
            </w:r>
          </w:p>
          <w:p w14:paraId="4A42844F" w14:textId="77777777" w:rsidR="00424C79" w:rsidRPr="00A26051" w:rsidRDefault="00424C79" w:rsidP="00424C79">
            <w:pPr>
              <w:pStyle w:val="Lijstalinea1"/>
              <w:numPr>
                <w:ilvl w:val="0"/>
                <w:numId w:val="1"/>
              </w:numPr>
              <w:jc w:val="left"/>
              <w:rPr>
                <w:sz w:val="20"/>
                <w:szCs w:val="20"/>
                <w:lang w:eastAsia="nl-NL"/>
              </w:rPr>
            </w:pPr>
            <w:r w:rsidRPr="00A26051">
              <w:rPr>
                <w:sz w:val="20"/>
                <w:szCs w:val="20"/>
                <w:lang w:eastAsia="nl-NL"/>
              </w:rPr>
              <w:t>Na goedkeuring van het plan door Bureau Social Return ontvangt Opdrachtnemer van het Bureau Social Return een spreadsheet voor rapportages en een tabel waarmee de waarde van de inspanningen bepaald kunnen worden.</w:t>
            </w:r>
          </w:p>
          <w:p w14:paraId="74DA9C85" w14:textId="77777777" w:rsidR="00424C79" w:rsidRPr="00A26051" w:rsidRDefault="00424C79" w:rsidP="00424C79">
            <w:pPr>
              <w:pStyle w:val="Voorstel"/>
              <w:numPr>
                <w:ilvl w:val="0"/>
                <w:numId w:val="1"/>
              </w:numPr>
            </w:pPr>
            <w:r w:rsidRPr="00A26051">
              <w:t>Reeds gedane Social Return inspanningen welke gestart zijn tot maximaal 3 maanden voorafgaand aan de definitieve gunning van de opdracht zijn toegestaan voor de geldende Social Return verplichting van de gegunde opdracht. De inspanning mag daarbij niet al voor een andere Social Return verplichting, eventueel van een andere aanbestedende dienst, zijn ingezet.</w:t>
            </w:r>
          </w:p>
          <w:p w14:paraId="01B381A6" w14:textId="77777777" w:rsidR="00424C79" w:rsidRPr="00A26051" w:rsidRDefault="00424C79" w:rsidP="00424C79">
            <w:pPr>
              <w:pStyle w:val="Lijstalinea1"/>
              <w:numPr>
                <w:ilvl w:val="0"/>
                <w:numId w:val="1"/>
              </w:numPr>
              <w:jc w:val="left"/>
              <w:rPr>
                <w:sz w:val="20"/>
                <w:szCs w:val="20"/>
                <w:lang w:eastAsia="nl-NL"/>
              </w:rPr>
            </w:pPr>
            <w:r w:rsidRPr="00A26051">
              <w:rPr>
                <w:sz w:val="20"/>
                <w:szCs w:val="20"/>
                <w:lang w:eastAsia="nl-NL"/>
              </w:rPr>
              <w:t>De Opdrachtgever zal zich inspannen de aanlevering van kandidaten aan de Opdrachtnemer te bevorderen. Deze inspanningen doen niets af aan de verantwoordelijkheid van de Opdrachtnemer om aan de Social Return verplichting te voldoen.</w:t>
            </w:r>
          </w:p>
          <w:p w14:paraId="5E815CFF" w14:textId="77777777" w:rsidR="00424C79" w:rsidRPr="00A26051" w:rsidRDefault="00424C79" w:rsidP="00424C79">
            <w:pPr>
              <w:pStyle w:val="Lijstalinea1"/>
              <w:numPr>
                <w:ilvl w:val="0"/>
                <w:numId w:val="1"/>
              </w:numPr>
              <w:jc w:val="left"/>
              <w:rPr>
                <w:sz w:val="20"/>
                <w:szCs w:val="20"/>
                <w:lang w:eastAsia="nl-NL"/>
              </w:rPr>
            </w:pPr>
            <w:r w:rsidRPr="00A26051">
              <w:rPr>
                <w:sz w:val="20"/>
                <w:szCs w:val="20"/>
                <w:lang w:eastAsia="nl-NL"/>
              </w:rPr>
              <w:t>Gedurende de looptijd van de Overeenkomst levert Opdrachtnemer 2 (twee) keer een rapportage aan het Bureau Social Return, conform de spreadsheet uit lid 03 van dit artikel.</w:t>
            </w:r>
            <w:r w:rsidRPr="00A26051">
              <w:rPr>
                <w:sz w:val="20"/>
                <w:szCs w:val="20"/>
              </w:rPr>
              <w:t xml:space="preserve"> Bij zeer korte looptijden, volstaat één keer.</w:t>
            </w:r>
          </w:p>
          <w:p w14:paraId="23D99C79" w14:textId="77777777" w:rsidR="00424C79" w:rsidRPr="00A26051" w:rsidRDefault="00424C79" w:rsidP="00424C79">
            <w:pPr>
              <w:pStyle w:val="Lijstalinea1"/>
              <w:numPr>
                <w:ilvl w:val="0"/>
                <w:numId w:val="1"/>
              </w:numPr>
              <w:jc w:val="left"/>
              <w:rPr>
                <w:sz w:val="20"/>
                <w:szCs w:val="20"/>
                <w:lang w:eastAsia="nl-NL"/>
              </w:rPr>
            </w:pPr>
            <w:r w:rsidRPr="00A26051">
              <w:rPr>
                <w:sz w:val="20"/>
                <w:szCs w:val="20"/>
                <w:lang w:eastAsia="nl-NL"/>
              </w:rPr>
              <w:t xml:space="preserve">De definitieve berekening van </w:t>
            </w:r>
            <w:r w:rsidRPr="00A26051">
              <w:rPr>
                <w:sz w:val="20"/>
                <w:szCs w:val="20"/>
              </w:rPr>
              <w:t xml:space="preserve">5% </w:t>
            </w:r>
            <w:r w:rsidRPr="00A26051">
              <w:rPr>
                <w:sz w:val="20"/>
                <w:szCs w:val="20"/>
                <w:lang w:eastAsia="nl-NL"/>
              </w:rPr>
              <w:t xml:space="preserve">van de gefactureerde </w:t>
            </w:r>
            <w:r w:rsidRPr="00A26051">
              <w:rPr>
                <w:sz w:val="20"/>
                <w:szCs w:val="20"/>
              </w:rPr>
              <w:t>omzet</w:t>
            </w:r>
            <w:r w:rsidRPr="00A26051">
              <w:rPr>
                <w:sz w:val="20"/>
                <w:szCs w:val="20"/>
                <w:lang w:eastAsia="nl-NL"/>
              </w:rPr>
              <w:t xml:space="preserve"> geschiedt aan het einde van de looptijd van de Overeenkomst.</w:t>
            </w:r>
          </w:p>
          <w:p w14:paraId="6E54A5C5" w14:textId="77777777" w:rsidR="00424C79" w:rsidRPr="00A26051" w:rsidRDefault="00424C79" w:rsidP="00424C79">
            <w:pPr>
              <w:pStyle w:val="Lijstalinea1"/>
              <w:numPr>
                <w:ilvl w:val="0"/>
                <w:numId w:val="1"/>
              </w:numPr>
              <w:jc w:val="left"/>
              <w:rPr>
                <w:sz w:val="20"/>
                <w:szCs w:val="20"/>
                <w:lang w:eastAsia="nl-NL"/>
              </w:rPr>
            </w:pPr>
            <w:r w:rsidRPr="00A26051">
              <w:rPr>
                <w:sz w:val="20"/>
                <w:szCs w:val="20"/>
                <w:lang w:eastAsia="nl-NL"/>
              </w:rPr>
              <w:t xml:space="preserve">Binnen 2 (twee) maanden na het einde van de looptijd van de Overeenkomst levert de Opdrachtnemer een eindrapportage aan het Bureau Social Return conform de rapportage als genoemd in lid 03 van dit artikel. </w:t>
            </w:r>
          </w:p>
          <w:p w14:paraId="40687246" w14:textId="77777777" w:rsidR="00424C79" w:rsidRPr="00A26051" w:rsidRDefault="00424C79" w:rsidP="00424C79">
            <w:pPr>
              <w:pStyle w:val="Lijstalinea1"/>
              <w:numPr>
                <w:ilvl w:val="0"/>
                <w:numId w:val="1"/>
              </w:numPr>
              <w:jc w:val="left"/>
              <w:rPr>
                <w:sz w:val="20"/>
                <w:szCs w:val="20"/>
                <w:lang w:eastAsia="nl-NL"/>
              </w:rPr>
            </w:pPr>
            <w:r w:rsidRPr="00A26051">
              <w:rPr>
                <w:sz w:val="20"/>
                <w:szCs w:val="20"/>
                <w:lang w:eastAsia="nl-NL"/>
              </w:rPr>
              <w:t>Het Bureau Social Return heeft de bevoegdheid de rapportages te verifiëren. Opdrachtnemer verleent daartoe zijn volledige medewerking. De eventuele kosten voorvloeiend uit deze medewerking kunnen niet bij de Opdrachtgever verhaald worden.</w:t>
            </w:r>
          </w:p>
          <w:p w14:paraId="01F4BD14" w14:textId="77777777" w:rsidR="00424C79" w:rsidRPr="00A26051" w:rsidRDefault="00424C79" w:rsidP="00424C79">
            <w:pPr>
              <w:pStyle w:val="Lijstalinea1"/>
              <w:numPr>
                <w:ilvl w:val="0"/>
                <w:numId w:val="1"/>
              </w:numPr>
              <w:tabs>
                <w:tab w:val="left" w:pos="221"/>
              </w:tabs>
              <w:jc w:val="left"/>
              <w:rPr>
                <w:sz w:val="20"/>
                <w:szCs w:val="20"/>
                <w:lang w:eastAsia="nl-NL"/>
              </w:rPr>
            </w:pPr>
            <w:r w:rsidRPr="00A26051">
              <w:rPr>
                <w:sz w:val="20"/>
                <w:szCs w:val="20"/>
                <w:lang w:eastAsia="nl-NL"/>
              </w:rPr>
              <w:t>Bureau Social Return is bevoegd om inspanningen die niet door het Bureau Social Return zijn goedgekeurd, niet mee te rekenen in het kader van de Social Return-verplichting. De bewijslast van goedkeuring berust bij de Opdrachtnemer.</w:t>
            </w:r>
          </w:p>
          <w:p w14:paraId="25064CFC" w14:textId="77777777" w:rsidR="00424C79" w:rsidRPr="00A26051" w:rsidRDefault="00424C79" w:rsidP="00424C79">
            <w:pPr>
              <w:pStyle w:val="Lijstalinea1"/>
              <w:numPr>
                <w:ilvl w:val="0"/>
                <w:numId w:val="1"/>
              </w:numPr>
              <w:tabs>
                <w:tab w:val="left" w:pos="221"/>
              </w:tabs>
              <w:jc w:val="left"/>
              <w:rPr>
                <w:sz w:val="20"/>
                <w:szCs w:val="20"/>
                <w:lang w:eastAsia="nl-NL"/>
              </w:rPr>
            </w:pPr>
            <w:r w:rsidRPr="00A26051">
              <w:rPr>
                <w:sz w:val="20"/>
                <w:szCs w:val="20"/>
                <w:lang w:eastAsia="nl-NL"/>
              </w:rPr>
              <w:lastRenderedPageBreak/>
              <w:t>Indien de Opdrachtnemer zijn verplichtingen aangaande Social Return conform lid 01 van dit artikel niet of niet volledig nakomt, betaalt Opdrachtnemer het resterende bedrag dat aan Social Return had moeten worden besteed aan de Opdrachtgever. Deze betaling kan plaatsvinden door creditnota’s (boetebeding).</w:t>
            </w:r>
          </w:p>
          <w:p w14:paraId="7DC4132C" w14:textId="77777777" w:rsidR="00424C79" w:rsidRPr="00A26051" w:rsidRDefault="00424C79" w:rsidP="00424C79">
            <w:pPr>
              <w:pStyle w:val="Lijstalinea1"/>
              <w:numPr>
                <w:ilvl w:val="0"/>
                <w:numId w:val="1"/>
              </w:numPr>
              <w:tabs>
                <w:tab w:val="left" w:pos="221"/>
              </w:tabs>
              <w:jc w:val="left"/>
              <w:rPr>
                <w:sz w:val="20"/>
                <w:szCs w:val="20"/>
                <w:lang w:eastAsia="nl-NL"/>
              </w:rPr>
            </w:pPr>
            <w:r w:rsidRPr="00A26051">
              <w:rPr>
                <w:sz w:val="20"/>
                <w:szCs w:val="20"/>
                <w:lang w:eastAsia="nl-NL"/>
              </w:rPr>
              <w:t>Indien de Opdrachtnemer werkt met onderaannemers blijft de Opdrachtnemer hoofdelijk aansprakelijk voor deze Social Return-verplichting.</w:t>
            </w:r>
          </w:p>
          <w:p w14:paraId="66207598" w14:textId="77777777" w:rsidR="00424C79" w:rsidRPr="00A26051" w:rsidRDefault="00424C79" w:rsidP="00424C79">
            <w:pPr>
              <w:pStyle w:val="Lijstalinea1"/>
              <w:numPr>
                <w:ilvl w:val="0"/>
                <w:numId w:val="1"/>
              </w:numPr>
              <w:tabs>
                <w:tab w:val="left" w:pos="221"/>
              </w:tabs>
              <w:jc w:val="left"/>
              <w:rPr>
                <w:sz w:val="20"/>
                <w:szCs w:val="20"/>
                <w:lang w:eastAsia="nl-NL"/>
              </w:rPr>
            </w:pPr>
            <w:r w:rsidRPr="00A26051">
              <w:rPr>
                <w:sz w:val="20"/>
                <w:szCs w:val="20"/>
                <w:lang w:eastAsia="nl-NL"/>
              </w:rPr>
              <w:t xml:space="preserve">Door inschrijving verklaart de Opdrachtnemer zich akkoord met bovenvermelde bepalingen. </w:t>
            </w:r>
          </w:p>
        </w:tc>
      </w:tr>
    </w:tbl>
    <w:p w14:paraId="34DCC76E" w14:textId="77777777" w:rsidR="00424C79" w:rsidRPr="00A26051" w:rsidRDefault="00424C79" w:rsidP="00424C79">
      <w:pPr>
        <w:pStyle w:val="Kop1"/>
        <w:ind w:left="0" w:firstLine="0"/>
        <w:rPr>
          <w:sz w:val="20"/>
          <w:szCs w:val="20"/>
        </w:rPr>
      </w:pPr>
    </w:p>
    <w:p w14:paraId="14DB877A" w14:textId="77777777" w:rsidR="004912D1" w:rsidRPr="00A26051" w:rsidRDefault="004912D1" w:rsidP="004912D1">
      <w:pPr>
        <w:rPr>
          <w:rFonts w:ascii="Arial" w:hAnsi="Arial" w:cs="Arial"/>
          <w:sz w:val="20"/>
          <w:szCs w:val="20"/>
        </w:rPr>
      </w:pPr>
      <w:r w:rsidRPr="00A26051">
        <w:rPr>
          <w:rFonts w:ascii="Arial" w:hAnsi="Arial" w:cs="Arial"/>
          <w:sz w:val="20"/>
          <w:szCs w:val="20"/>
        </w:rPr>
        <w:t>De gerealiseerde waarde van de inspanningen Social Return wordt uitgedrukt in inspanningswaarde en niet gezien vanuit de werkelijke waarde van de uitkeringen. Uiteraard heeft dit te maken met de afstand van de uitkeringsgroep tot de arbeidsmarkt en de inspanning die geleverd moet worden om de groep terug te leiden in de arbeidsmarkt. Hieronder wordt de huidige waardentabel weergegeven. Deze tabel is niet definitief en aan deze tabel kunnen dan geen rechten worden ontleend. De Opdrachtnemer ontvangt na aanmelding bij het Bureau Social Return een tabel die van toepassing is.</w:t>
      </w:r>
    </w:p>
    <w:p w14:paraId="44E915DB" w14:textId="77777777" w:rsidR="004912D1" w:rsidRDefault="004912D1" w:rsidP="004912D1">
      <w:pPr>
        <w:rPr>
          <w:rFonts w:ascii="Arial" w:hAnsi="Arial" w:cs="Arial"/>
          <w:sz w:val="20"/>
          <w:szCs w:val="20"/>
        </w:rPr>
      </w:pPr>
    </w:p>
    <w:p w14:paraId="3CF857CA" w14:textId="77777777" w:rsidR="004912D1" w:rsidRDefault="004912D1" w:rsidP="004912D1">
      <w:pPr>
        <w:rPr>
          <w:rFonts w:ascii="Arial" w:hAnsi="Arial" w:cs="Arial"/>
          <w:sz w:val="20"/>
          <w:szCs w:val="20"/>
        </w:rPr>
      </w:pPr>
    </w:p>
    <w:p w14:paraId="1E4CA312" w14:textId="77777777" w:rsidR="0075030A" w:rsidRDefault="0075030A" w:rsidP="004912D1">
      <w:pPr>
        <w:rPr>
          <w:rFonts w:ascii="Arial" w:hAnsi="Arial" w:cs="Arial"/>
          <w:sz w:val="20"/>
          <w:szCs w:val="20"/>
        </w:rPr>
      </w:pPr>
    </w:p>
    <w:tbl>
      <w:tblPr>
        <w:tblW w:w="9760" w:type="dxa"/>
        <w:tblInd w:w="55" w:type="dxa"/>
        <w:tblCellMar>
          <w:left w:w="70" w:type="dxa"/>
          <w:right w:w="70" w:type="dxa"/>
        </w:tblCellMar>
        <w:tblLook w:val="04A0" w:firstRow="1" w:lastRow="0" w:firstColumn="1" w:lastColumn="0" w:noHBand="0" w:noVBand="1"/>
      </w:tblPr>
      <w:tblGrid>
        <w:gridCol w:w="4860"/>
        <w:gridCol w:w="2300"/>
        <w:gridCol w:w="2600"/>
      </w:tblGrid>
      <w:tr w:rsidR="0075030A" w:rsidRPr="0075030A" w14:paraId="77615136" w14:textId="77777777" w:rsidTr="0075030A">
        <w:trPr>
          <w:trHeight w:val="540"/>
        </w:trPr>
        <w:tc>
          <w:tcPr>
            <w:tcW w:w="4860" w:type="dxa"/>
            <w:tcBorders>
              <w:top w:val="single" w:sz="8" w:space="0" w:color="auto"/>
              <w:left w:val="single" w:sz="8" w:space="0" w:color="auto"/>
              <w:bottom w:val="nil"/>
              <w:right w:val="nil"/>
            </w:tcBorders>
            <w:shd w:val="clear" w:color="000000" w:fill="B8CCE4"/>
            <w:vAlign w:val="bottom"/>
            <w:hideMark/>
          </w:tcPr>
          <w:p w14:paraId="7D18B656" w14:textId="77777777" w:rsidR="0075030A" w:rsidRPr="0075030A" w:rsidRDefault="0075030A" w:rsidP="0075030A">
            <w:pPr>
              <w:jc w:val="left"/>
              <w:rPr>
                <w:rFonts w:ascii="Lucida Sans Unicode" w:eastAsia="Times New Roman" w:hAnsi="Lucida Sans Unicode" w:cs="Lucida Sans Unicode"/>
                <w:b/>
                <w:bCs/>
                <w:color w:val="000000"/>
                <w:sz w:val="18"/>
                <w:szCs w:val="18"/>
              </w:rPr>
            </w:pPr>
            <w:r w:rsidRPr="0075030A">
              <w:rPr>
                <w:rFonts w:ascii="Lucida Sans Unicode" w:eastAsia="Times New Roman" w:hAnsi="Lucida Sans Unicode" w:cs="Lucida Sans Unicode"/>
                <w:b/>
                <w:bCs/>
                <w:color w:val="000000"/>
                <w:sz w:val="18"/>
                <w:szCs w:val="18"/>
              </w:rPr>
              <w:t>Nieuwe bouwblokkenmethode regio Utrecht (*)</w:t>
            </w:r>
          </w:p>
        </w:tc>
        <w:tc>
          <w:tcPr>
            <w:tcW w:w="2300" w:type="dxa"/>
            <w:tcBorders>
              <w:top w:val="single" w:sz="8" w:space="0" w:color="auto"/>
              <w:left w:val="single" w:sz="4" w:space="0" w:color="auto"/>
              <w:bottom w:val="single" w:sz="4" w:space="0" w:color="auto"/>
              <w:right w:val="single" w:sz="4" w:space="0" w:color="auto"/>
            </w:tcBorders>
            <w:shd w:val="clear" w:color="000000" w:fill="B8CCE4"/>
            <w:vAlign w:val="bottom"/>
            <w:hideMark/>
          </w:tcPr>
          <w:p w14:paraId="3818086A" w14:textId="77777777" w:rsidR="0075030A" w:rsidRPr="0075030A" w:rsidRDefault="0075030A" w:rsidP="0075030A">
            <w:pPr>
              <w:jc w:val="left"/>
              <w:rPr>
                <w:rFonts w:ascii="Lucida Sans Unicode" w:eastAsia="Times New Roman" w:hAnsi="Lucida Sans Unicode" w:cs="Lucida Sans Unicode"/>
                <w:b/>
                <w:bCs/>
                <w:color w:val="000000"/>
                <w:sz w:val="18"/>
                <w:szCs w:val="18"/>
              </w:rPr>
            </w:pPr>
            <w:r w:rsidRPr="0075030A">
              <w:rPr>
                <w:rFonts w:ascii="Lucida Sans Unicode" w:eastAsia="Times New Roman" w:hAnsi="Lucida Sans Unicode" w:cs="Lucida Sans Unicode"/>
                <w:b/>
                <w:bCs/>
                <w:color w:val="000000"/>
                <w:sz w:val="18"/>
                <w:szCs w:val="18"/>
              </w:rPr>
              <w:t>Inspanningswaarde in € op basis van 36 uur per week</w:t>
            </w:r>
          </w:p>
        </w:tc>
        <w:tc>
          <w:tcPr>
            <w:tcW w:w="2600" w:type="dxa"/>
            <w:tcBorders>
              <w:top w:val="single" w:sz="8" w:space="0" w:color="auto"/>
              <w:left w:val="nil"/>
              <w:bottom w:val="nil"/>
              <w:right w:val="single" w:sz="8" w:space="0" w:color="auto"/>
            </w:tcBorders>
            <w:shd w:val="clear" w:color="000000" w:fill="B8CCE4"/>
            <w:noWrap/>
            <w:vAlign w:val="bottom"/>
            <w:hideMark/>
          </w:tcPr>
          <w:p w14:paraId="0D079810" w14:textId="77777777" w:rsidR="0075030A" w:rsidRPr="0075030A" w:rsidRDefault="0075030A" w:rsidP="0075030A">
            <w:pPr>
              <w:jc w:val="left"/>
              <w:rPr>
                <w:rFonts w:ascii="Lucida Sans Unicode" w:eastAsia="Times New Roman" w:hAnsi="Lucida Sans Unicode" w:cs="Lucida Sans Unicode"/>
                <w:b/>
                <w:bCs/>
                <w:color w:val="000000"/>
                <w:sz w:val="18"/>
                <w:szCs w:val="18"/>
              </w:rPr>
            </w:pPr>
            <w:r w:rsidRPr="0075030A">
              <w:rPr>
                <w:rFonts w:ascii="Lucida Sans Unicode" w:eastAsia="Times New Roman" w:hAnsi="Lucida Sans Unicode" w:cs="Lucida Sans Unicode"/>
                <w:b/>
                <w:bCs/>
                <w:color w:val="000000"/>
                <w:sz w:val="18"/>
                <w:szCs w:val="18"/>
              </w:rPr>
              <w:t>Bijzonderheden</w:t>
            </w:r>
          </w:p>
        </w:tc>
      </w:tr>
      <w:tr w:rsidR="0075030A" w:rsidRPr="0075030A" w14:paraId="6464E481" w14:textId="77777777" w:rsidTr="0075030A">
        <w:trPr>
          <w:trHeight w:val="270"/>
        </w:trPr>
        <w:tc>
          <w:tcPr>
            <w:tcW w:w="4860" w:type="dxa"/>
            <w:tcBorders>
              <w:top w:val="single" w:sz="4" w:space="0" w:color="auto"/>
              <w:left w:val="single" w:sz="4" w:space="0" w:color="auto"/>
              <w:bottom w:val="single" w:sz="4" w:space="0" w:color="auto"/>
              <w:right w:val="single" w:sz="4" w:space="0" w:color="auto"/>
            </w:tcBorders>
            <w:shd w:val="clear" w:color="000000" w:fill="B8CCE4"/>
            <w:hideMark/>
          </w:tcPr>
          <w:p w14:paraId="6B7575AF"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Participatiewet</w:t>
            </w:r>
          </w:p>
        </w:tc>
        <w:tc>
          <w:tcPr>
            <w:tcW w:w="2300" w:type="dxa"/>
            <w:tcBorders>
              <w:top w:val="nil"/>
              <w:left w:val="nil"/>
              <w:bottom w:val="single" w:sz="4" w:space="0" w:color="auto"/>
              <w:right w:val="single" w:sz="4" w:space="0" w:color="auto"/>
            </w:tcBorders>
            <w:shd w:val="clear" w:color="000000" w:fill="B8CCE4"/>
            <w:hideMark/>
          </w:tcPr>
          <w:p w14:paraId="1430982A"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40.000</w:t>
            </w:r>
          </w:p>
        </w:tc>
        <w:tc>
          <w:tcPr>
            <w:tcW w:w="2600" w:type="dxa"/>
            <w:tcBorders>
              <w:top w:val="single" w:sz="4" w:space="0" w:color="auto"/>
              <w:left w:val="nil"/>
              <w:bottom w:val="single" w:sz="4" w:space="0" w:color="auto"/>
              <w:right w:val="single" w:sz="4" w:space="0" w:color="auto"/>
            </w:tcBorders>
            <w:shd w:val="clear" w:color="000000" w:fill="B8CCE4"/>
            <w:hideMark/>
          </w:tcPr>
          <w:p w14:paraId="274A31CA"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w:t>
            </w:r>
          </w:p>
        </w:tc>
      </w:tr>
      <w:tr w:rsidR="0075030A" w:rsidRPr="0075030A" w14:paraId="02AD713B" w14:textId="77777777" w:rsidTr="0075030A">
        <w:trPr>
          <w:trHeight w:val="270"/>
        </w:trPr>
        <w:tc>
          <w:tcPr>
            <w:tcW w:w="4860" w:type="dxa"/>
            <w:tcBorders>
              <w:top w:val="nil"/>
              <w:left w:val="single" w:sz="4" w:space="0" w:color="auto"/>
              <w:bottom w:val="single" w:sz="4" w:space="0" w:color="auto"/>
              <w:right w:val="single" w:sz="4" w:space="0" w:color="auto"/>
            </w:tcBorders>
            <w:shd w:val="clear" w:color="000000" w:fill="B8CCE4"/>
            <w:hideMark/>
          </w:tcPr>
          <w:p w14:paraId="0D9F05B4"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Doelgroep Banenafspraak</w:t>
            </w:r>
          </w:p>
        </w:tc>
        <w:tc>
          <w:tcPr>
            <w:tcW w:w="2300" w:type="dxa"/>
            <w:tcBorders>
              <w:top w:val="nil"/>
              <w:left w:val="nil"/>
              <w:bottom w:val="single" w:sz="4" w:space="0" w:color="auto"/>
              <w:right w:val="single" w:sz="4" w:space="0" w:color="auto"/>
            </w:tcBorders>
            <w:shd w:val="clear" w:color="000000" w:fill="B8CCE4"/>
            <w:hideMark/>
          </w:tcPr>
          <w:p w14:paraId="28AA7FE4"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50.000</w:t>
            </w:r>
          </w:p>
        </w:tc>
        <w:tc>
          <w:tcPr>
            <w:tcW w:w="2600" w:type="dxa"/>
            <w:tcBorders>
              <w:top w:val="nil"/>
              <w:left w:val="nil"/>
              <w:bottom w:val="single" w:sz="4" w:space="0" w:color="auto"/>
              <w:right w:val="single" w:sz="4" w:space="0" w:color="auto"/>
            </w:tcBorders>
            <w:shd w:val="clear" w:color="000000" w:fill="B8CCE4"/>
            <w:hideMark/>
          </w:tcPr>
          <w:p w14:paraId="2FF91BD4"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w:t>
            </w:r>
          </w:p>
        </w:tc>
      </w:tr>
      <w:tr w:rsidR="0075030A" w:rsidRPr="0075030A" w14:paraId="75B66F64" w14:textId="77777777" w:rsidTr="0075030A">
        <w:trPr>
          <w:trHeight w:val="810"/>
        </w:trPr>
        <w:tc>
          <w:tcPr>
            <w:tcW w:w="4860" w:type="dxa"/>
            <w:tcBorders>
              <w:top w:val="nil"/>
              <w:left w:val="single" w:sz="4" w:space="0" w:color="auto"/>
              <w:bottom w:val="single" w:sz="4" w:space="0" w:color="auto"/>
              <w:right w:val="single" w:sz="4" w:space="0" w:color="auto"/>
            </w:tcBorders>
            <w:shd w:val="clear" w:color="000000" w:fill="B8CCE4"/>
            <w:hideMark/>
          </w:tcPr>
          <w:p w14:paraId="52DD9669"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Praktijkleerplaats voor Praktijk- en Voortgezet Speciaal Onderwijs / werkplek voor Entreeopleiding (MBO 1)</w:t>
            </w:r>
          </w:p>
        </w:tc>
        <w:tc>
          <w:tcPr>
            <w:tcW w:w="2300" w:type="dxa"/>
            <w:tcBorders>
              <w:top w:val="nil"/>
              <w:left w:val="nil"/>
              <w:bottom w:val="single" w:sz="4" w:space="0" w:color="auto"/>
              <w:right w:val="single" w:sz="4" w:space="0" w:color="auto"/>
            </w:tcBorders>
            <w:shd w:val="clear" w:color="000000" w:fill="B8CCE4"/>
            <w:hideMark/>
          </w:tcPr>
          <w:p w14:paraId="19E019E8"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35.000</w:t>
            </w:r>
          </w:p>
        </w:tc>
        <w:tc>
          <w:tcPr>
            <w:tcW w:w="2600" w:type="dxa"/>
            <w:tcBorders>
              <w:top w:val="nil"/>
              <w:left w:val="nil"/>
              <w:bottom w:val="single" w:sz="4" w:space="0" w:color="auto"/>
              <w:right w:val="single" w:sz="4" w:space="0" w:color="auto"/>
            </w:tcBorders>
            <w:shd w:val="clear" w:color="000000" w:fill="B8CCE4"/>
            <w:hideMark/>
          </w:tcPr>
          <w:p w14:paraId="454EA901"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w:t>
            </w:r>
          </w:p>
        </w:tc>
      </w:tr>
      <w:tr w:rsidR="0075030A" w:rsidRPr="0075030A" w14:paraId="1F76F7FD" w14:textId="77777777" w:rsidTr="0075030A">
        <w:trPr>
          <w:trHeight w:val="270"/>
        </w:trPr>
        <w:tc>
          <w:tcPr>
            <w:tcW w:w="4860" w:type="dxa"/>
            <w:tcBorders>
              <w:top w:val="nil"/>
              <w:left w:val="single" w:sz="4" w:space="0" w:color="auto"/>
              <w:bottom w:val="single" w:sz="4" w:space="0" w:color="auto"/>
              <w:right w:val="single" w:sz="4" w:space="0" w:color="auto"/>
            </w:tcBorders>
            <w:shd w:val="clear" w:color="000000" w:fill="B8CCE4"/>
            <w:hideMark/>
          </w:tcPr>
          <w:p w14:paraId="72DC3BF9"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WIA / WAO</w:t>
            </w:r>
          </w:p>
        </w:tc>
        <w:tc>
          <w:tcPr>
            <w:tcW w:w="2300" w:type="dxa"/>
            <w:tcBorders>
              <w:top w:val="nil"/>
              <w:left w:val="nil"/>
              <w:bottom w:val="single" w:sz="4" w:space="0" w:color="auto"/>
              <w:right w:val="single" w:sz="4" w:space="0" w:color="auto"/>
            </w:tcBorders>
            <w:shd w:val="clear" w:color="000000" w:fill="B8CCE4"/>
            <w:hideMark/>
          </w:tcPr>
          <w:p w14:paraId="05F5A7FC"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40.000</w:t>
            </w:r>
          </w:p>
        </w:tc>
        <w:tc>
          <w:tcPr>
            <w:tcW w:w="2600" w:type="dxa"/>
            <w:tcBorders>
              <w:top w:val="nil"/>
              <w:left w:val="nil"/>
              <w:bottom w:val="single" w:sz="4" w:space="0" w:color="auto"/>
              <w:right w:val="single" w:sz="4" w:space="0" w:color="auto"/>
            </w:tcBorders>
            <w:shd w:val="clear" w:color="000000" w:fill="B8CCE4"/>
            <w:hideMark/>
          </w:tcPr>
          <w:p w14:paraId="3C3A3102"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w:t>
            </w:r>
          </w:p>
        </w:tc>
      </w:tr>
      <w:tr w:rsidR="0075030A" w:rsidRPr="0075030A" w14:paraId="062221DA" w14:textId="77777777" w:rsidTr="0075030A">
        <w:trPr>
          <w:trHeight w:val="270"/>
        </w:trPr>
        <w:tc>
          <w:tcPr>
            <w:tcW w:w="4860" w:type="dxa"/>
            <w:tcBorders>
              <w:top w:val="nil"/>
              <w:left w:val="single" w:sz="4" w:space="0" w:color="auto"/>
              <w:bottom w:val="single" w:sz="4" w:space="0" w:color="auto"/>
              <w:right w:val="single" w:sz="4" w:space="0" w:color="auto"/>
            </w:tcBorders>
            <w:shd w:val="clear" w:color="000000" w:fill="B8CCE4"/>
            <w:hideMark/>
          </w:tcPr>
          <w:p w14:paraId="32146BB8"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WW</w:t>
            </w:r>
          </w:p>
        </w:tc>
        <w:tc>
          <w:tcPr>
            <w:tcW w:w="2300" w:type="dxa"/>
            <w:tcBorders>
              <w:top w:val="nil"/>
              <w:left w:val="nil"/>
              <w:bottom w:val="single" w:sz="4" w:space="0" w:color="auto"/>
              <w:right w:val="single" w:sz="4" w:space="0" w:color="auto"/>
            </w:tcBorders>
            <w:shd w:val="clear" w:color="000000" w:fill="B8CCE4"/>
            <w:hideMark/>
          </w:tcPr>
          <w:p w14:paraId="54753E45"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20.000</w:t>
            </w:r>
          </w:p>
        </w:tc>
        <w:tc>
          <w:tcPr>
            <w:tcW w:w="2600" w:type="dxa"/>
            <w:tcBorders>
              <w:top w:val="nil"/>
              <w:left w:val="nil"/>
              <w:bottom w:val="single" w:sz="4" w:space="0" w:color="auto"/>
              <w:right w:val="single" w:sz="4" w:space="0" w:color="auto"/>
            </w:tcBorders>
            <w:shd w:val="clear" w:color="000000" w:fill="B8CCE4"/>
            <w:hideMark/>
          </w:tcPr>
          <w:p w14:paraId="30E2C166"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w:t>
            </w:r>
          </w:p>
        </w:tc>
      </w:tr>
      <w:tr w:rsidR="0075030A" w:rsidRPr="0075030A" w14:paraId="6F2E40AF" w14:textId="77777777" w:rsidTr="0075030A">
        <w:trPr>
          <w:trHeight w:val="540"/>
        </w:trPr>
        <w:tc>
          <w:tcPr>
            <w:tcW w:w="4860" w:type="dxa"/>
            <w:tcBorders>
              <w:top w:val="nil"/>
              <w:left w:val="single" w:sz="4" w:space="0" w:color="auto"/>
              <w:bottom w:val="single" w:sz="4" w:space="0" w:color="auto"/>
              <w:right w:val="single" w:sz="4" w:space="0" w:color="auto"/>
            </w:tcBorders>
            <w:shd w:val="clear" w:color="000000" w:fill="B8CCE4"/>
            <w:hideMark/>
          </w:tcPr>
          <w:p w14:paraId="667959B9"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MBO BBL (</w:t>
            </w:r>
            <w:proofErr w:type="spellStart"/>
            <w:r w:rsidRPr="0075030A">
              <w:rPr>
                <w:rFonts w:ascii="Lucida Sans Unicode" w:eastAsia="Times New Roman" w:hAnsi="Lucida Sans Unicode" w:cs="Lucida Sans Unicode"/>
                <w:color w:val="000000"/>
                <w:sz w:val="18"/>
                <w:szCs w:val="18"/>
              </w:rPr>
              <w:t>BeroepsBegeleidende</w:t>
            </w:r>
            <w:proofErr w:type="spellEnd"/>
            <w:r w:rsidRPr="0075030A">
              <w:rPr>
                <w:rFonts w:ascii="Lucida Sans Unicode" w:eastAsia="Times New Roman" w:hAnsi="Lucida Sans Unicode" w:cs="Lucida Sans Unicode"/>
                <w:color w:val="000000"/>
                <w:sz w:val="18"/>
                <w:szCs w:val="18"/>
              </w:rPr>
              <w:t xml:space="preserve"> Leerweg) niveau 2, 3 en 4</w:t>
            </w:r>
          </w:p>
        </w:tc>
        <w:tc>
          <w:tcPr>
            <w:tcW w:w="2300" w:type="dxa"/>
            <w:tcBorders>
              <w:top w:val="nil"/>
              <w:left w:val="nil"/>
              <w:bottom w:val="single" w:sz="4" w:space="0" w:color="auto"/>
              <w:right w:val="single" w:sz="4" w:space="0" w:color="auto"/>
            </w:tcBorders>
            <w:shd w:val="clear" w:color="000000" w:fill="B8CCE4"/>
            <w:hideMark/>
          </w:tcPr>
          <w:p w14:paraId="5873EA84"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35.000</w:t>
            </w:r>
          </w:p>
        </w:tc>
        <w:tc>
          <w:tcPr>
            <w:tcW w:w="2600" w:type="dxa"/>
            <w:tcBorders>
              <w:top w:val="nil"/>
              <w:left w:val="nil"/>
              <w:bottom w:val="single" w:sz="4" w:space="0" w:color="auto"/>
              <w:right w:val="single" w:sz="4" w:space="0" w:color="auto"/>
            </w:tcBorders>
            <w:shd w:val="clear" w:color="000000" w:fill="B8CCE4"/>
            <w:hideMark/>
          </w:tcPr>
          <w:p w14:paraId="71F8C1C3"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Werken en Leren</w:t>
            </w:r>
          </w:p>
        </w:tc>
      </w:tr>
      <w:tr w:rsidR="0075030A" w:rsidRPr="0075030A" w14:paraId="6C7640F5" w14:textId="77777777" w:rsidTr="0075030A">
        <w:trPr>
          <w:trHeight w:val="540"/>
        </w:trPr>
        <w:tc>
          <w:tcPr>
            <w:tcW w:w="4860" w:type="dxa"/>
            <w:tcBorders>
              <w:top w:val="nil"/>
              <w:left w:val="single" w:sz="4" w:space="0" w:color="auto"/>
              <w:bottom w:val="single" w:sz="4" w:space="0" w:color="auto"/>
              <w:right w:val="single" w:sz="4" w:space="0" w:color="auto"/>
            </w:tcBorders>
            <w:shd w:val="clear" w:color="000000" w:fill="B8CCE4"/>
            <w:hideMark/>
          </w:tcPr>
          <w:p w14:paraId="5C747AAD"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MBO BOL (</w:t>
            </w:r>
            <w:proofErr w:type="spellStart"/>
            <w:r w:rsidRPr="0075030A">
              <w:rPr>
                <w:rFonts w:ascii="Lucida Sans Unicode" w:eastAsia="Times New Roman" w:hAnsi="Lucida Sans Unicode" w:cs="Lucida Sans Unicode"/>
                <w:color w:val="000000"/>
                <w:sz w:val="18"/>
                <w:szCs w:val="18"/>
              </w:rPr>
              <w:t>BeroepsOpleidende</w:t>
            </w:r>
            <w:proofErr w:type="spellEnd"/>
            <w:r w:rsidRPr="0075030A">
              <w:rPr>
                <w:rFonts w:ascii="Lucida Sans Unicode" w:eastAsia="Times New Roman" w:hAnsi="Lucida Sans Unicode" w:cs="Lucida Sans Unicode"/>
                <w:color w:val="000000"/>
                <w:sz w:val="18"/>
                <w:szCs w:val="18"/>
              </w:rPr>
              <w:t xml:space="preserve"> Leerweg) niveau 2, 3 en 4</w:t>
            </w:r>
          </w:p>
        </w:tc>
        <w:tc>
          <w:tcPr>
            <w:tcW w:w="2300" w:type="dxa"/>
            <w:tcBorders>
              <w:top w:val="nil"/>
              <w:left w:val="nil"/>
              <w:bottom w:val="single" w:sz="4" w:space="0" w:color="auto"/>
              <w:right w:val="single" w:sz="4" w:space="0" w:color="auto"/>
            </w:tcBorders>
            <w:shd w:val="clear" w:color="000000" w:fill="B8CCE4"/>
            <w:hideMark/>
          </w:tcPr>
          <w:p w14:paraId="7B93177C"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20.000</w:t>
            </w:r>
          </w:p>
        </w:tc>
        <w:tc>
          <w:tcPr>
            <w:tcW w:w="2600" w:type="dxa"/>
            <w:tcBorders>
              <w:top w:val="nil"/>
              <w:left w:val="nil"/>
              <w:bottom w:val="single" w:sz="4" w:space="0" w:color="auto"/>
              <w:right w:val="single" w:sz="4" w:space="0" w:color="auto"/>
            </w:tcBorders>
            <w:shd w:val="clear" w:color="000000" w:fill="B8CCE4"/>
            <w:hideMark/>
          </w:tcPr>
          <w:p w14:paraId="54F8EBAD"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Voltijd stage. Geen HBO      en WO.</w:t>
            </w:r>
          </w:p>
        </w:tc>
      </w:tr>
      <w:tr w:rsidR="0075030A" w:rsidRPr="0075030A" w14:paraId="0D31F17C" w14:textId="77777777" w:rsidTr="0075030A">
        <w:trPr>
          <w:trHeight w:val="270"/>
        </w:trPr>
        <w:tc>
          <w:tcPr>
            <w:tcW w:w="4860" w:type="dxa"/>
            <w:tcBorders>
              <w:top w:val="nil"/>
              <w:left w:val="single" w:sz="4" w:space="0" w:color="auto"/>
              <w:bottom w:val="single" w:sz="4" w:space="0" w:color="auto"/>
              <w:right w:val="single" w:sz="4" w:space="0" w:color="auto"/>
            </w:tcBorders>
            <w:shd w:val="clear" w:color="000000" w:fill="B8CCE4"/>
            <w:hideMark/>
          </w:tcPr>
          <w:p w14:paraId="0FA6F38A"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Niet uitkeringsgerechtigde</w:t>
            </w:r>
          </w:p>
        </w:tc>
        <w:tc>
          <w:tcPr>
            <w:tcW w:w="2300" w:type="dxa"/>
            <w:tcBorders>
              <w:top w:val="nil"/>
              <w:left w:val="nil"/>
              <w:bottom w:val="single" w:sz="4" w:space="0" w:color="auto"/>
              <w:right w:val="single" w:sz="4" w:space="0" w:color="auto"/>
            </w:tcBorders>
            <w:shd w:val="clear" w:color="000000" w:fill="B8CCE4"/>
            <w:hideMark/>
          </w:tcPr>
          <w:p w14:paraId="12D9A46A"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10.000</w:t>
            </w:r>
          </w:p>
        </w:tc>
        <w:tc>
          <w:tcPr>
            <w:tcW w:w="2600" w:type="dxa"/>
            <w:tcBorders>
              <w:top w:val="nil"/>
              <w:left w:val="nil"/>
              <w:bottom w:val="single" w:sz="4" w:space="0" w:color="auto"/>
              <w:right w:val="single" w:sz="4" w:space="0" w:color="auto"/>
            </w:tcBorders>
            <w:shd w:val="clear" w:color="000000" w:fill="B8CCE4"/>
            <w:hideMark/>
          </w:tcPr>
          <w:p w14:paraId="42854196"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w:t>
            </w:r>
          </w:p>
        </w:tc>
      </w:tr>
      <w:tr w:rsidR="0075030A" w:rsidRPr="0075030A" w14:paraId="589536D4" w14:textId="77777777" w:rsidTr="0075030A">
        <w:trPr>
          <w:trHeight w:val="1350"/>
        </w:trPr>
        <w:tc>
          <w:tcPr>
            <w:tcW w:w="4860" w:type="dxa"/>
            <w:tcBorders>
              <w:top w:val="nil"/>
              <w:left w:val="single" w:sz="4" w:space="0" w:color="auto"/>
              <w:bottom w:val="single" w:sz="4" w:space="0" w:color="auto"/>
              <w:right w:val="single" w:sz="4" w:space="0" w:color="auto"/>
            </w:tcBorders>
            <w:shd w:val="clear" w:color="000000" w:fill="B8CCE4"/>
            <w:hideMark/>
          </w:tcPr>
          <w:p w14:paraId="5009DB4B"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Inkopen van producten en diensten bij sociaal ondernemers en sociale werkvoorzieningen</w:t>
            </w:r>
            <w:r w:rsidRPr="0075030A">
              <w:rPr>
                <w:rFonts w:ascii="Lucida Sans Unicode" w:eastAsia="Times New Roman" w:hAnsi="Lucida Sans Unicode" w:cs="Lucida Sans Unicode"/>
                <w:color w:val="000000"/>
                <w:sz w:val="18"/>
                <w:szCs w:val="18"/>
              </w:rPr>
              <w:br/>
              <w:t>* Delen van kennis, expertise en/of middelen met de doelgroep social return</w:t>
            </w:r>
            <w:r w:rsidRPr="0075030A">
              <w:rPr>
                <w:rFonts w:ascii="Lucida Sans Unicode" w:eastAsia="Times New Roman" w:hAnsi="Lucida Sans Unicode" w:cs="Lucida Sans Unicode"/>
                <w:color w:val="000000"/>
                <w:sz w:val="18"/>
                <w:szCs w:val="18"/>
              </w:rPr>
              <w:br/>
              <w:t>* Hulp, steun, kennis bieden aan een lokaal initiatief</w:t>
            </w:r>
          </w:p>
        </w:tc>
        <w:tc>
          <w:tcPr>
            <w:tcW w:w="2300" w:type="dxa"/>
            <w:tcBorders>
              <w:top w:val="nil"/>
              <w:left w:val="nil"/>
              <w:bottom w:val="single" w:sz="4" w:space="0" w:color="auto"/>
              <w:right w:val="single" w:sz="4" w:space="0" w:color="auto"/>
            </w:tcBorders>
            <w:shd w:val="clear" w:color="000000" w:fill="B8CCE4"/>
            <w:hideMark/>
          </w:tcPr>
          <w:p w14:paraId="252E9D65"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per medewerker €100,00 per besteedt uur of factuur ingezette activiteit.</w:t>
            </w:r>
          </w:p>
        </w:tc>
        <w:tc>
          <w:tcPr>
            <w:tcW w:w="2600" w:type="dxa"/>
            <w:tcBorders>
              <w:top w:val="nil"/>
              <w:left w:val="nil"/>
              <w:bottom w:val="single" w:sz="4" w:space="0" w:color="auto"/>
              <w:right w:val="single" w:sz="4" w:space="0" w:color="auto"/>
            </w:tcBorders>
            <w:shd w:val="clear" w:color="000000" w:fill="B8CCE4"/>
            <w:hideMark/>
          </w:tcPr>
          <w:p w14:paraId="0858FAAB"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xml:space="preserve">Vooraf eerst afstemming zoeken met opdrachtgever. ADSU en Social Impact </w:t>
            </w:r>
            <w:proofErr w:type="spellStart"/>
            <w:r w:rsidRPr="0075030A">
              <w:rPr>
                <w:rFonts w:ascii="Lucida Sans Unicode" w:eastAsia="Times New Roman" w:hAnsi="Lucida Sans Unicode" w:cs="Lucida Sans Unicode"/>
                <w:color w:val="000000"/>
                <w:sz w:val="18"/>
                <w:szCs w:val="18"/>
              </w:rPr>
              <w:t>Factory</w:t>
            </w:r>
            <w:proofErr w:type="spellEnd"/>
            <w:r w:rsidRPr="0075030A">
              <w:rPr>
                <w:rFonts w:ascii="Lucida Sans Unicode" w:eastAsia="Times New Roman" w:hAnsi="Lucida Sans Unicode" w:cs="Lucida Sans Unicode"/>
                <w:color w:val="000000"/>
                <w:sz w:val="18"/>
                <w:szCs w:val="18"/>
              </w:rPr>
              <w:t xml:space="preserve"> in de handleiding benoemen.</w:t>
            </w:r>
          </w:p>
        </w:tc>
      </w:tr>
      <w:tr w:rsidR="0075030A" w:rsidRPr="0075030A" w14:paraId="405CEE59" w14:textId="77777777" w:rsidTr="0075030A">
        <w:trPr>
          <w:trHeight w:val="270"/>
        </w:trPr>
        <w:tc>
          <w:tcPr>
            <w:tcW w:w="4860" w:type="dxa"/>
            <w:tcBorders>
              <w:top w:val="nil"/>
              <w:left w:val="single" w:sz="4" w:space="0" w:color="auto"/>
              <w:bottom w:val="single" w:sz="4" w:space="0" w:color="auto"/>
              <w:right w:val="single" w:sz="4" w:space="0" w:color="auto"/>
            </w:tcBorders>
            <w:shd w:val="clear" w:color="000000" w:fill="B8CCE4"/>
            <w:hideMark/>
          </w:tcPr>
          <w:p w14:paraId="6F655282"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Inzetten van een werkzoekende ouder dan 50 jaar</w:t>
            </w:r>
          </w:p>
        </w:tc>
        <w:tc>
          <w:tcPr>
            <w:tcW w:w="2300" w:type="dxa"/>
            <w:tcBorders>
              <w:top w:val="nil"/>
              <w:left w:val="nil"/>
              <w:bottom w:val="single" w:sz="4" w:space="0" w:color="auto"/>
              <w:right w:val="single" w:sz="4" w:space="0" w:color="auto"/>
            </w:tcBorders>
            <w:shd w:val="clear" w:color="000000" w:fill="B8CCE4"/>
            <w:hideMark/>
          </w:tcPr>
          <w:p w14:paraId="1D1B29DC"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10.000</w:t>
            </w:r>
          </w:p>
        </w:tc>
        <w:tc>
          <w:tcPr>
            <w:tcW w:w="2600" w:type="dxa"/>
            <w:tcBorders>
              <w:top w:val="nil"/>
              <w:left w:val="nil"/>
              <w:bottom w:val="single" w:sz="4" w:space="0" w:color="auto"/>
              <w:right w:val="single" w:sz="4" w:space="0" w:color="auto"/>
            </w:tcBorders>
            <w:shd w:val="clear" w:color="000000" w:fill="B8CCE4"/>
            <w:hideMark/>
          </w:tcPr>
          <w:p w14:paraId="36218E4D"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Bonusbouwblok (naar rato)</w:t>
            </w:r>
          </w:p>
        </w:tc>
      </w:tr>
      <w:tr w:rsidR="0075030A" w:rsidRPr="0075030A" w14:paraId="409E3A0E" w14:textId="77777777" w:rsidTr="0075030A">
        <w:trPr>
          <w:trHeight w:val="270"/>
        </w:trPr>
        <w:tc>
          <w:tcPr>
            <w:tcW w:w="4860" w:type="dxa"/>
            <w:tcBorders>
              <w:top w:val="nil"/>
              <w:left w:val="single" w:sz="4" w:space="0" w:color="auto"/>
              <w:bottom w:val="single" w:sz="4" w:space="0" w:color="auto"/>
              <w:right w:val="single" w:sz="4" w:space="0" w:color="auto"/>
            </w:tcBorders>
            <w:shd w:val="clear" w:color="000000" w:fill="B8CCE4"/>
            <w:hideMark/>
          </w:tcPr>
          <w:p w14:paraId="4830A605"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xml:space="preserve">Statushouders en personen met een taalachterstand </w:t>
            </w:r>
          </w:p>
        </w:tc>
        <w:tc>
          <w:tcPr>
            <w:tcW w:w="2300" w:type="dxa"/>
            <w:tcBorders>
              <w:top w:val="nil"/>
              <w:left w:val="nil"/>
              <w:bottom w:val="single" w:sz="4" w:space="0" w:color="auto"/>
              <w:right w:val="single" w:sz="4" w:space="0" w:color="auto"/>
            </w:tcBorders>
            <w:shd w:val="clear" w:color="000000" w:fill="B8CCE4"/>
            <w:hideMark/>
          </w:tcPr>
          <w:p w14:paraId="0D5DF7EB"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10.000</w:t>
            </w:r>
          </w:p>
        </w:tc>
        <w:tc>
          <w:tcPr>
            <w:tcW w:w="2600" w:type="dxa"/>
            <w:tcBorders>
              <w:top w:val="nil"/>
              <w:left w:val="nil"/>
              <w:bottom w:val="single" w:sz="4" w:space="0" w:color="auto"/>
              <w:right w:val="single" w:sz="4" w:space="0" w:color="auto"/>
            </w:tcBorders>
            <w:shd w:val="clear" w:color="000000" w:fill="B8CCE4"/>
            <w:hideMark/>
          </w:tcPr>
          <w:p w14:paraId="68FCADA3"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Bonusbouwblok (naar rato)</w:t>
            </w:r>
          </w:p>
        </w:tc>
      </w:tr>
      <w:tr w:rsidR="0075030A" w:rsidRPr="0075030A" w14:paraId="5516093E" w14:textId="77777777" w:rsidTr="0075030A">
        <w:trPr>
          <w:trHeight w:val="270"/>
        </w:trPr>
        <w:tc>
          <w:tcPr>
            <w:tcW w:w="4860" w:type="dxa"/>
            <w:tcBorders>
              <w:top w:val="nil"/>
              <w:left w:val="single" w:sz="4" w:space="0" w:color="auto"/>
              <w:bottom w:val="single" w:sz="4" w:space="0" w:color="auto"/>
              <w:right w:val="single" w:sz="4" w:space="0" w:color="auto"/>
            </w:tcBorders>
            <w:shd w:val="clear" w:color="000000" w:fill="B8CCE4"/>
            <w:hideMark/>
          </w:tcPr>
          <w:p w14:paraId="1125FDE3"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Aanbieden vast dienstverband</w:t>
            </w:r>
          </w:p>
        </w:tc>
        <w:tc>
          <w:tcPr>
            <w:tcW w:w="2300" w:type="dxa"/>
            <w:tcBorders>
              <w:top w:val="nil"/>
              <w:left w:val="nil"/>
              <w:bottom w:val="single" w:sz="4" w:space="0" w:color="auto"/>
              <w:right w:val="single" w:sz="4" w:space="0" w:color="auto"/>
            </w:tcBorders>
            <w:shd w:val="clear" w:color="000000" w:fill="B8CCE4"/>
            <w:hideMark/>
          </w:tcPr>
          <w:p w14:paraId="798995EC" w14:textId="77777777" w:rsidR="0075030A" w:rsidRPr="0075030A" w:rsidRDefault="0075030A" w:rsidP="0075030A">
            <w:pPr>
              <w:jc w:val="righ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10.000</w:t>
            </w:r>
          </w:p>
        </w:tc>
        <w:tc>
          <w:tcPr>
            <w:tcW w:w="2600" w:type="dxa"/>
            <w:tcBorders>
              <w:top w:val="nil"/>
              <w:left w:val="nil"/>
              <w:bottom w:val="single" w:sz="4" w:space="0" w:color="auto"/>
              <w:right w:val="single" w:sz="4" w:space="0" w:color="auto"/>
            </w:tcBorders>
            <w:shd w:val="clear" w:color="000000" w:fill="B8CCE4"/>
            <w:hideMark/>
          </w:tcPr>
          <w:p w14:paraId="2E49823C"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Bonusbouwblok (naar rato)</w:t>
            </w:r>
          </w:p>
        </w:tc>
      </w:tr>
      <w:tr w:rsidR="0075030A" w:rsidRPr="0075030A" w14:paraId="5FF31071" w14:textId="77777777" w:rsidTr="0075030A">
        <w:trPr>
          <w:trHeight w:val="2160"/>
        </w:trPr>
        <w:tc>
          <w:tcPr>
            <w:tcW w:w="4860" w:type="dxa"/>
            <w:tcBorders>
              <w:top w:val="nil"/>
              <w:left w:val="single" w:sz="4" w:space="0" w:color="auto"/>
              <w:bottom w:val="single" w:sz="4" w:space="0" w:color="auto"/>
              <w:right w:val="single" w:sz="4" w:space="0" w:color="auto"/>
            </w:tcBorders>
            <w:shd w:val="clear" w:color="000000" w:fill="B8CCE4"/>
            <w:hideMark/>
          </w:tcPr>
          <w:p w14:paraId="496D7A5F"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Mobiliteit van social return kandidaten</w:t>
            </w:r>
          </w:p>
        </w:tc>
        <w:tc>
          <w:tcPr>
            <w:tcW w:w="2300" w:type="dxa"/>
            <w:tcBorders>
              <w:top w:val="nil"/>
              <w:left w:val="nil"/>
              <w:bottom w:val="single" w:sz="4" w:space="0" w:color="auto"/>
              <w:right w:val="single" w:sz="4" w:space="0" w:color="auto"/>
            </w:tcBorders>
            <w:shd w:val="clear" w:color="000000" w:fill="B8CCE4"/>
            <w:hideMark/>
          </w:tcPr>
          <w:p w14:paraId="07FC691B"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Maatwerk / in onderlinge afstemming met opdrachtnemer</w:t>
            </w:r>
          </w:p>
        </w:tc>
        <w:tc>
          <w:tcPr>
            <w:tcW w:w="2600" w:type="dxa"/>
            <w:tcBorders>
              <w:top w:val="nil"/>
              <w:left w:val="nil"/>
              <w:bottom w:val="single" w:sz="4" w:space="0" w:color="auto"/>
              <w:right w:val="single" w:sz="4" w:space="0" w:color="auto"/>
            </w:tcBorders>
            <w:shd w:val="clear" w:color="000000" w:fill="B8CCE4"/>
            <w:hideMark/>
          </w:tcPr>
          <w:p w14:paraId="7958D512"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Investeringen van opdrachtnemers in social return kandidaten om hen via mobiliteit in het arbeidsproces te houden (stimuleren van duurzame uitstroom) en terugval in de uitkering te voorkomen.</w:t>
            </w:r>
          </w:p>
        </w:tc>
      </w:tr>
      <w:tr w:rsidR="0075030A" w:rsidRPr="0075030A" w14:paraId="49202AC8" w14:textId="77777777" w:rsidTr="0075030A">
        <w:trPr>
          <w:trHeight w:val="2430"/>
        </w:trPr>
        <w:tc>
          <w:tcPr>
            <w:tcW w:w="4860" w:type="dxa"/>
            <w:tcBorders>
              <w:top w:val="nil"/>
              <w:left w:val="single" w:sz="4" w:space="0" w:color="auto"/>
              <w:bottom w:val="single" w:sz="4" w:space="0" w:color="auto"/>
              <w:right w:val="single" w:sz="4" w:space="0" w:color="auto"/>
            </w:tcBorders>
            <w:shd w:val="clear" w:color="000000" w:fill="B8CCE4"/>
            <w:hideMark/>
          </w:tcPr>
          <w:p w14:paraId="0ACAB777" w14:textId="77777777" w:rsidR="0075030A" w:rsidRPr="0075030A" w:rsidRDefault="0075030A" w:rsidP="0075030A">
            <w:pPr>
              <w:jc w:val="left"/>
              <w:rPr>
                <w:rFonts w:ascii="Lucida Sans Unicode" w:eastAsia="Times New Roman" w:hAnsi="Lucida Sans Unicode" w:cs="Lucida Sans Unicode"/>
                <w:color w:val="000000"/>
                <w:sz w:val="18"/>
                <w:szCs w:val="18"/>
              </w:rPr>
            </w:pPr>
            <w:proofErr w:type="spellStart"/>
            <w:r w:rsidRPr="0075030A">
              <w:rPr>
                <w:rFonts w:ascii="Lucida Sans Unicode" w:eastAsia="Times New Roman" w:hAnsi="Lucida Sans Unicode" w:cs="Lucida Sans Unicode"/>
                <w:color w:val="000000"/>
                <w:sz w:val="18"/>
                <w:szCs w:val="18"/>
              </w:rPr>
              <w:lastRenderedPageBreak/>
              <w:t>Werkontwikkeltrajecten</w:t>
            </w:r>
            <w:proofErr w:type="spellEnd"/>
          </w:p>
        </w:tc>
        <w:tc>
          <w:tcPr>
            <w:tcW w:w="2300" w:type="dxa"/>
            <w:tcBorders>
              <w:top w:val="nil"/>
              <w:left w:val="nil"/>
              <w:bottom w:val="single" w:sz="4" w:space="0" w:color="auto"/>
              <w:right w:val="single" w:sz="4" w:space="0" w:color="auto"/>
            </w:tcBorders>
            <w:shd w:val="clear" w:color="000000" w:fill="B8CCE4"/>
            <w:hideMark/>
          </w:tcPr>
          <w:p w14:paraId="1DECFFBD"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Maatwerk / in onderlinge afstemming met opdrachtnemer</w:t>
            </w:r>
          </w:p>
        </w:tc>
        <w:tc>
          <w:tcPr>
            <w:tcW w:w="2600" w:type="dxa"/>
            <w:tcBorders>
              <w:top w:val="nil"/>
              <w:left w:val="nil"/>
              <w:bottom w:val="single" w:sz="4" w:space="0" w:color="auto"/>
              <w:right w:val="single" w:sz="4" w:space="0" w:color="auto"/>
            </w:tcBorders>
            <w:shd w:val="clear" w:color="000000" w:fill="B8CCE4"/>
            <w:hideMark/>
          </w:tcPr>
          <w:p w14:paraId="281BAF48"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xml:space="preserve">Een </w:t>
            </w:r>
            <w:proofErr w:type="spellStart"/>
            <w:r w:rsidRPr="0075030A">
              <w:rPr>
                <w:rFonts w:ascii="Lucida Sans Unicode" w:eastAsia="Times New Roman" w:hAnsi="Lucida Sans Unicode" w:cs="Lucida Sans Unicode"/>
                <w:color w:val="000000"/>
                <w:sz w:val="18"/>
                <w:szCs w:val="18"/>
              </w:rPr>
              <w:t>werkontwikkeltraject</w:t>
            </w:r>
            <w:proofErr w:type="spellEnd"/>
            <w:r w:rsidRPr="0075030A">
              <w:rPr>
                <w:rFonts w:ascii="Lucida Sans Unicode" w:eastAsia="Times New Roman" w:hAnsi="Lucida Sans Unicode" w:cs="Lucida Sans Unicode"/>
                <w:color w:val="000000"/>
                <w:sz w:val="18"/>
                <w:szCs w:val="18"/>
              </w:rPr>
              <w:t xml:space="preserve"> is gericht op ontwikkeling / versterking van werknemersvaardigheden, competenties en kennis. In dit stadium worden mensen met behoud van uitkering ingezet die nog niet '</w:t>
            </w:r>
            <w:proofErr w:type="spellStart"/>
            <w:r w:rsidRPr="0075030A">
              <w:rPr>
                <w:rFonts w:ascii="Lucida Sans Unicode" w:eastAsia="Times New Roman" w:hAnsi="Lucida Sans Unicode" w:cs="Lucida Sans Unicode"/>
                <w:color w:val="000000"/>
                <w:sz w:val="18"/>
                <w:szCs w:val="18"/>
              </w:rPr>
              <w:t>jobready</w:t>
            </w:r>
            <w:proofErr w:type="spellEnd"/>
            <w:r w:rsidRPr="0075030A">
              <w:rPr>
                <w:rFonts w:ascii="Lucida Sans Unicode" w:eastAsia="Times New Roman" w:hAnsi="Lucida Sans Unicode" w:cs="Lucida Sans Unicode"/>
                <w:color w:val="000000"/>
                <w:sz w:val="18"/>
                <w:szCs w:val="18"/>
              </w:rPr>
              <w:t>' zijn.</w:t>
            </w:r>
          </w:p>
        </w:tc>
      </w:tr>
      <w:tr w:rsidR="0075030A" w:rsidRPr="0075030A" w14:paraId="58BE6C7A" w14:textId="77777777" w:rsidTr="0075030A">
        <w:trPr>
          <w:trHeight w:val="270"/>
        </w:trPr>
        <w:tc>
          <w:tcPr>
            <w:tcW w:w="4860" w:type="dxa"/>
            <w:tcBorders>
              <w:top w:val="nil"/>
              <w:left w:val="nil"/>
              <w:bottom w:val="nil"/>
              <w:right w:val="nil"/>
            </w:tcBorders>
            <w:shd w:val="clear" w:color="auto" w:fill="auto"/>
            <w:noWrap/>
            <w:vAlign w:val="bottom"/>
            <w:hideMark/>
          </w:tcPr>
          <w:p w14:paraId="72161B63" w14:textId="77777777" w:rsidR="0075030A" w:rsidRPr="0075030A" w:rsidRDefault="0075030A" w:rsidP="0075030A">
            <w:pPr>
              <w:jc w:val="left"/>
              <w:rPr>
                <w:rFonts w:ascii="Lucida Sans Unicode" w:eastAsia="Times New Roman" w:hAnsi="Lucida Sans Unicode" w:cs="Lucida Sans Unicode"/>
                <w:color w:val="000000"/>
                <w:sz w:val="18"/>
                <w:szCs w:val="18"/>
              </w:rPr>
            </w:pPr>
          </w:p>
        </w:tc>
        <w:tc>
          <w:tcPr>
            <w:tcW w:w="2300" w:type="dxa"/>
            <w:tcBorders>
              <w:top w:val="nil"/>
              <w:left w:val="nil"/>
              <w:bottom w:val="nil"/>
              <w:right w:val="nil"/>
            </w:tcBorders>
            <w:shd w:val="clear" w:color="auto" w:fill="auto"/>
            <w:noWrap/>
            <w:vAlign w:val="bottom"/>
            <w:hideMark/>
          </w:tcPr>
          <w:p w14:paraId="552591E9" w14:textId="77777777" w:rsidR="0075030A" w:rsidRPr="0075030A" w:rsidRDefault="0075030A" w:rsidP="0075030A">
            <w:pPr>
              <w:jc w:val="left"/>
              <w:rPr>
                <w:rFonts w:ascii="Lucida Sans Unicode" w:eastAsia="Times New Roman" w:hAnsi="Lucida Sans Unicode" w:cs="Lucida Sans Unicode"/>
                <w:color w:val="000000"/>
                <w:sz w:val="18"/>
                <w:szCs w:val="18"/>
              </w:rPr>
            </w:pPr>
          </w:p>
        </w:tc>
        <w:tc>
          <w:tcPr>
            <w:tcW w:w="2600" w:type="dxa"/>
            <w:tcBorders>
              <w:top w:val="nil"/>
              <w:left w:val="nil"/>
              <w:bottom w:val="nil"/>
              <w:right w:val="nil"/>
            </w:tcBorders>
            <w:shd w:val="clear" w:color="auto" w:fill="auto"/>
            <w:noWrap/>
            <w:vAlign w:val="bottom"/>
            <w:hideMark/>
          </w:tcPr>
          <w:p w14:paraId="1D5B75AF" w14:textId="77777777" w:rsidR="0075030A" w:rsidRPr="0075030A" w:rsidRDefault="0075030A" w:rsidP="0075030A">
            <w:pPr>
              <w:jc w:val="left"/>
              <w:rPr>
                <w:rFonts w:ascii="Lucida Sans Unicode" w:eastAsia="Times New Roman" w:hAnsi="Lucida Sans Unicode" w:cs="Lucida Sans Unicode"/>
                <w:color w:val="000000"/>
                <w:sz w:val="18"/>
                <w:szCs w:val="18"/>
              </w:rPr>
            </w:pPr>
          </w:p>
        </w:tc>
      </w:tr>
      <w:tr w:rsidR="0075030A" w:rsidRPr="0075030A" w14:paraId="2701B7A4" w14:textId="77777777" w:rsidTr="0075030A">
        <w:trPr>
          <w:trHeight w:val="810"/>
        </w:trPr>
        <w:tc>
          <w:tcPr>
            <w:tcW w:w="4860" w:type="dxa"/>
            <w:tcBorders>
              <w:top w:val="nil"/>
              <w:left w:val="nil"/>
              <w:bottom w:val="nil"/>
              <w:right w:val="nil"/>
            </w:tcBorders>
            <w:shd w:val="clear" w:color="auto" w:fill="auto"/>
            <w:vAlign w:val="bottom"/>
            <w:hideMark/>
          </w:tcPr>
          <w:p w14:paraId="1C545D1D"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xml:space="preserve">* regio Utrecht: ADSU (Aan de Slag in Utrecht), Amersfoort, Hoogheemraadschap de Stichtse Rijnlanden, Lekstroom gemeenten, provincie Utrecht,  Regio Kromme Rijn Heuvelrug, Stichtse Vecht, Utrecht en Woerden e.o.  </w:t>
            </w:r>
          </w:p>
        </w:tc>
        <w:tc>
          <w:tcPr>
            <w:tcW w:w="2300" w:type="dxa"/>
            <w:tcBorders>
              <w:top w:val="nil"/>
              <w:left w:val="nil"/>
              <w:bottom w:val="nil"/>
              <w:right w:val="nil"/>
            </w:tcBorders>
            <w:shd w:val="clear" w:color="auto" w:fill="auto"/>
            <w:noWrap/>
            <w:vAlign w:val="bottom"/>
            <w:hideMark/>
          </w:tcPr>
          <w:p w14:paraId="6B84DE60" w14:textId="77777777" w:rsidR="0075030A" w:rsidRPr="0075030A" w:rsidRDefault="0075030A" w:rsidP="0075030A">
            <w:pPr>
              <w:jc w:val="left"/>
              <w:rPr>
                <w:rFonts w:ascii="Lucida Sans Unicode" w:eastAsia="Times New Roman" w:hAnsi="Lucida Sans Unicode" w:cs="Lucida Sans Unicode"/>
                <w:color w:val="000000"/>
                <w:sz w:val="18"/>
                <w:szCs w:val="18"/>
              </w:rPr>
            </w:pPr>
          </w:p>
        </w:tc>
        <w:tc>
          <w:tcPr>
            <w:tcW w:w="2600" w:type="dxa"/>
            <w:tcBorders>
              <w:top w:val="nil"/>
              <w:left w:val="nil"/>
              <w:bottom w:val="nil"/>
              <w:right w:val="nil"/>
            </w:tcBorders>
            <w:shd w:val="clear" w:color="auto" w:fill="auto"/>
            <w:noWrap/>
            <w:vAlign w:val="bottom"/>
            <w:hideMark/>
          </w:tcPr>
          <w:p w14:paraId="6353F598" w14:textId="77777777" w:rsidR="0075030A" w:rsidRPr="0075030A" w:rsidRDefault="0075030A" w:rsidP="0075030A">
            <w:pPr>
              <w:jc w:val="left"/>
              <w:rPr>
                <w:rFonts w:ascii="Lucida Sans Unicode" w:eastAsia="Times New Roman" w:hAnsi="Lucida Sans Unicode" w:cs="Lucida Sans Unicode"/>
                <w:color w:val="000000"/>
                <w:sz w:val="18"/>
                <w:szCs w:val="18"/>
              </w:rPr>
            </w:pPr>
          </w:p>
        </w:tc>
      </w:tr>
      <w:tr w:rsidR="0075030A" w:rsidRPr="0075030A" w14:paraId="472FF037" w14:textId="77777777" w:rsidTr="0075030A">
        <w:trPr>
          <w:trHeight w:val="270"/>
        </w:trPr>
        <w:tc>
          <w:tcPr>
            <w:tcW w:w="4860" w:type="dxa"/>
            <w:tcBorders>
              <w:top w:val="nil"/>
              <w:left w:val="nil"/>
              <w:bottom w:val="nil"/>
              <w:right w:val="nil"/>
            </w:tcBorders>
            <w:shd w:val="clear" w:color="auto" w:fill="auto"/>
            <w:vAlign w:val="bottom"/>
            <w:hideMark/>
          </w:tcPr>
          <w:p w14:paraId="07EEC5E1" w14:textId="77777777" w:rsidR="0075030A" w:rsidRPr="0075030A" w:rsidRDefault="0075030A" w:rsidP="0075030A">
            <w:pPr>
              <w:jc w:val="left"/>
              <w:rPr>
                <w:rFonts w:ascii="Lucida Sans Unicode" w:eastAsia="Times New Roman" w:hAnsi="Lucida Sans Unicode" w:cs="Lucida Sans Unicode"/>
                <w:color w:val="000000"/>
                <w:sz w:val="18"/>
                <w:szCs w:val="18"/>
              </w:rPr>
            </w:pPr>
            <w:r w:rsidRPr="0075030A">
              <w:rPr>
                <w:rFonts w:ascii="Lucida Sans Unicode" w:eastAsia="Times New Roman" w:hAnsi="Lucida Sans Unicode" w:cs="Lucida Sans Unicode"/>
                <w:color w:val="000000"/>
                <w:sz w:val="18"/>
                <w:szCs w:val="18"/>
              </w:rPr>
              <w:t xml:space="preserve">Vanaf 01-03-2020 </w:t>
            </w:r>
          </w:p>
        </w:tc>
        <w:tc>
          <w:tcPr>
            <w:tcW w:w="2300" w:type="dxa"/>
            <w:tcBorders>
              <w:top w:val="nil"/>
              <w:left w:val="nil"/>
              <w:bottom w:val="nil"/>
              <w:right w:val="nil"/>
            </w:tcBorders>
            <w:shd w:val="clear" w:color="auto" w:fill="auto"/>
            <w:noWrap/>
            <w:vAlign w:val="bottom"/>
            <w:hideMark/>
          </w:tcPr>
          <w:p w14:paraId="6E29FE29" w14:textId="77777777" w:rsidR="0075030A" w:rsidRPr="0075030A" w:rsidRDefault="0075030A" w:rsidP="0075030A">
            <w:pPr>
              <w:jc w:val="left"/>
              <w:rPr>
                <w:rFonts w:ascii="Lucida Sans Unicode" w:eastAsia="Times New Roman" w:hAnsi="Lucida Sans Unicode" w:cs="Lucida Sans Unicode"/>
                <w:color w:val="000000"/>
                <w:sz w:val="18"/>
                <w:szCs w:val="18"/>
              </w:rPr>
            </w:pPr>
          </w:p>
        </w:tc>
        <w:tc>
          <w:tcPr>
            <w:tcW w:w="2600" w:type="dxa"/>
            <w:tcBorders>
              <w:top w:val="nil"/>
              <w:left w:val="nil"/>
              <w:bottom w:val="nil"/>
              <w:right w:val="nil"/>
            </w:tcBorders>
            <w:shd w:val="clear" w:color="auto" w:fill="auto"/>
            <w:noWrap/>
            <w:vAlign w:val="bottom"/>
            <w:hideMark/>
          </w:tcPr>
          <w:p w14:paraId="5C08584A" w14:textId="77777777" w:rsidR="0075030A" w:rsidRPr="0075030A" w:rsidRDefault="0075030A" w:rsidP="0075030A">
            <w:pPr>
              <w:jc w:val="left"/>
              <w:rPr>
                <w:rFonts w:ascii="Lucida Sans Unicode" w:eastAsia="Times New Roman" w:hAnsi="Lucida Sans Unicode" w:cs="Lucida Sans Unicode"/>
                <w:color w:val="000000"/>
                <w:sz w:val="18"/>
                <w:szCs w:val="18"/>
              </w:rPr>
            </w:pPr>
          </w:p>
        </w:tc>
      </w:tr>
    </w:tbl>
    <w:p w14:paraId="151F45F3" w14:textId="77777777" w:rsidR="0075030A" w:rsidRDefault="0075030A" w:rsidP="004912D1">
      <w:pPr>
        <w:rPr>
          <w:rFonts w:ascii="Arial" w:hAnsi="Arial" w:cs="Arial"/>
          <w:sz w:val="20"/>
          <w:szCs w:val="20"/>
        </w:rPr>
      </w:pPr>
    </w:p>
    <w:p w14:paraId="6BCB3831" w14:textId="77777777" w:rsidR="0075030A" w:rsidRDefault="0075030A" w:rsidP="004912D1">
      <w:pPr>
        <w:rPr>
          <w:rFonts w:ascii="Arial" w:hAnsi="Arial" w:cs="Arial"/>
          <w:sz w:val="20"/>
          <w:szCs w:val="20"/>
        </w:rPr>
      </w:pPr>
    </w:p>
    <w:p w14:paraId="6E37A37D" w14:textId="77777777" w:rsidR="0075030A" w:rsidRDefault="0075030A" w:rsidP="004912D1">
      <w:pPr>
        <w:rPr>
          <w:rFonts w:ascii="Arial" w:hAnsi="Arial" w:cs="Arial"/>
          <w:sz w:val="20"/>
          <w:szCs w:val="20"/>
        </w:rPr>
      </w:pPr>
    </w:p>
    <w:p w14:paraId="6787DDA1" w14:textId="77777777" w:rsidR="00BD17F4" w:rsidRDefault="00BD17F4" w:rsidP="00BD17F4">
      <w:pPr>
        <w:rPr>
          <w:rFonts w:ascii="Arial" w:hAnsi="Arial" w:cs="Arial"/>
          <w:sz w:val="20"/>
          <w:szCs w:val="20"/>
        </w:rPr>
      </w:pPr>
    </w:p>
    <w:p w14:paraId="624E66FE" w14:textId="77777777" w:rsidR="00BD17F4" w:rsidRPr="009547D0" w:rsidRDefault="00BD17F4" w:rsidP="00BD17F4">
      <w:pPr>
        <w:rPr>
          <w:rFonts w:ascii="Arial" w:hAnsi="Arial" w:cs="Arial"/>
          <w:sz w:val="20"/>
          <w:szCs w:val="20"/>
          <w:u w:val="single"/>
        </w:rPr>
      </w:pPr>
      <w:r w:rsidRPr="009547D0">
        <w:rPr>
          <w:rFonts w:ascii="Arial" w:hAnsi="Arial" w:cs="Arial"/>
          <w:sz w:val="20"/>
          <w:szCs w:val="20"/>
          <w:u w:val="single"/>
        </w:rPr>
        <w:t>Voorbeeld</w:t>
      </w:r>
    </w:p>
    <w:p w14:paraId="74D201A0" w14:textId="77777777" w:rsidR="00BD17F4" w:rsidRPr="009547D0" w:rsidRDefault="00BD17F4" w:rsidP="00BD17F4">
      <w:pPr>
        <w:rPr>
          <w:rFonts w:ascii="Arial" w:hAnsi="Arial" w:cs="Arial"/>
          <w:sz w:val="20"/>
          <w:szCs w:val="20"/>
        </w:rPr>
      </w:pPr>
      <w:r w:rsidRPr="009547D0">
        <w:rPr>
          <w:rFonts w:ascii="Arial" w:hAnsi="Arial" w:cs="Arial"/>
          <w:sz w:val="20"/>
          <w:szCs w:val="20"/>
        </w:rPr>
        <w:t xml:space="preserve">Gefactureerd bedrag op basis van het contract is € 300.000,=. De Social Return-verplichting bedraagt </w:t>
      </w:r>
      <w:r w:rsidRPr="009547D0">
        <w:rPr>
          <w:rFonts w:ascii="Arial" w:hAnsi="Arial" w:cs="Arial"/>
          <w:sz w:val="20"/>
          <w:szCs w:val="20"/>
        </w:rPr>
        <w:br/>
        <w:t>in dit geval 5 % hiervan, dus € 15.000,=. De opdrachtnemer voldoet aan de Social Return-verplichting als Opdrachtnemer iemand in de categorie ‘</w:t>
      </w:r>
      <w:r w:rsidRPr="009547D0">
        <w:rPr>
          <w:rFonts w:ascii="Arial" w:eastAsia="Times New Roman" w:hAnsi="Arial" w:cs="Arial"/>
          <w:sz w:val="20"/>
          <w:szCs w:val="20"/>
        </w:rPr>
        <w:t>Participatiewet”</w:t>
      </w:r>
      <w:r w:rsidRPr="009547D0">
        <w:rPr>
          <w:rFonts w:ascii="Arial" w:hAnsi="Arial" w:cs="Arial"/>
          <w:sz w:val="20"/>
          <w:szCs w:val="20"/>
        </w:rPr>
        <w:t xml:space="preserve"> voor een half jaar aan het werk zet of als Opdrachtnemer iemand in de categorie </w:t>
      </w:r>
      <w:r w:rsidRPr="009547D0">
        <w:rPr>
          <w:rFonts w:ascii="Arial" w:eastAsia="Times New Roman" w:hAnsi="Arial" w:cs="Arial"/>
          <w:sz w:val="20"/>
          <w:szCs w:val="20"/>
        </w:rPr>
        <w:t>“</w:t>
      </w:r>
      <w:r w:rsidRPr="009547D0">
        <w:rPr>
          <w:rFonts w:ascii="Arial" w:hAnsi="Arial" w:cs="Arial"/>
          <w:sz w:val="20"/>
          <w:szCs w:val="20"/>
        </w:rPr>
        <w:t>WW</w:t>
      </w:r>
      <w:r w:rsidRPr="009547D0">
        <w:rPr>
          <w:rFonts w:ascii="Arial" w:eastAsia="Times New Roman" w:hAnsi="Arial" w:cs="Arial"/>
          <w:sz w:val="20"/>
          <w:szCs w:val="20"/>
        </w:rPr>
        <w:t>”</w:t>
      </w:r>
      <w:r w:rsidRPr="009547D0">
        <w:rPr>
          <w:rFonts w:ascii="Arial" w:hAnsi="Arial" w:cs="Arial"/>
          <w:sz w:val="20"/>
          <w:szCs w:val="20"/>
        </w:rPr>
        <w:t xml:space="preserve"> een jaar aan het werk zet.</w:t>
      </w:r>
    </w:p>
    <w:p w14:paraId="379551C9" w14:textId="77777777" w:rsidR="00BD17F4" w:rsidRPr="009547D0" w:rsidRDefault="00BD17F4" w:rsidP="00BD17F4">
      <w:pPr>
        <w:rPr>
          <w:rFonts w:ascii="Arial" w:hAnsi="Arial" w:cs="Arial"/>
          <w:sz w:val="20"/>
          <w:szCs w:val="20"/>
        </w:rPr>
      </w:pPr>
    </w:p>
    <w:p w14:paraId="766F4CD4" w14:textId="77777777" w:rsidR="00BD17F4" w:rsidRPr="009547D0" w:rsidRDefault="00BD17F4" w:rsidP="00BD17F4">
      <w:pPr>
        <w:rPr>
          <w:rFonts w:ascii="Arial" w:hAnsi="Arial" w:cs="Arial"/>
          <w:sz w:val="20"/>
          <w:szCs w:val="20"/>
        </w:rPr>
      </w:pPr>
      <w:r w:rsidRPr="009547D0">
        <w:rPr>
          <w:rFonts w:ascii="Arial" w:hAnsi="Arial" w:cs="Arial"/>
          <w:sz w:val="20"/>
          <w:szCs w:val="20"/>
        </w:rPr>
        <w:t xml:space="preserve">Er zijn echter vele andere mogelijkheden om Social </w:t>
      </w:r>
      <w:proofErr w:type="spellStart"/>
      <w:r w:rsidRPr="009547D0">
        <w:rPr>
          <w:rFonts w:ascii="Arial" w:hAnsi="Arial" w:cs="Arial"/>
          <w:sz w:val="20"/>
          <w:szCs w:val="20"/>
        </w:rPr>
        <w:t>Returm</w:t>
      </w:r>
      <w:proofErr w:type="spellEnd"/>
      <w:r w:rsidRPr="009547D0">
        <w:rPr>
          <w:rFonts w:ascii="Arial" w:hAnsi="Arial" w:cs="Arial"/>
          <w:sz w:val="20"/>
          <w:szCs w:val="20"/>
        </w:rPr>
        <w:t xml:space="preserve"> in te vullen.</w:t>
      </w:r>
    </w:p>
    <w:p w14:paraId="26E365CA" w14:textId="77777777" w:rsidR="00BD17F4" w:rsidRPr="009547D0" w:rsidRDefault="00BD17F4" w:rsidP="00BD17F4">
      <w:pPr>
        <w:rPr>
          <w:rFonts w:ascii="Arial" w:hAnsi="Arial" w:cs="Arial"/>
          <w:sz w:val="20"/>
          <w:szCs w:val="20"/>
        </w:rPr>
      </w:pPr>
    </w:p>
    <w:p w14:paraId="7CC4CB20" w14:textId="77777777" w:rsidR="00BD17F4" w:rsidRPr="009547D0" w:rsidRDefault="00BD17F4" w:rsidP="00BD17F4">
      <w:pPr>
        <w:rPr>
          <w:rFonts w:ascii="Arial" w:eastAsia="Calibri" w:hAnsi="Arial" w:cs="Arial"/>
          <w:sz w:val="20"/>
          <w:szCs w:val="20"/>
          <w:lang w:eastAsia="en-US"/>
        </w:rPr>
      </w:pPr>
      <w:r w:rsidRPr="009547D0">
        <w:rPr>
          <w:rFonts w:ascii="Arial" w:hAnsi="Arial" w:cs="Arial"/>
          <w:sz w:val="20"/>
          <w:szCs w:val="20"/>
        </w:rPr>
        <w:t xml:space="preserve">Bij het winnen van de aanbesteding en voor het nakomen van de SROI afspraak, dient u contact op te nemen met het Werkgever Service Punt: </w:t>
      </w:r>
      <w:hyperlink r:id="rId10" w:history="1">
        <w:r w:rsidRPr="009547D0">
          <w:rPr>
            <w:rFonts w:ascii="Arial" w:eastAsia="Calibri" w:hAnsi="Arial" w:cs="Arial"/>
            <w:color w:val="0000FF"/>
            <w:sz w:val="20"/>
            <w:szCs w:val="20"/>
            <w:u w:val="single"/>
          </w:rPr>
          <w:t>www.wgspkrh.nl</w:t>
        </w:r>
      </w:hyperlink>
      <w:r w:rsidRPr="009547D0">
        <w:rPr>
          <w:rFonts w:ascii="Arial" w:eastAsia="Calibri" w:hAnsi="Arial" w:cs="Arial"/>
          <w:color w:val="1F497D"/>
          <w:sz w:val="20"/>
          <w:szCs w:val="20"/>
        </w:rPr>
        <w:t xml:space="preserve">   </w:t>
      </w:r>
      <w:r w:rsidRPr="009547D0">
        <w:rPr>
          <w:rFonts w:ascii="Arial" w:hAnsi="Arial" w:cs="Arial"/>
          <w:sz w:val="20"/>
          <w:szCs w:val="20"/>
        </w:rPr>
        <w:t>Zij kunnen u adviseren over hoe u de Social Return kunt invullen en zij helpen u verder.</w:t>
      </w:r>
      <w:r w:rsidRPr="009547D0">
        <w:rPr>
          <w:rFonts w:ascii="Arial" w:eastAsia="Calibri" w:hAnsi="Arial" w:cs="Arial"/>
          <w:color w:val="1F497D"/>
          <w:sz w:val="20"/>
          <w:szCs w:val="20"/>
        </w:rPr>
        <w:t xml:space="preserve"> </w:t>
      </w:r>
    </w:p>
    <w:p w14:paraId="24B1752D" w14:textId="77777777" w:rsidR="00172242" w:rsidRPr="009547D0" w:rsidRDefault="00172242" w:rsidP="00BD17F4">
      <w:pPr>
        <w:rPr>
          <w:rFonts w:ascii="Arial" w:hAnsi="Arial" w:cs="Arial"/>
          <w:sz w:val="20"/>
          <w:szCs w:val="20"/>
        </w:rPr>
      </w:pPr>
    </w:p>
    <w:sectPr w:rsidR="00172242" w:rsidRPr="009547D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E39B" w14:textId="77777777" w:rsidR="009547D0" w:rsidRDefault="009547D0" w:rsidP="009547D0">
      <w:r>
        <w:separator/>
      </w:r>
    </w:p>
  </w:endnote>
  <w:endnote w:type="continuationSeparator" w:id="0">
    <w:p w14:paraId="73405F5C" w14:textId="77777777" w:rsidR="009547D0" w:rsidRDefault="009547D0" w:rsidP="0095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9798" w14:textId="77777777" w:rsidR="009547D0" w:rsidRDefault="009547D0" w:rsidP="009547D0">
      <w:r>
        <w:separator/>
      </w:r>
    </w:p>
  </w:footnote>
  <w:footnote w:type="continuationSeparator" w:id="0">
    <w:p w14:paraId="66550485" w14:textId="77777777" w:rsidR="009547D0" w:rsidRDefault="009547D0" w:rsidP="0095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ACA7" w14:textId="54284EF3" w:rsidR="009547D0" w:rsidRDefault="009547D0">
    <w:pPr>
      <w:pStyle w:val="Koptekst"/>
    </w:pPr>
    <w:r>
      <w:rPr>
        <w:noProof/>
      </w:rPr>
      <w:drawing>
        <wp:anchor distT="0" distB="0" distL="114300" distR="114300" simplePos="0" relativeHeight="251659264" behindDoc="0" locked="0" layoutInCell="1" allowOverlap="1" wp14:anchorId="54724620" wp14:editId="5158AB1F">
          <wp:simplePos x="0" y="0"/>
          <wp:positionH relativeFrom="margin">
            <wp:posOffset>5137150</wp:posOffset>
          </wp:positionH>
          <wp:positionV relativeFrom="paragraph">
            <wp:posOffset>-95250</wp:posOffset>
          </wp:positionV>
          <wp:extent cx="1212850" cy="472440"/>
          <wp:effectExtent l="0" t="0" r="6350" b="3810"/>
          <wp:wrapThrough wrapText="bothSides">
            <wp:wrapPolygon edited="0">
              <wp:start x="0" y="0"/>
              <wp:lineTo x="0" y="20903"/>
              <wp:lineTo x="21374" y="20903"/>
              <wp:lineTo x="21374" y="0"/>
              <wp:lineTo x="0" y="0"/>
            </wp:wrapPolygon>
          </wp:wrapThrough>
          <wp:docPr id="1736459699" name="Afbeelding 5"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59699" name="Afbeelding 5" descr="Afbeelding met Graphics, Lettertype, logo,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472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6A5C"/>
    <w:multiLevelType w:val="hybridMultilevel"/>
    <w:tmpl w:val="CCFC61AC"/>
    <w:lvl w:ilvl="0" w:tplc="55F88E16">
      <w:start w:val="1"/>
      <w:numFmt w:val="decimal"/>
      <w:lvlText w:val="0%1."/>
      <w:lvlJc w:val="left"/>
      <w:pPr>
        <w:ind w:left="120" w:hanging="360"/>
      </w:pPr>
      <w:rPr>
        <w:rFonts w:cs="Times New Roman" w:hint="default"/>
      </w:rPr>
    </w:lvl>
    <w:lvl w:ilvl="1" w:tplc="04130019" w:tentative="1">
      <w:start w:val="1"/>
      <w:numFmt w:val="lowerLetter"/>
      <w:lvlText w:val="%2."/>
      <w:lvlJc w:val="left"/>
      <w:pPr>
        <w:ind w:left="840" w:hanging="360"/>
      </w:pPr>
      <w:rPr>
        <w:rFonts w:cs="Times New Roman"/>
      </w:rPr>
    </w:lvl>
    <w:lvl w:ilvl="2" w:tplc="0413001B" w:tentative="1">
      <w:start w:val="1"/>
      <w:numFmt w:val="lowerRoman"/>
      <w:lvlText w:val="%3."/>
      <w:lvlJc w:val="right"/>
      <w:pPr>
        <w:ind w:left="1560" w:hanging="180"/>
      </w:pPr>
      <w:rPr>
        <w:rFonts w:cs="Times New Roman"/>
      </w:rPr>
    </w:lvl>
    <w:lvl w:ilvl="3" w:tplc="0413000F" w:tentative="1">
      <w:start w:val="1"/>
      <w:numFmt w:val="decimal"/>
      <w:lvlText w:val="%4."/>
      <w:lvlJc w:val="left"/>
      <w:pPr>
        <w:ind w:left="2280" w:hanging="360"/>
      </w:pPr>
      <w:rPr>
        <w:rFonts w:cs="Times New Roman"/>
      </w:rPr>
    </w:lvl>
    <w:lvl w:ilvl="4" w:tplc="04130019" w:tentative="1">
      <w:start w:val="1"/>
      <w:numFmt w:val="lowerLetter"/>
      <w:lvlText w:val="%5."/>
      <w:lvlJc w:val="left"/>
      <w:pPr>
        <w:ind w:left="3000" w:hanging="360"/>
      </w:pPr>
      <w:rPr>
        <w:rFonts w:cs="Times New Roman"/>
      </w:rPr>
    </w:lvl>
    <w:lvl w:ilvl="5" w:tplc="0413001B" w:tentative="1">
      <w:start w:val="1"/>
      <w:numFmt w:val="lowerRoman"/>
      <w:lvlText w:val="%6."/>
      <w:lvlJc w:val="right"/>
      <w:pPr>
        <w:ind w:left="3720" w:hanging="180"/>
      </w:pPr>
      <w:rPr>
        <w:rFonts w:cs="Times New Roman"/>
      </w:rPr>
    </w:lvl>
    <w:lvl w:ilvl="6" w:tplc="0413000F" w:tentative="1">
      <w:start w:val="1"/>
      <w:numFmt w:val="decimal"/>
      <w:lvlText w:val="%7."/>
      <w:lvlJc w:val="left"/>
      <w:pPr>
        <w:ind w:left="4440" w:hanging="360"/>
      </w:pPr>
      <w:rPr>
        <w:rFonts w:cs="Times New Roman"/>
      </w:rPr>
    </w:lvl>
    <w:lvl w:ilvl="7" w:tplc="04130019" w:tentative="1">
      <w:start w:val="1"/>
      <w:numFmt w:val="lowerLetter"/>
      <w:lvlText w:val="%8."/>
      <w:lvlJc w:val="left"/>
      <w:pPr>
        <w:ind w:left="5160" w:hanging="360"/>
      </w:pPr>
      <w:rPr>
        <w:rFonts w:cs="Times New Roman"/>
      </w:rPr>
    </w:lvl>
    <w:lvl w:ilvl="8" w:tplc="0413001B" w:tentative="1">
      <w:start w:val="1"/>
      <w:numFmt w:val="lowerRoman"/>
      <w:lvlText w:val="%9."/>
      <w:lvlJc w:val="right"/>
      <w:pPr>
        <w:ind w:left="5880" w:hanging="180"/>
      </w:pPr>
      <w:rPr>
        <w:rFonts w:cs="Times New Roman"/>
      </w:rPr>
    </w:lvl>
  </w:abstractNum>
  <w:num w:numId="1" w16cid:durableId="60438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79"/>
    <w:rsid w:val="00104481"/>
    <w:rsid w:val="00172242"/>
    <w:rsid w:val="00173534"/>
    <w:rsid w:val="0023553E"/>
    <w:rsid w:val="002424D4"/>
    <w:rsid w:val="002A6DB9"/>
    <w:rsid w:val="003426B0"/>
    <w:rsid w:val="00347142"/>
    <w:rsid w:val="00424C79"/>
    <w:rsid w:val="004912D1"/>
    <w:rsid w:val="0075030A"/>
    <w:rsid w:val="00785B2D"/>
    <w:rsid w:val="008A5DD9"/>
    <w:rsid w:val="00902359"/>
    <w:rsid w:val="009547D0"/>
    <w:rsid w:val="009E5698"/>
    <w:rsid w:val="00A000B4"/>
    <w:rsid w:val="00A26051"/>
    <w:rsid w:val="00AC5233"/>
    <w:rsid w:val="00BD17F4"/>
    <w:rsid w:val="00D22FB9"/>
    <w:rsid w:val="00D235BA"/>
    <w:rsid w:val="00DA7C7C"/>
    <w:rsid w:val="00F16400"/>
    <w:rsid w:val="00F4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46AA"/>
  <w15:docId w15:val="{D87C28F1-81E9-4171-82A3-187D2634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4C79"/>
    <w:pPr>
      <w:jc w:val="both"/>
    </w:pPr>
    <w:rPr>
      <w:rFonts w:ascii="Gill Sans MT" w:eastAsia="MS ??" w:hAnsi="Gill Sans MT" w:cs="Gill Sans MT"/>
      <w:sz w:val="22"/>
      <w:szCs w:val="22"/>
      <w:lang w:val="nl-NL" w:eastAsia="nl-NL"/>
    </w:rPr>
  </w:style>
  <w:style w:type="paragraph" w:styleId="Kop1">
    <w:name w:val="heading 1"/>
    <w:aliases w:val="1 Heading 1"/>
    <w:basedOn w:val="Standaard"/>
    <w:next w:val="Standaard"/>
    <w:link w:val="Kop1Char"/>
    <w:autoRedefine/>
    <w:qFormat/>
    <w:rsid w:val="00424C79"/>
    <w:pPr>
      <w:keepNext/>
      <w:tabs>
        <w:tab w:val="left" w:pos="737"/>
      </w:tabs>
      <w:ind w:left="432" w:hanging="432"/>
      <w:outlineLvl w:val="0"/>
    </w:pPr>
    <w:rPr>
      <w:rFonts w:ascii="Arial" w:hAnsi="Arial" w:cs="Arial"/>
      <w:b/>
      <w:color w:val="8ECDC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Heading 1 Char"/>
    <w:basedOn w:val="Standaardalinea-lettertype"/>
    <w:link w:val="Kop1"/>
    <w:rsid w:val="00424C79"/>
    <w:rPr>
      <w:rFonts w:eastAsia="MS ??"/>
      <w:b/>
      <w:color w:val="8ECDC0"/>
      <w:sz w:val="22"/>
      <w:szCs w:val="22"/>
      <w:lang w:val="nl-NL"/>
    </w:rPr>
  </w:style>
  <w:style w:type="paragraph" w:customStyle="1" w:styleId="Lijstalinea1">
    <w:name w:val="Lijstalinea1"/>
    <w:basedOn w:val="Standaard"/>
    <w:rsid w:val="00424C79"/>
    <w:pPr>
      <w:ind w:left="720"/>
      <w:contextualSpacing/>
    </w:pPr>
    <w:rPr>
      <w:rFonts w:ascii="Arial" w:hAnsi="Arial" w:cs="Arial"/>
      <w:lang w:eastAsia="en-US"/>
    </w:rPr>
  </w:style>
  <w:style w:type="paragraph" w:customStyle="1" w:styleId="Voorstel">
    <w:name w:val="Voorstel"/>
    <w:basedOn w:val="Standaard"/>
    <w:rsid w:val="00424C79"/>
    <w:pPr>
      <w:jc w:val="left"/>
    </w:pPr>
    <w:rPr>
      <w:rFonts w:ascii="Arial" w:eastAsia="Times New Roman" w:hAnsi="Arial" w:cs="Arial"/>
      <w:sz w:val="20"/>
      <w:szCs w:val="20"/>
      <w:lang w:val="nl"/>
    </w:rPr>
  </w:style>
  <w:style w:type="character" w:styleId="Hyperlink">
    <w:name w:val="Hyperlink"/>
    <w:uiPriority w:val="99"/>
    <w:unhideWhenUsed/>
    <w:rsid w:val="00424C79"/>
    <w:rPr>
      <w:color w:val="0000FF"/>
      <w:u w:val="single"/>
    </w:rPr>
  </w:style>
  <w:style w:type="paragraph" w:styleId="Geenafstand">
    <w:name w:val="No Spacing"/>
    <w:uiPriority w:val="1"/>
    <w:qFormat/>
    <w:rsid w:val="00424C79"/>
    <w:pPr>
      <w:jc w:val="both"/>
    </w:pPr>
    <w:rPr>
      <w:rFonts w:ascii="Gill Sans MT" w:eastAsia="MS ??" w:hAnsi="Gill Sans MT" w:cs="Gill Sans MT"/>
      <w:sz w:val="22"/>
      <w:szCs w:val="22"/>
      <w:lang w:val="nl-NL" w:eastAsia="nl-NL"/>
    </w:rPr>
  </w:style>
  <w:style w:type="character" w:styleId="Verwijzingopmerking">
    <w:name w:val="annotation reference"/>
    <w:basedOn w:val="Standaardalinea-lettertype"/>
    <w:uiPriority w:val="99"/>
    <w:semiHidden/>
    <w:unhideWhenUsed/>
    <w:rsid w:val="004912D1"/>
    <w:rPr>
      <w:sz w:val="16"/>
      <w:szCs w:val="16"/>
    </w:rPr>
  </w:style>
  <w:style w:type="paragraph" w:styleId="Tekstopmerking">
    <w:name w:val="annotation text"/>
    <w:basedOn w:val="Standaard"/>
    <w:link w:val="TekstopmerkingChar"/>
    <w:uiPriority w:val="99"/>
    <w:unhideWhenUsed/>
    <w:rsid w:val="004912D1"/>
    <w:rPr>
      <w:sz w:val="20"/>
      <w:szCs w:val="20"/>
    </w:rPr>
  </w:style>
  <w:style w:type="character" w:customStyle="1" w:styleId="TekstopmerkingChar">
    <w:name w:val="Tekst opmerking Char"/>
    <w:basedOn w:val="Standaardalinea-lettertype"/>
    <w:link w:val="Tekstopmerking"/>
    <w:uiPriority w:val="99"/>
    <w:rsid w:val="004912D1"/>
    <w:rPr>
      <w:rFonts w:ascii="Gill Sans MT" w:eastAsia="MS ??" w:hAnsi="Gill Sans MT" w:cs="Gill Sans MT"/>
      <w:lang w:val="nl-NL" w:eastAsia="nl-NL"/>
    </w:rPr>
  </w:style>
  <w:style w:type="paragraph" w:styleId="Onderwerpvanopmerking">
    <w:name w:val="annotation subject"/>
    <w:basedOn w:val="Tekstopmerking"/>
    <w:next w:val="Tekstopmerking"/>
    <w:link w:val="OnderwerpvanopmerkingChar"/>
    <w:uiPriority w:val="99"/>
    <w:semiHidden/>
    <w:unhideWhenUsed/>
    <w:rsid w:val="004912D1"/>
    <w:rPr>
      <w:b/>
      <w:bCs/>
    </w:rPr>
  </w:style>
  <w:style w:type="character" w:customStyle="1" w:styleId="OnderwerpvanopmerkingChar">
    <w:name w:val="Onderwerp van opmerking Char"/>
    <w:basedOn w:val="TekstopmerkingChar"/>
    <w:link w:val="Onderwerpvanopmerking"/>
    <w:uiPriority w:val="99"/>
    <w:semiHidden/>
    <w:rsid w:val="004912D1"/>
    <w:rPr>
      <w:rFonts w:ascii="Gill Sans MT" w:eastAsia="MS ??" w:hAnsi="Gill Sans MT" w:cs="Gill Sans MT"/>
      <w:b/>
      <w:bCs/>
      <w:lang w:val="nl-NL" w:eastAsia="nl-NL"/>
    </w:rPr>
  </w:style>
  <w:style w:type="paragraph" w:styleId="Ballontekst">
    <w:name w:val="Balloon Text"/>
    <w:basedOn w:val="Standaard"/>
    <w:link w:val="BallontekstChar"/>
    <w:uiPriority w:val="99"/>
    <w:semiHidden/>
    <w:unhideWhenUsed/>
    <w:rsid w:val="004912D1"/>
    <w:rPr>
      <w:rFonts w:ascii="Tahoma" w:hAnsi="Tahoma" w:cs="Tahoma"/>
      <w:sz w:val="16"/>
      <w:szCs w:val="16"/>
    </w:rPr>
  </w:style>
  <w:style w:type="character" w:customStyle="1" w:styleId="BallontekstChar">
    <w:name w:val="Ballontekst Char"/>
    <w:basedOn w:val="Standaardalinea-lettertype"/>
    <w:link w:val="Ballontekst"/>
    <w:uiPriority w:val="99"/>
    <w:semiHidden/>
    <w:rsid w:val="004912D1"/>
    <w:rPr>
      <w:rFonts w:ascii="Tahoma" w:eastAsia="MS ??" w:hAnsi="Tahoma" w:cs="Tahoma"/>
      <w:sz w:val="16"/>
      <w:szCs w:val="16"/>
      <w:lang w:val="nl-NL" w:eastAsia="nl-NL"/>
    </w:rPr>
  </w:style>
  <w:style w:type="character" w:styleId="Onopgelostemelding">
    <w:name w:val="Unresolved Mention"/>
    <w:basedOn w:val="Standaardalinea-lettertype"/>
    <w:uiPriority w:val="99"/>
    <w:semiHidden/>
    <w:unhideWhenUsed/>
    <w:rsid w:val="00A000B4"/>
    <w:rPr>
      <w:color w:val="605E5C"/>
      <w:shd w:val="clear" w:color="auto" w:fill="E1DFDD"/>
    </w:rPr>
  </w:style>
  <w:style w:type="paragraph" w:styleId="Koptekst">
    <w:name w:val="header"/>
    <w:basedOn w:val="Standaard"/>
    <w:link w:val="KoptekstChar"/>
    <w:uiPriority w:val="99"/>
    <w:unhideWhenUsed/>
    <w:rsid w:val="009547D0"/>
    <w:pPr>
      <w:tabs>
        <w:tab w:val="center" w:pos="4536"/>
        <w:tab w:val="right" w:pos="9072"/>
      </w:tabs>
    </w:pPr>
  </w:style>
  <w:style w:type="character" w:customStyle="1" w:styleId="KoptekstChar">
    <w:name w:val="Koptekst Char"/>
    <w:basedOn w:val="Standaardalinea-lettertype"/>
    <w:link w:val="Koptekst"/>
    <w:uiPriority w:val="99"/>
    <w:rsid w:val="009547D0"/>
    <w:rPr>
      <w:rFonts w:ascii="Gill Sans MT" w:eastAsia="MS ??" w:hAnsi="Gill Sans MT" w:cs="Gill Sans MT"/>
      <w:sz w:val="22"/>
      <w:szCs w:val="22"/>
      <w:lang w:val="nl-NL" w:eastAsia="nl-NL"/>
    </w:rPr>
  </w:style>
  <w:style w:type="paragraph" w:styleId="Voettekst">
    <w:name w:val="footer"/>
    <w:basedOn w:val="Standaard"/>
    <w:link w:val="VoettekstChar"/>
    <w:uiPriority w:val="99"/>
    <w:unhideWhenUsed/>
    <w:rsid w:val="009547D0"/>
    <w:pPr>
      <w:tabs>
        <w:tab w:val="center" w:pos="4536"/>
        <w:tab w:val="right" w:pos="9072"/>
      </w:tabs>
    </w:pPr>
  </w:style>
  <w:style w:type="character" w:customStyle="1" w:styleId="VoettekstChar">
    <w:name w:val="Voettekst Char"/>
    <w:basedOn w:val="Standaardalinea-lettertype"/>
    <w:link w:val="Voettekst"/>
    <w:uiPriority w:val="99"/>
    <w:rsid w:val="009547D0"/>
    <w:rPr>
      <w:rFonts w:ascii="Gill Sans MT" w:eastAsia="MS ??" w:hAnsi="Gill Sans MT" w:cs="Gill Sans MT"/>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071">
      <w:bodyDiv w:val="1"/>
      <w:marLeft w:val="0"/>
      <w:marRight w:val="0"/>
      <w:marTop w:val="0"/>
      <w:marBottom w:val="0"/>
      <w:divBdr>
        <w:top w:val="none" w:sz="0" w:space="0" w:color="auto"/>
        <w:left w:val="none" w:sz="0" w:space="0" w:color="auto"/>
        <w:bottom w:val="none" w:sz="0" w:space="0" w:color="auto"/>
        <w:right w:val="none" w:sz="0" w:space="0" w:color="auto"/>
      </w:divBdr>
    </w:div>
    <w:div w:id="665519237">
      <w:bodyDiv w:val="1"/>
      <w:marLeft w:val="0"/>
      <w:marRight w:val="0"/>
      <w:marTop w:val="0"/>
      <w:marBottom w:val="0"/>
      <w:divBdr>
        <w:top w:val="none" w:sz="0" w:space="0" w:color="auto"/>
        <w:left w:val="none" w:sz="0" w:space="0" w:color="auto"/>
        <w:bottom w:val="none" w:sz="0" w:space="0" w:color="auto"/>
        <w:right w:val="none" w:sz="0" w:space="0" w:color="auto"/>
      </w:divBdr>
    </w:div>
    <w:div w:id="13053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sp@rsdkrh.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gsp@rsdkrh.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gspkrh.nl" TargetMode="External"/><Relationship Id="rId4" Type="http://schemas.openxmlformats.org/officeDocument/2006/relationships/webSettings" Target="webSettings.xml"/><Relationship Id="rId9" Type="http://schemas.openxmlformats.org/officeDocument/2006/relationships/hyperlink" Target="mailto:info@wgspkrh.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1171</Words>
  <Characters>6445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Jaarsveld, Karin van</dc:creator>
  <cp:lastModifiedBy>Rianne Bouhuijzen</cp:lastModifiedBy>
  <cp:revision>3</cp:revision>
  <dcterms:created xsi:type="dcterms:W3CDTF">2026-05-13T11:04:00Z</dcterms:created>
  <dcterms:modified xsi:type="dcterms:W3CDTF">2026-05-13T11:04:00Z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2026-05-13T11:04:11Z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b1094c33-be67-4214-9ea6-1c5f92d2c58e</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ies>
</file>