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965A2" w14:textId="2263145F" w:rsidR="00E62E99" w:rsidRDefault="00E62E99" w:rsidP="00E62E99">
      <w:pPr>
        <w:rPr>
          <w:rFonts w:ascii="Verdana" w:hAnsi="Verdana"/>
          <w:sz w:val="18"/>
          <w:szCs w:val="18"/>
        </w:rPr>
      </w:pPr>
      <w:r>
        <w:rPr>
          <w:rFonts w:ascii="Verdana" w:hAnsi="Verdana"/>
          <w:sz w:val="18"/>
          <w:szCs w:val="18"/>
        </w:rPr>
        <w:t xml:space="preserve">BIJLAGE </w:t>
      </w:r>
      <w:r w:rsidR="00320FE8">
        <w:rPr>
          <w:rFonts w:ascii="Verdana" w:hAnsi="Verdana"/>
          <w:sz w:val="18"/>
          <w:szCs w:val="18"/>
        </w:rPr>
        <w:t>26</w:t>
      </w:r>
    </w:p>
    <w:p w14:paraId="37D4D926" w14:textId="77777777" w:rsidR="00E62E99" w:rsidRDefault="00E62E99" w:rsidP="00E62E99">
      <w:pPr>
        <w:rPr>
          <w:rFonts w:ascii="Verdana" w:hAnsi="Verdana"/>
          <w:sz w:val="18"/>
          <w:szCs w:val="18"/>
        </w:rPr>
      </w:pPr>
    </w:p>
    <w:p w14:paraId="51641653" w14:textId="2D69CCCC" w:rsidR="00E62E99" w:rsidRDefault="00E62E99" w:rsidP="00E62E99">
      <w:pPr>
        <w:rPr>
          <w:rFonts w:ascii="Verdana" w:hAnsi="Verdana"/>
          <w:sz w:val="18"/>
          <w:szCs w:val="18"/>
        </w:rPr>
      </w:pPr>
      <w:r>
        <w:rPr>
          <w:rFonts w:ascii="Verdana" w:hAnsi="Verdana"/>
          <w:sz w:val="18"/>
          <w:szCs w:val="18"/>
        </w:rPr>
        <w:t xml:space="preserve">Op 12 juli 2023 is Verordening 2022/2560 in werking getreden. kort gezegd betreft deze verordening subsidies en andere financiële voordelen die door overheden buiten de Europese Unie zijn verstrekt aan een of enkele ondernemers/ondernemingen. Deze aanbesteding valt gezien de omvang ervan onder de werking van deze verordening. </w:t>
      </w:r>
    </w:p>
    <w:p w14:paraId="07B95A21" w14:textId="6B11EAC3" w:rsidR="00E62E99" w:rsidRDefault="00E62E99" w:rsidP="00E62E99">
      <w:pPr>
        <w:rPr>
          <w:rFonts w:ascii="Verdana" w:hAnsi="Verdana"/>
          <w:sz w:val="18"/>
          <w:szCs w:val="18"/>
        </w:rPr>
      </w:pPr>
      <w:r>
        <w:rPr>
          <w:rFonts w:ascii="Verdana" w:hAnsi="Verdana"/>
          <w:sz w:val="18"/>
          <w:szCs w:val="18"/>
        </w:rPr>
        <w:t>Ondernemers die inschrijven op deze aanbesteding zijn niet alleen verplicht om melding te maken van dergelijke bijdragen maar zijn ook verplicht te melden dat er geen financiële voordelen zijn ontvangen van overheden buiten de Europese Unie wanneer dat het geval is.</w:t>
      </w:r>
    </w:p>
    <w:p w14:paraId="6CC34DA5" w14:textId="77777777" w:rsidR="00E62E99" w:rsidRDefault="00E62E99" w:rsidP="00E62E99">
      <w:pPr>
        <w:rPr>
          <w:rFonts w:ascii="Verdana" w:hAnsi="Verdana"/>
          <w:sz w:val="18"/>
          <w:szCs w:val="18"/>
        </w:rPr>
      </w:pPr>
    </w:p>
    <w:p w14:paraId="1B86B2D9" w14:textId="7E8F2915" w:rsidR="00E62E99" w:rsidRDefault="00E62E99" w:rsidP="00E62E99">
      <w:pPr>
        <w:rPr>
          <w:rFonts w:ascii="Verdana" w:hAnsi="Verdana"/>
          <w:sz w:val="18"/>
          <w:szCs w:val="18"/>
        </w:rPr>
      </w:pPr>
      <w:r>
        <w:rPr>
          <w:rFonts w:ascii="Verdana" w:hAnsi="Verdana"/>
          <w:sz w:val="18"/>
          <w:szCs w:val="18"/>
        </w:rPr>
        <w:t>Momenteel wordt nog gewerkt aan een formulier dat u hiervoor kunt gebruiken. Dit zal zo snel mogelijk aan u worden verzonden, doch uiterlijk met de eerste Nota van Inlichtingen worden gepubliceerd.</w:t>
      </w:r>
    </w:p>
    <w:p w14:paraId="552807D5" w14:textId="7BC1644C" w:rsidR="00E62E99" w:rsidRDefault="00E62E99" w:rsidP="00E62E99">
      <w:pPr>
        <w:rPr>
          <w:rFonts w:ascii="Verdana" w:hAnsi="Verdana"/>
          <w:sz w:val="18"/>
          <w:szCs w:val="18"/>
        </w:rPr>
      </w:pPr>
    </w:p>
    <w:p w14:paraId="4531A35B" w14:textId="2C9A4AD4" w:rsidR="00E62E99" w:rsidRDefault="00E62E99" w:rsidP="00E62E99">
      <w:pPr>
        <w:rPr>
          <w:rFonts w:ascii="Verdana" w:hAnsi="Verdana"/>
          <w:sz w:val="18"/>
          <w:szCs w:val="18"/>
        </w:rPr>
      </w:pPr>
      <w:r>
        <w:rPr>
          <w:rFonts w:ascii="Verdana" w:hAnsi="Verdana"/>
          <w:sz w:val="18"/>
          <w:szCs w:val="18"/>
        </w:rPr>
        <w:t>Hieronder treft u meer informatie over de verordening, wat dat voor deze aanbesteding betekent/kan betekenen en wat dit (mogelijk) voor u als inschrijver betekent.</w:t>
      </w:r>
    </w:p>
    <w:p w14:paraId="36357385" w14:textId="3B9D7A40" w:rsidR="00E62E99" w:rsidRDefault="00E62E99" w:rsidP="00E62E99">
      <w:pPr>
        <w:rPr>
          <w:rFonts w:ascii="Verdana" w:hAnsi="Verdana"/>
          <w:sz w:val="18"/>
          <w:szCs w:val="18"/>
        </w:rPr>
      </w:pPr>
    </w:p>
    <w:p w14:paraId="6C9FA9FF" w14:textId="77777777" w:rsidR="00E62E99" w:rsidRDefault="00E62E99" w:rsidP="00E62E99"/>
    <w:p w14:paraId="5BC7A5EE" w14:textId="77777777" w:rsidR="00E62E99" w:rsidRPr="00E62E99" w:rsidRDefault="00E62E99" w:rsidP="00E62E99">
      <w:pPr>
        <w:rPr>
          <w:b/>
          <w:bCs/>
        </w:rPr>
      </w:pPr>
      <w:r w:rsidRPr="00E62E99">
        <w:rPr>
          <w:b/>
          <w:bCs/>
        </w:rPr>
        <w:t>Begripsbepalingen met betrekking tot de Verordening 2022/2560</w:t>
      </w:r>
    </w:p>
    <w:p w14:paraId="15357155" w14:textId="77777777" w:rsidR="00E62E99" w:rsidRDefault="00E62E99" w:rsidP="00E62E99"/>
    <w:p w14:paraId="1F87135C" w14:textId="5F4A1EFB" w:rsidR="00E62E99" w:rsidRDefault="00E62E99" w:rsidP="00E62E99">
      <w:pPr>
        <w:ind w:left="2124" w:hanging="2124"/>
      </w:pPr>
      <w:r>
        <w:t xml:space="preserve">Verordening: </w:t>
      </w:r>
      <w:r>
        <w:tab/>
        <w:t>VERORDENING (EU) 2022/2560 VAN HET EUROPEES PARLEMENT EN DE RAAD van 14 december 2022 betreffende buitenlandse subsidies die de interne markt verstoren.</w:t>
      </w:r>
    </w:p>
    <w:p w14:paraId="1BFE7702" w14:textId="77777777" w:rsidR="00E62E99" w:rsidRDefault="00E62E99" w:rsidP="00E62E99"/>
    <w:p w14:paraId="0C283F40" w14:textId="39937E85" w:rsidR="00E62E99" w:rsidRDefault="00E62E99" w:rsidP="00E62E99">
      <w:pPr>
        <w:ind w:left="2124" w:hanging="2124"/>
      </w:pPr>
      <w:r>
        <w:t xml:space="preserve">Buitenlandse subsidie </w:t>
      </w:r>
      <w:r>
        <w:tab/>
        <w:t>Wordt geacht te bestaan indien een derde land (land buiten de EU) direct of indirect een financiële bijdrage verstrekt waarmee een voordeel wordt verleend aan een onderneming die in de interne markt een economische activiteit uitoefent, en deze bijdrage rechtens of feitelijk is beperkt tot een of meerdere ondernemingen of bedrijfstakken. Een buitenlandse subsidie moet worden beschouwd als toegekend vanaf het ogenblik dat de begunstigde het recht verkrijgt om de buitenlandse subsidie te ontvangen. De daadwerkelijke uitbetaling van de subsidie is geen noodzakelijke voorwaarde.</w:t>
      </w:r>
    </w:p>
    <w:p w14:paraId="7F0F4493" w14:textId="77777777" w:rsidR="00E62E99" w:rsidRDefault="00E62E99" w:rsidP="00E62E99"/>
    <w:p w14:paraId="07C6C2CD" w14:textId="268EAE6C" w:rsidR="00E62E99" w:rsidRDefault="00E62E99" w:rsidP="00E62E99">
      <w:r>
        <w:t>Commissie:</w:t>
      </w:r>
      <w:r>
        <w:tab/>
      </w:r>
      <w:r>
        <w:tab/>
        <w:t>Europese Commissie</w:t>
      </w:r>
    </w:p>
    <w:p w14:paraId="6F2BEEA3" w14:textId="77777777" w:rsidR="00E62E99" w:rsidRDefault="00E62E99" w:rsidP="00E62E99"/>
    <w:p w14:paraId="4F457B22" w14:textId="236E7236" w:rsidR="00E62E99" w:rsidRDefault="00E62E99" w:rsidP="00E62E99">
      <w:pPr>
        <w:ind w:left="2124" w:hanging="2124"/>
      </w:pPr>
      <w:r>
        <w:t>Financiële bijdrage:</w:t>
      </w:r>
      <w:r>
        <w:tab/>
        <w:t xml:space="preserve">a. Een overdracht van financiële middelen of verplichtingen, zoals kapitaalinjecties, subsidies, leningen, </w:t>
      </w:r>
      <w:proofErr w:type="spellStart"/>
      <w:r>
        <w:t>leninggaranties</w:t>
      </w:r>
      <w:proofErr w:type="spellEnd"/>
      <w:r>
        <w:t xml:space="preserve">, fiscale stimuleringsmaatregelen, compensaties voor exploitatietekorten, compensaties voor financiële lasten opgelegd van overheidswege, </w:t>
      </w:r>
    </w:p>
    <w:p w14:paraId="7CE6E83B" w14:textId="3E1A32C8" w:rsidR="00E62E99" w:rsidRDefault="00E62E99" w:rsidP="00E62E99">
      <w:pPr>
        <w:ind w:left="2124"/>
      </w:pPr>
      <w:r>
        <w:t>kwijtschelding van schulden, schuldconversies (</w:t>
      </w:r>
      <w:proofErr w:type="spellStart"/>
      <w:r>
        <w:t>debt</w:t>
      </w:r>
      <w:proofErr w:type="spellEnd"/>
      <w:r>
        <w:t>-</w:t>
      </w:r>
      <w:proofErr w:type="spellStart"/>
      <w:r>
        <w:t>to</w:t>
      </w:r>
      <w:proofErr w:type="spellEnd"/>
      <w:r>
        <w:t>-</w:t>
      </w:r>
      <w:proofErr w:type="spellStart"/>
      <w:r>
        <w:t>equity</w:t>
      </w:r>
      <w:proofErr w:type="spellEnd"/>
      <w:r>
        <w:t>-swaps) en schuldherschikkingen;</w:t>
      </w:r>
      <w:r>
        <w:br/>
        <w:t>b. het niet-innen van inkomsten die normaliter verschuldigd zijn, zoals belastingvrijstellingen en het verlenen van bijzondere of exclusieve rechten zonder passende vergoeding;</w:t>
      </w:r>
      <w:r>
        <w:br/>
        <w:t>c. de levering of aankoop van goederen of diensten.</w:t>
      </w:r>
    </w:p>
    <w:p w14:paraId="41680B1B" w14:textId="77777777" w:rsidR="00E62E99" w:rsidRDefault="00E62E99" w:rsidP="00E62E99"/>
    <w:p w14:paraId="25955F0E" w14:textId="77777777" w:rsidR="00E62E99" w:rsidRDefault="00E62E99" w:rsidP="00E62E99">
      <w:pPr>
        <w:ind w:left="2124" w:hanging="2124"/>
      </w:pPr>
      <w:r>
        <w:t xml:space="preserve">Financiële bijdrage  </w:t>
      </w:r>
      <w:r>
        <w:tab/>
        <w:t>a. Een centrale overheid en van overheidsinstanties op alle overige niveaus;</w:t>
      </w:r>
    </w:p>
    <w:p w14:paraId="6B458EC7" w14:textId="7B041B09" w:rsidR="008C4DCB" w:rsidRDefault="00E62E99" w:rsidP="00E62E99">
      <w:pPr>
        <w:ind w:left="2124" w:hanging="2124"/>
      </w:pPr>
      <w:r>
        <w:t>van een derde land</w:t>
      </w:r>
      <w:r>
        <w:tab/>
        <w:t>b. een buitenlandse overheidsentiteit waarvan het doen en laten aan een derde land kan worden toegerekend, gelet op elementen zoals de kenmerken van de entiteit en de juridische en economische omgeving in de staat waarin de entiteit actief is, waaronder ook de rol van de overheid in de betrokken economie valt, of</w:t>
      </w:r>
      <w:r>
        <w:br/>
        <w:t>c. een private entiteit waarvan het doen en laten aan een derde land kan worden toegerekend, gelet op alle relevante omstandigheden.</w:t>
      </w:r>
    </w:p>
    <w:p w14:paraId="678E1C42" w14:textId="51DEF0B5" w:rsidR="00E62E99" w:rsidRDefault="00E62E99" w:rsidP="00E62E99">
      <w:pPr>
        <w:ind w:left="2124" w:hanging="2124"/>
      </w:pPr>
    </w:p>
    <w:p w14:paraId="70C53CB2" w14:textId="59B67CE9" w:rsidR="00E62E99" w:rsidRDefault="00E62E99" w:rsidP="00E62E99">
      <w:pPr>
        <w:ind w:left="2124" w:hanging="2124"/>
      </w:pPr>
    </w:p>
    <w:p w14:paraId="48E2E769" w14:textId="43D48F25" w:rsidR="00E62E99" w:rsidRDefault="00E62E99" w:rsidP="00E62E99">
      <w:pPr>
        <w:ind w:left="2124" w:hanging="2124"/>
      </w:pPr>
    </w:p>
    <w:p w14:paraId="4C845CC7" w14:textId="0CE80C12" w:rsidR="00E62E99" w:rsidRDefault="00E62E99" w:rsidP="00E62E99">
      <w:pPr>
        <w:ind w:left="2124" w:hanging="2124"/>
      </w:pPr>
    </w:p>
    <w:p w14:paraId="3D23D6D8" w14:textId="75A95C66" w:rsidR="00E62E99" w:rsidRDefault="00A23634" w:rsidP="00E62E99">
      <w:pPr>
        <w:ind w:left="2124" w:hanging="2124"/>
      </w:pPr>
      <w:hyperlink r:id="rId7" w:history="1">
        <w:r w:rsidR="00E62E99" w:rsidRPr="00F97C65">
          <w:rPr>
            <w:rStyle w:val="Hyperlink"/>
            <w:rFonts w:ascii="Verdana" w:hAnsi="Verdana"/>
            <w:sz w:val="18"/>
            <w:szCs w:val="18"/>
          </w:rPr>
          <w:t>Uitvoeringsverordening (EU) 2023/… van de Commissie van 10 juli 2023 houdende de nadere regeling voor procedures van de Commissie overeenkomstig Verordening (EU) 2022/2560 van het Europees Parlement en de Raad betreffende buitenlandse subsidies die de interne markt verstoren (europa.eu)</w:t>
        </w:r>
      </w:hyperlink>
    </w:p>
    <w:p w14:paraId="5297D39E" w14:textId="6AD2BBD1" w:rsidR="00E62E99" w:rsidRDefault="00E62E99" w:rsidP="00E62E99">
      <w:pPr>
        <w:ind w:left="2124" w:hanging="2124"/>
      </w:pPr>
    </w:p>
    <w:p w14:paraId="317C2CD3" w14:textId="03D063B6" w:rsidR="00E36A86" w:rsidRDefault="00E36A86" w:rsidP="00E62E99">
      <w:pPr>
        <w:ind w:left="2124" w:hanging="2124"/>
      </w:pPr>
    </w:p>
    <w:p w14:paraId="5D9A1C29" w14:textId="25DC65A0" w:rsidR="00E36A86" w:rsidRPr="00E36A86" w:rsidRDefault="00E36A86" w:rsidP="00E36A86">
      <w:pPr>
        <w:ind w:left="2124" w:hanging="2124"/>
        <w:rPr>
          <w:b/>
          <w:bCs/>
        </w:rPr>
      </w:pPr>
      <w:r w:rsidRPr="00E36A86">
        <w:rPr>
          <w:b/>
          <w:bCs/>
        </w:rPr>
        <w:t>Buitenlandse subsidies die de interne markt verstoren</w:t>
      </w:r>
    </w:p>
    <w:p w14:paraId="7C37396B" w14:textId="13336127" w:rsidR="00E36A86" w:rsidRDefault="00E36A86" w:rsidP="00E36A86">
      <w:r>
        <w:t xml:space="preserve">In het kader van onderhavige aanbesteding zijn Inschrijvers gelet op de Verordening onderworpen aan de in artikel 29 van de Verordening bedoelde aanmeldingsverplichting. </w:t>
      </w:r>
    </w:p>
    <w:p w14:paraId="6DA2A69E" w14:textId="77777777" w:rsidR="00E36A86" w:rsidRDefault="00E36A86" w:rsidP="00E36A86">
      <w:pPr>
        <w:ind w:left="2124" w:hanging="2124"/>
      </w:pPr>
      <w:r>
        <w:t>Deze aanmeldingsverplichting houdt in:</w:t>
      </w:r>
    </w:p>
    <w:p w14:paraId="13DEF935" w14:textId="69300015" w:rsidR="00E36A86" w:rsidRDefault="00E36A86" w:rsidP="00E36A86">
      <w:r>
        <w:t xml:space="preserve">Indien aan </w:t>
      </w:r>
      <w:r w:rsidR="00C9119F">
        <w:t>i</w:t>
      </w:r>
      <w:r>
        <w:t xml:space="preserve">nschrijver in de drie jaren voorafgaand aan de aanmelding een of meer financiële bijdragen zijn toegekend waarvan de totale waarde gelijk is aan of groter is dan € 4 miljoen per derde land (artikel 28 lid 1 onder b Verordening), dan dient </w:t>
      </w:r>
      <w:r w:rsidR="00C9119F">
        <w:t>i</w:t>
      </w:r>
      <w:r>
        <w:t xml:space="preserve">nschrijver al die betreffende buitenlandse financiële bijdragen aan de Aanbestedende dienst te melden (aanmelding).  </w:t>
      </w:r>
    </w:p>
    <w:p w14:paraId="536F37BC" w14:textId="77777777" w:rsidR="00E36A86" w:rsidRDefault="00E36A86" w:rsidP="00E36A86">
      <w:pPr>
        <w:ind w:left="2124" w:hanging="2124"/>
      </w:pPr>
    </w:p>
    <w:p w14:paraId="6C0B18D4" w14:textId="3A286F53" w:rsidR="00E36A86" w:rsidRDefault="00E36A86" w:rsidP="00E36A86">
      <w:r>
        <w:t xml:space="preserve">In alle andere gevallen somt </w:t>
      </w:r>
      <w:r w:rsidR="00C9119F">
        <w:t>i</w:t>
      </w:r>
      <w:r>
        <w:t xml:space="preserve">nschrijver alle ontvangen buitenlandse financiële bijdragen op in een verklaring en dient hij aan de </w:t>
      </w:r>
      <w:r w:rsidR="00C9119F">
        <w:t>a</w:t>
      </w:r>
      <w:r>
        <w:t xml:space="preserve">anbestedende dienst te bevestigen dat deze ontvangen buitenlandse financiële bijdragen overeenkomstig artikel 28, lid 1, punt b Verordening, niet hoefden te worden aangemeld (verklaring). </w:t>
      </w:r>
    </w:p>
    <w:p w14:paraId="0C2EA1CC" w14:textId="77777777" w:rsidR="00E36A86" w:rsidRDefault="00E36A86" w:rsidP="00E36A86">
      <w:pPr>
        <w:ind w:left="2124" w:hanging="2124"/>
      </w:pPr>
    </w:p>
    <w:p w14:paraId="00C46E29" w14:textId="3CD32B3D" w:rsidR="00E36A86" w:rsidRDefault="00E36A86" w:rsidP="00E36A86">
      <w:r>
        <w:t xml:space="preserve">Inschrijver moet hier worden gelezen als met inbegrip van zijn dochterondernemingen zonder commerciële autonomie, zijn participatieondernemingen en, in voorkomend geval, zijn hoofdonderaannemers en -leveranciers die betrokken zijn bij de Inschrijving. </w:t>
      </w:r>
    </w:p>
    <w:p w14:paraId="067DE179" w14:textId="77777777" w:rsidR="00C9119F" w:rsidRDefault="00C9119F" w:rsidP="00E36A86">
      <w:pPr>
        <w:rPr>
          <w:b/>
          <w:bCs/>
        </w:rPr>
      </w:pPr>
    </w:p>
    <w:tbl>
      <w:tblPr>
        <w:tblStyle w:val="Tabelraster"/>
        <w:tblW w:w="0" w:type="auto"/>
        <w:tblLook w:val="04A0" w:firstRow="1" w:lastRow="0" w:firstColumn="1" w:lastColumn="0" w:noHBand="0" w:noVBand="1"/>
      </w:tblPr>
      <w:tblGrid>
        <w:gridCol w:w="9062"/>
      </w:tblGrid>
      <w:tr w:rsidR="00C9119F" w:rsidRPr="00C9119F" w14:paraId="59E35041" w14:textId="77777777" w:rsidTr="00C9119F">
        <w:tc>
          <w:tcPr>
            <w:tcW w:w="9062" w:type="dxa"/>
          </w:tcPr>
          <w:p w14:paraId="0CF97AA9" w14:textId="375DD354" w:rsidR="00C9119F" w:rsidRPr="00C9119F" w:rsidRDefault="00C9119F" w:rsidP="008615FF">
            <w:r w:rsidRPr="00C9119F">
              <w:rPr>
                <w:b/>
                <w:bCs/>
              </w:rPr>
              <w:t>LET OP:</w:t>
            </w:r>
            <w:r w:rsidRPr="00C9119F">
              <w:t xml:space="preserve"> In aanvulling op het gestelde in paragraaf 4.3 ‘Vorm en inhoud van de inschrijving’:</w:t>
            </w:r>
            <w:r w:rsidRPr="00C9119F">
              <w:br/>
              <w:t>Ingeval de inschrijver een aanmelding of verklaring moet indienen ingeval sprake is van financiële bijdrage</w:t>
            </w:r>
            <w:r>
              <w:t>(</w:t>
            </w:r>
            <w:r w:rsidRPr="00C9119F">
              <w:t>n</w:t>
            </w:r>
            <w:r>
              <w:t xml:space="preserve">) </w:t>
            </w:r>
            <w:r w:rsidRPr="00C9119F">
              <w:t xml:space="preserve"> als hierboven vermeld, dient inschrijver de aanmelding of verklaring aan zijn inschrijving toe te voegen. Een formulier hiervoor wordt meegestuurd bij de eerste Nota van Inlichtingen.</w:t>
            </w:r>
          </w:p>
        </w:tc>
      </w:tr>
    </w:tbl>
    <w:p w14:paraId="76A15438" w14:textId="77777777" w:rsidR="00E36A86" w:rsidRDefault="00E36A86" w:rsidP="00E36A86">
      <w:pPr>
        <w:ind w:left="2124" w:hanging="2124"/>
      </w:pPr>
    </w:p>
    <w:p w14:paraId="2628D4EB" w14:textId="77777777" w:rsidR="00E36A86" w:rsidRPr="00E36A86" w:rsidRDefault="00E36A86" w:rsidP="00E36A86">
      <w:pPr>
        <w:ind w:left="2124" w:hanging="2124"/>
        <w:rPr>
          <w:i/>
          <w:iCs/>
        </w:rPr>
      </w:pPr>
      <w:r w:rsidRPr="00E36A86">
        <w:rPr>
          <w:i/>
          <w:iCs/>
        </w:rPr>
        <w:t>Geen aanmelding of verklaring ingediend</w:t>
      </w:r>
    </w:p>
    <w:p w14:paraId="077CF67E" w14:textId="62086B25" w:rsidR="00E36A86" w:rsidRDefault="00E36A86" w:rsidP="00E36A86">
      <w:r>
        <w:t xml:space="preserve">Indien de </w:t>
      </w:r>
      <w:r w:rsidR="00C9119F">
        <w:t>i</w:t>
      </w:r>
      <w:r>
        <w:t>nschrijving geen aanmelding of verklaring bevat, zal de aanbestedende dienst de betrokken inschrijver(s) verzoeken deze alsnog binnen tien werkdagen in te dienen.</w:t>
      </w:r>
    </w:p>
    <w:p w14:paraId="6008FF50" w14:textId="77777777" w:rsidR="00E36A86" w:rsidRDefault="00E36A86" w:rsidP="00E36A86">
      <w:pPr>
        <w:ind w:left="2124" w:hanging="2124"/>
      </w:pPr>
    </w:p>
    <w:p w14:paraId="54377B19" w14:textId="0632ED3F" w:rsidR="00E36A86" w:rsidRDefault="00E36A86" w:rsidP="00E36A86">
      <w:r>
        <w:t xml:space="preserve">Inschrijvingen die, ook niet binnen de termijn van de herstelmogelijkheid, niet vergezeld zijn van de aanmelding of verklaring, worden door de </w:t>
      </w:r>
      <w:r w:rsidR="00C9119F">
        <w:t>a</w:t>
      </w:r>
      <w:r>
        <w:t xml:space="preserve">anbestedende dienst onregelmatig verklaard en afgewezen, conform artikel 29 lid 3 Verordening. De aanbestedende dienst zal de Commissie informeren over die afwijzing.  </w:t>
      </w:r>
    </w:p>
    <w:p w14:paraId="6F7A6285" w14:textId="77777777" w:rsidR="00E36A86" w:rsidRDefault="00E36A86" w:rsidP="00E36A86">
      <w:pPr>
        <w:ind w:left="2124" w:hanging="2124"/>
      </w:pPr>
    </w:p>
    <w:p w14:paraId="45226C7F" w14:textId="77777777" w:rsidR="00E36A86" w:rsidRPr="006C48A8" w:rsidRDefault="00E36A86" w:rsidP="00E36A86">
      <w:pPr>
        <w:ind w:left="2124" w:hanging="2124"/>
        <w:rPr>
          <w:i/>
          <w:iCs/>
        </w:rPr>
      </w:pPr>
      <w:r w:rsidRPr="006C48A8">
        <w:rPr>
          <w:i/>
          <w:iCs/>
        </w:rPr>
        <w:t>Wel aanmelding of verklaring ingediend</w:t>
      </w:r>
    </w:p>
    <w:p w14:paraId="54A9186E" w14:textId="055BEB7F" w:rsidR="00E36A86" w:rsidRDefault="00E36A86" w:rsidP="006C48A8">
      <w:pPr>
        <w:tabs>
          <w:tab w:val="left" w:pos="0"/>
        </w:tabs>
      </w:pPr>
      <w:r>
        <w:t xml:space="preserve">Zodra de </w:t>
      </w:r>
      <w:r w:rsidR="00C9119F">
        <w:t>a</w:t>
      </w:r>
      <w:r>
        <w:t xml:space="preserve">anbestedende dienst de betreffende aanmelding of verklaring heeft ontvangen, stuurt hij deze naar de Commissie. </w:t>
      </w:r>
    </w:p>
    <w:p w14:paraId="2ADDA663" w14:textId="77777777" w:rsidR="006C48A8" w:rsidRDefault="006C48A8" w:rsidP="00E36A86">
      <w:pPr>
        <w:ind w:left="2124" w:hanging="2124"/>
      </w:pPr>
    </w:p>
    <w:p w14:paraId="761B1B0F" w14:textId="65FB81A6" w:rsidR="00E36A86" w:rsidRDefault="00E36A86" w:rsidP="006C48A8">
      <w:r>
        <w:t xml:space="preserve">Wanneer de </w:t>
      </w:r>
      <w:r w:rsidR="00C9119F">
        <w:t>a</w:t>
      </w:r>
      <w:r>
        <w:t xml:space="preserve">anbestedende dienst bij bestudering van de </w:t>
      </w:r>
      <w:r w:rsidR="00C9119F">
        <w:t>i</w:t>
      </w:r>
      <w:r>
        <w:t xml:space="preserve">nschrijving vermoedt dat er sprake is van buitenlandse subsidies, hoewel er een verklaring is ingediend, brengt de </w:t>
      </w:r>
      <w:r w:rsidR="00C9119F">
        <w:t>a</w:t>
      </w:r>
      <w:r>
        <w:t>anbestedende dienst de Commissie op de hoogte van die vermoedens. Dit conform artikel 29 lid 7 Verordening.</w:t>
      </w:r>
    </w:p>
    <w:p w14:paraId="08EA0C42" w14:textId="77777777" w:rsidR="00E36A86" w:rsidRDefault="00E36A86" w:rsidP="00E36A86">
      <w:pPr>
        <w:ind w:left="2124" w:hanging="2124"/>
      </w:pPr>
    </w:p>
    <w:p w14:paraId="15E4F28E" w14:textId="77777777" w:rsidR="00E36A86" w:rsidRDefault="00E36A86" w:rsidP="006C48A8">
      <w:pPr>
        <w:tabs>
          <w:tab w:val="left" w:pos="0"/>
        </w:tabs>
      </w:pPr>
      <w:r>
        <w:t>Inschrijver dient er rekening mee te houden dat de Commissie zelf ook een aanmelding van Inschrijver kan eisen (artikel 29 lid 8 Verordening).</w:t>
      </w:r>
    </w:p>
    <w:p w14:paraId="0B39FC5E" w14:textId="77777777" w:rsidR="00E36A86" w:rsidRDefault="00E36A86" w:rsidP="00E36A86">
      <w:pPr>
        <w:ind w:left="2124" w:hanging="2124"/>
      </w:pPr>
    </w:p>
    <w:p w14:paraId="4A936044" w14:textId="77777777" w:rsidR="00E36A86" w:rsidRPr="006C48A8" w:rsidRDefault="00E36A86" w:rsidP="00E36A86">
      <w:pPr>
        <w:ind w:left="2124" w:hanging="2124"/>
        <w:rPr>
          <w:i/>
          <w:iCs/>
        </w:rPr>
      </w:pPr>
      <w:r w:rsidRPr="006C48A8">
        <w:rPr>
          <w:i/>
          <w:iCs/>
        </w:rPr>
        <w:t>De Commissie</w:t>
      </w:r>
    </w:p>
    <w:p w14:paraId="12E0DA70" w14:textId="77777777" w:rsidR="00E36A86" w:rsidRDefault="00E36A86" w:rsidP="006C48A8">
      <w:r>
        <w:t xml:space="preserve">Het is vervolgens aan de Commissie om de aangemelde financiële bijdragen te toetsen en eventueel te onderzoeken en besluiten te nemen. In hoofdstuk 4 Verordening wordt o.a. ingegaan op de procedurevoorschriften voor de voorlopige toetsing en het diepgaande onderzoek van aangemelde financiële bijdragen in aanbestedingsprocedures, op de termijnen en op de besluiten die de Commissie kan nemen en sancties die de Commissie kan opleggen. </w:t>
      </w:r>
    </w:p>
    <w:p w14:paraId="11C51E51" w14:textId="77777777" w:rsidR="006C48A8" w:rsidRDefault="006C48A8" w:rsidP="00E36A86">
      <w:pPr>
        <w:ind w:left="2124" w:hanging="2124"/>
      </w:pPr>
    </w:p>
    <w:p w14:paraId="5728A3F9" w14:textId="7730449C" w:rsidR="00E36A86" w:rsidRDefault="00E36A86" w:rsidP="00E36A86">
      <w:pPr>
        <w:ind w:left="2124" w:hanging="2124"/>
      </w:pPr>
      <w:r w:rsidRPr="006C48A8">
        <w:rPr>
          <w:i/>
          <w:iCs/>
        </w:rPr>
        <w:t>Gevolgen</w:t>
      </w:r>
      <w:r>
        <w:t xml:space="preserve"> </w:t>
      </w:r>
    </w:p>
    <w:p w14:paraId="4D276484" w14:textId="77777777" w:rsidR="00E36A86" w:rsidRDefault="00E36A86" w:rsidP="006C48A8">
      <w:r>
        <w:t>De toetsing en het onderzoek door de Commissie en de besluiten die de Commissie neemt, kan zijn weerslag hebben op onderhavige aanbesteding wat betreft:</w:t>
      </w:r>
    </w:p>
    <w:p w14:paraId="7B480CB8" w14:textId="77777777" w:rsidR="00E36A86" w:rsidRDefault="00E36A86" w:rsidP="00E36A86">
      <w:pPr>
        <w:ind w:left="2124" w:hanging="2124"/>
      </w:pPr>
      <w:r>
        <w:t>- de duur van de) aanbestedingsprocedure;</w:t>
      </w:r>
    </w:p>
    <w:p w14:paraId="161CD6D9" w14:textId="77777777" w:rsidR="00E36A86" w:rsidRDefault="00E36A86" w:rsidP="006C48A8">
      <w:r>
        <w:t>Zo is bijv. de maximale termijn voor de voorlopige toetsing door de Commissie 20 werkdagen, die met tien werkdagen kan worden verlengd (artikel 30 lid 2 van de Verordening). Voor het diepgaande onderzoek is de maximale termijn 110 werkdagen, die met 20 werkdagen kan worden verlengd (artikel 30 lid 5 van de Verordening).</w:t>
      </w:r>
    </w:p>
    <w:p w14:paraId="6B6AFACD" w14:textId="13401F49" w:rsidR="00E36A86" w:rsidRDefault="00E36A86" w:rsidP="00E36A86">
      <w:pPr>
        <w:ind w:left="2124" w:hanging="2124"/>
      </w:pPr>
      <w:r>
        <w:t xml:space="preserve">- de </w:t>
      </w:r>
      <w:r w:rsidR="00C9119F">
        <w:t>i</w:t>
      </w:r>
      <w:r>
        <w:t>nschrijvingen.</w:t>
      </w:r>
    </w:p>
    <w:p w14:paraId="02247E9E" w14:textId="44CCDCB3" w:rsidR="00E36A86" w:rsidRDefault="00E36A86" w:rsidP="006C48A8">
      <w:r>
        <w:t xml:space="preserve">Zo blijkt bijv. uit artikel 32 Verordening dat tijdens de voorlopige toetsing en het diepgaande onderzoek er geen gunning van de opdracht mag plaatsvinden en blijkt bijv. uit artikel 31 lid 2 Verordening dat de </w:t>
      </w:r>
      <w:r w:rsidR="00C9119F">
        <w:t>a</w:t>
      </w:r>
      <w:r>
        <w:t xml:space="preserve">anbestedende dienst een </w:t>
      </w:r>
      <w:r w:rsidR="00C9119F">
        <w:t>i</w:t>
      </w:r>
      <w:r>
        <w:t xml:space="preserve">nschrijving moet afwijzen als de in dat lid beschreven situatie zich voordoet. </w:t>
      </w:r>
    </w:p>
    <w:p w14:paraId="4D1A157E" w14:textId="77777777" w:rsidR="00E36A86" w:rsidRDefault="00E36A86" w:rsidP="00E36A86">
      <w:pPr>
        <w:ind w:left="2124" w:hanging="2124"/>
      </w:pPr>
    </w:p>
    <w:p w14:paraId="6388EEE0" w14:textId="459A64A8" w:rsidR="006C48A8" w:rsidRPr="006C48A8" w:rsidRDefault="00E36A86" w:rsidP="006C48A8">
      <w:pPr>
        <w:spacing w:line="240" w:lineRule="atLeast"/>
        <w:rPr>
          <w:rFonts w:ascii="Verdana" w:hAnsi="Verdana"/>
          <w:sz w:val="18"/>
          <w:szCs w:val="18"/>
        </w:rPr>
      </w:pPr>
      <w:r>
        <w:t>Zie voor meer informatie de Verordening, met name de artikelen 29 t/m 32</w:t>
      </w:r>
      <w:r w:rsidR="006C48A8">
        <w:t xml:space="preserve"> en de Uitvoeringsverordening.</w:t>
      </w:r>
      <w:r w:rsidR="006C48A8">
        <w:br/>
      </w:r>
      <w:r w:rsidR="006C48A8" w:rsidRPr="006C48A8">
        <w:rPr>
          <w:rFonts w:ascii="Verdana" w:hAnsi="Verdana"/>
          <w:sz w:val="18"/>
          <w:szCs w:val="18"/>
        </w:rPr>
        <w:t xml:space="preserve">De </w:t>
      </w:r>
      <w:r w:rsidR="006C48A8">
        <w:rPr>
          <w:rFonts w:ascii="Verdana" w:hAnsi="Verdana"/>
          <w:sz w:val="18"/>
          <w:szCs w:val="18"/>
        </w:rPr>
        <w:t>V</w:t>
      </w:r>
      <w:r w:rsidR="006C48A8" w:rsidRPr="006C48A8">
        <w:rPr>
          <w:rFonts w:ascii="Verdana" w:hAnsi="Verdana"/>
          <w:sz w:val="18"/>
          <w:szCs w:val="18"/>
        </w:rPr>
        <w:t xml:space="preserve">erordening: </w:t>
      </w:r>
      <w:hyperlink r:id="rId8" w:history="1">
        <w:r w:rsidR="006C48A8" w:rsidRPr="006C48A8">
          <w:rPr>
            <w:rStyle w:val="Hyperlink"/>
            <w:rFonts w:ascii="Verdana" w:hAnsi="Verdana"/>
            <w:sz w:val="18"/>
            <w:szCs w:val="18"/>
          </w:rPr>
          <w:t>Publications Office (europa.eu)</w:t>
        </w:r>
      </w:hyperlink>
    </w:p>
    <w:p w14:paraId="1740ED5B" w14:textId="77777777" w:rsidR="006C48A8" w:rsidRPr="006C48A8" w:rsidRDefault="006C48A8" w:rsidP="006C48A8">
      <w:pPr>
        <w:spacing w:line="240" w:lineRule="atLeast"/>
        <w:rPr>
          <w:rFonts w:ascii="Verdana" w:hAnsi="Verdana"/>
          <w:sz w:val="18"/>
          <w:szCs w:val="18"/>
        </w:rPr>
      </w:pPr>
      <w:r w:rsidRPr="006C48A8">
        <w:rPr>
          <w:rFonts w:ascii="Verdana" w:hAnsi="Verdana"/>
          <w:sz w:val="18"/>
          <w:szCs w:val="18"/>
        </w:rPr>
        <w:t xml:space="preserve">De uitvoeringsverordening: </w:t>
      </w:r>
      <w:hyperlink r:id="rId9" w:history="1">
        <w:r w:rsidRPr="006C48A8">
          <w:rPr>
            <w:rStyle w:val="Hyperlink"/>
            <w:rFonts w:ascii="Verdana" w:hAnsi="Verdana"/>
            <w:sz w:val="18"/>
            <w:szCs w:val="18"/>
          </w:rPr>
          <w:t>Uitvoeringsverordening (EU) 2023/… van de Commissie van 10 juli 2023 houdende de nadere regeling voor procedures van de Commissie overeenkomstig Verordening (EU) 2022/2560 van het Europees Parlement en de Raad betreffende buitenlandse subsidies die de interne markt verstoren (europa.eu)</w:t>
        </w:r>
      </w:hyperlink>
    </w:p>
    <w:p w14:paraId="7CB74F0D" w14:textId="30DE77B4" w:rsidR="00E36A86" w:rsidRDefault="00E36A86" w:rsidP="006C48A8"/>
    <w:p w14:paraId="5D4CB9C7" w14:textId="77777777" w:rsidR="00E36A86" w:rsidRPr="00E36A86" w:rsidRDefault="00E36A86" w:rsidP="00E62E99">
      <w:pPr>
        <w:ind w:left="2124" w:hanging="2124"/>
        <w:rPr>
          <w:b/>
          <w:bCs/>
        </w:rPr>
      </w:pPr>
      <w:r w:rsidRPr="00E36A86">
        <w:rPr>
          <w:b/>
          <w:bCs/>
        </w:rPr>
        <w:t>Boordeling inschrijvingen</w:t>
      </w:r>
    </w:p>
    <w:p w14:paraId="4A6DFE03" w14:textId="219B125B" w:rsidR="00E36A86" w:rsidRDefault="00E36A86" w:rsidP="00E36A86">
      <w:r w:rsidRPr="00E36A86">
        <w:t xml:space="preserve">In </w:t>
      </w:r>
      <w:r>
        <w:t xml:space="preserve">hoofdstuk 5 </w:t>
      </w:r>
      <w:r w:rsidR="00C9119F">
        <w:t xml:space="preserve">‘Beoordeling’ </w:t>
      </w:r>
      <w:r>
        <w:t xml:space="preserve">van het aanbestedingsdocument wordt ingegaan op de beoordeling van de inschrijvingen. </w:t>
      </w:r>
      <w:r w:rsidRPr="00E36A86">
        <w:t>Inschrijver dient zich ervan bewust te zijn dat de toetsing, het onderzoek en (het afzien van) besluiten van de Commissie in het kader van de</w:t>
      </w:r>
      <w:r>
        <w:t xml:space="preserve"> </w:t>
      </w:r>
      <w:r w:rsidRPr="00E36A86">
        <w:t xml:space="preserve">Verordening, gevolgen kan hebben voor onderhavige aanbesteding en de gunning. In het uiterste geval kan het zijn dat de </w:t>
      </w:r>
      <w:r>
        <w:t>a</w:t>
      </w:r>
      <w:r w:rsidRPr="00E36A86">
        <w:t xml:space="preserve">anbestedende dienst niet mag overgaan/overgaat tot gunning aan de </w:t>
      </w:r>
      <w:r>
        <w:t>e</w:t>
      </w:r>
      <w:r w:rsidRPr="00E36A86">
        <w:t xml:space="preserve">conomisch meest voordelige </w:t>
      </w:r>
      <w:r>
        <w:t>i</w:t>
      </w:r>
      <w:r w:rsidRPr="00E36A86">
        <w:t xml:space="preserve">nschrijving en de betreffende </w:t>
      </w:r>
      <w:r>
        <w:t>i</w:t>
      </w:r>
      <w:r w:rsidRPr="00E36A86">
        <w:t>nschrijving moet afwijzen/afwijst.</w:t>
      </w:r>
    </w:p>
    <w:p w14:paraId="108B567D" w14:textId="77777777" w:rsidR="00E36A86" w:rsidRDefault="00E36A86" w:rsidP="00E36A86"/>
    <w:p w14:paraId="31C47760" w14:textId="3A7078A1" w:rsidR="00E36A86" w:rsidRPr="006C48A8" w:rsidRDefault="00E36A86" w:rsidP="00E36A86">
      <w:pPr>
        <w:rPr>
          <w:b/>
          <w:bCs/>
        </w:rPr>
      </w:pPr>
      <w:r w:rsidRPr="006C48A8">
        <w:rPr>
          <w:b/>
          <w:bCs/>
        </w:rPr>
        <w:t>Gestanddoeningstermijn inschrijving</w:t>
      </w:r>
    </w:p>
    <w:p w14:paraId="07D07FAD" w14:textId="551BF37D" w:rsidR="006C48A8" w:rsidRDefault="006C48A8" w:rsidP="006C48A8">
      <w:r>
        <w:t xml:space="preserve">In paragraaf 4.1.5 van het aanbestedingsdocument is de minimale gestanddoeningstermijn van de inschrijving vermeld. Ingeval de Commissie een onderzoek start als in deze bijlage vermeld, wordt de </w:t>
      </w:r>
      <w:r w:rsidR="00C9119F">
        <w:t>i</w:t>
      </w:r>
      <w:r>
        <w:t>n paragraaf 4.1.5 vermelde termijn gewijzigd in acht maanden. Het overig gestelde in paragraaf 4.1.5 blijf onverkort van toepassing.</w:t>
      </w:r>
    </w:p>
    <w:p w14:paraId="02CE760E" w14:textId="4593B4C0" w:rsidR="006C48A8" w:rsidRDefault="006C48A8" w:rsidP="00E36A86"/>
    <w:p w14:paraId="4E8A1666" w14:textId="228A2012" w:rsidR="006C48A8" w:rsidRDefault="006C48A8" w:rsidP="00E36A86"/>
    <w:sectPr w:rsidR="006C48A8">
      <w:footerReference w:type="even"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8D12D" w14:textId="77777777" w:rsidR="00C9119F" w:rsidRDefault="00C9119F" w:rsidP="00C9119F">
      <w:r>
        <w:separator/>
      </w:r>
    </w:p>
  </w:endnote>
  <w:endnote w:type="continuationSeparator" w:id="0">
    <w:p w14:paraId="44326E84" w14:textId="77777777" w:rsidR="00C9119F" w:rsidRDefault="00C9119F" w:rsidP="00C91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4687B" w14:textId="46B487EE" w:rsidR="00C9119F" w:rsidRDefault="00C9119F">
    <w:pPr>
      <w:pStyle w:val="Voettekst"/>
    </w:pPr>
    <w:r>
      <w:rPr>
        <w:noProof/>
      </w:rPr>
      <mc:AlternateContent>
        <mc:Choice Requires="wps">
          <w:drawing>
            <wp:anchor distT="0" distB="0" distL="0" distR="0" simplePos="0" relativeHeight="251659264" behindDoc="0" locked="0" layoutInCell="1" allowOverlap="1" wp14:anchorId="16CF86E9" wp14:editId="38C9C3B0">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431965" w14:textId="24320E3C" w:rsidR="00C9119F" w:rsidRPr="00C9119F" w:rsidRDefault="00C9119F" w:rsidP="00C9119F">
                          <w:pPr>
                            <w:rPr>
                              <w:rFonts w:eastAsia="Calibri"/>
                              <w:noProof/>
                              <w:color w:val="000000"/>
                              <w:sz w:val="20"/>
                              <w:szCs w:val="20"/>
                            </w:rPr>
                          </w:pPr>
                          <w:r w:rsidRPr="00C9119F">
                            <w:rPr>
                              <w:rFonts w:eastAsia="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6CF86E9"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37431965" w14:textId="24320E3C" w:rsidR="00C9119F" w:rsidRPr="00C9119F" w:rsidRDefault="00C9119F" w:rsidP="00C9119F">
                    <w:pPr>
                      <w:rPr>
                        <w:rFonts w:eastAsia="Calibri"/>
                        <w:noProof/>
                        <w:color w:val="000000"/>
                        <w:sz w:val="20"/>
                        <w:szCs w:val="20"/>
                      </w:rPr>
                    </w:pPr>
                    <w:r w:rsidRPr="00C9119F">
                      <w:rPr>
                        <w:rFonts w:eastAsia="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4185D" w14:textId="50F4CB07" w:rsidR="00C9119F" w:rsidRDefault="00C9119F">
    <w:pPr>
      <w:pStyle w:val="Voettekst"/>
    </w:pPr>
    <w:r>
      <w:rPr>
        <w:noProof/>
      </w:rPr>
      <mc:AlternateContent>
        <mc:Choice Requires="wps">
          <w:drawing>
            <wp:anchor distT="0" distB="0" distL="0" distR="0" simplePos="0" relativeHeight="251658240" behindDoc="0" locked="0" layoutInCell="1" allowOverlap="1" wp14:anchorId="5A1DB15F" wp14:editId="370FC704">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6E26F5" w14:textId="51D95CBF" w:rsidR="00C9119F" w:rsidRPr="00C9119F" w:rsidRDefault="00C9119F" w:rsidP="00C9119F">
                          <w:pPr>
                            <w:rPr>
                              <w:rFonts w:eastAsia="Calibri"/>
                              <w:noProof/>
                              <w:color w:val="000000"/>
                              <w:sz w:val="20"/>
                              <w:szCs w:val="20"/>
                            </w:rPr>
                          </w:pPr>
                          <w:r w:rsidRPr="00C9119F">
                            <w:rPr>
                              <w:rFonts w:eastAsia="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1DB15F" id="_x0000_t202" coordsize="21600,21600" o:spt="202" path="m,l,21600r21600,l21600,xe">
              <v:stroke joinstyle="miter"/>
              <v:path gradientshapeok="t" o:connecttype="rect"/>
            </v:shapetype>
            <v:shape id="Tekstvak 1" o:spid="_x0000_s1028"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396E26F5" w14:textId="51D95CBF" w:rsidR="00C9119F" w:rsidRPr="00C9119F" w:rsidRDefault="00C9119F" w:rsidP="00C9119F">
                    <w:pPr>
                      <w:rPr>
                        <w:rFonts w:eastAsia="Calibri"/>
                        <w:noProof/>
                        <w:color w:val="000000"/>
                        <w:sz w:val="20"/>
                        <w:szCs w:val="20"/>
                      </w:rPr>
                    </w:pPr>
                    <w:r w:rsidRPr="00C9119F">
                      <w:rPr>
                        <w:rFonts w:eastAsia="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9F74B" w14:textId="77777777" w:rsidR="00C9119F" w:rsidRDefault="00C9119F" w:rsidP="00C9119F">
      <w:r>
        <w:separator/>
      </w:r>
    </w:p>
  </w:footnote>
  <w:footnote w:type="continuationSeparator" w:id="0">
    <w:p w14:paraId="0406514C" w14:textId="77777777" w:rsidR="00C9119F" w:rsidRDefault="00C9119F" w:rsidP="00C911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51CF1"/>
    <w:multiLevelType w:val="hybridMultilevel"/>
    <w:tmpl w:val="BE1CCA3E"/>
    <w:lvl w:ilvl="0" w:tplc="9094E69E">
      <w:start w:val="2"/>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38024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E99"/>
    <w:rsid w:val="00320FE8"/>
    <w:rsid w:val="006C48A8"/>
    <w:rsid w:val="008856E8"/>
    <w:rsid w:val="008C4DCB"/>
    <w:rsid w:val="00A23634"/>
    <w:rsid w:val="00C9119F"/>
    <w:rsid w:val="00E36A86"/>
    <w:rsid w:val="00E62E99"/>
    <w:rsid w:val="00FE4D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2D85D6"/>
  <w15:chartTrackingRefBased/>
  <w15:docId w15:val="{AB66CD46-0A7E-4782-8BCA-296BEFD57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2E99"/>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62E99"/>
    <w:rPr>
      <w:color w:val="0000FF"/>
      <w:u w:val="single"/>
    </w:rPr>
  </w:style>
  <w:style w:type="paragraph" w:styleId="Lijstalinea">
    <w:name w:val="List Paragraph"/>
    <w:basedOn w:val="Standaard"/>
    <w:uiPriority w:val="34"/>
    <w:qFormat/>
    <w:rsid w:val="006C48A8"/>
    <w:pPr>
      <w:spacing w:after="160" w:line="259" w:lineRule="auto"/>
      <w:ind w:left="720"/>
      <w:contextualSpacing/>
    </w:pPr>
    <w:rPr>
      <w:rFonts w:asciiTheme="minorHAnsi" w:hAnsiTheme="minorHAnsi" w:cstheme="minorBidi"/>
    </w:rPr>
  </w:style>
  <w:style w:type="table" w:styleId="Tabelraster">
    <w:name w:val="Table Grid"/>
    <w:basedOn w:val="Standaardtabel"/>
    <w:uiPriority w:val="39"/>
    <w:rsid w:val="00C91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C9119F"/>
    <w:rPr>
      <w:sz w:val="16"/>
      <w:szCs w:val="16"/>
    </w:rPr>
  </w:style>
  <w:style w:type="paragraph" w:styleId="Tekstopmerking">
    <w:name w:val="annotation text"/>
    <w:basedOn w:val="Standaard"/>
    <w:link w:val="TekstopmerkingChar"/>
    <w:uiPriority w:val="99"/>
    <w:unhideWhenUsed/>
    <w:rsid w:val="00C9119F"/>
    <w:rPr>
      <w:sz w:val="20"/>
      <w:szCs w:val="20"/>
    </w:rPr>
  </w:style>
  <w:style w:type="character" w:customStyle="1" w:styleId="TekstopmerkingChar">
    <w:name w:val="Tekst opmerking Char"/>
    <w:basedOn w:val="Standaardalinea-lettertype"/>
    <w:link w:val="Tekstopmerking"/>
    <w:uiPriority w:val="99"/>
    <w:rsid w:val="00C9119F"/>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C9119F"/>
    <w:rPr>
      <w:b/>
      <w:bCs/>
    </w:rPr>
  </w:style>
  <w:style w:type="character" w:customStyle="1" w:styleId="OnderwerpvanopmerkingChar">
    <w:name w:val="Onderwerp van opmerking Char"/>
    <w:basedOn w:val="TekstopmerkingChar"/>
    <w:link w:val="Onderwerpvanopmerking"/>
    <w:uiPriority w:val="99"/>
    <w:semiHidden/>
    <w:rsid w:val="00C9119F"/>
    <w:rPr>
      <w:rFonts w:ascii="Calibri" w:hAnsi="Calibri" w:cs="Calibri"/>
      <w:b/>
      <w:bCs/>
      <w:sz w:val="20"/>
      <w:szCs w:val="20"/>
    </w:rPr>
  </w:style>
  <w:style w:type="paragraph" w:styleId="Voettekst">
    <w:name w:val="footer"/>
    <w:basedOn w:val="Standaard"/>
    <w:link w:val="VoettekstChar"/>
    <w:uiPriority w:val="99"/>
    <w:unhideWhenUsed/>
    <w:rsid w:val="00C9119F"/>
    <w:pPr>
      <w:tabs>
        <w:tab w:val="center" w:pos="4536"/>
        <w:tab w:val="right" w:pos="9072"/>
      </w:tabs>
    </w:pPr>
  </w:style>
  <w:style w:type="character" w:customStyle="1" w:styleId="VoettekstChar">
    <w:name w:val="Voettekst Char"/>
    <w:basedOn w:val="Standaardalinea-lettertype"/>
    <w:link w:val="Voettekst"/>
    <w:uiPriority w:val="99"/>
    <w:rsid w:val="00C9119F"/>
    <w:rPr>
      <w:rFonts w:ascii="Calibri" w:hAnsi="Calibri" w:cs="Calibri"/>
    </w:rPr>
  </w:style>
  <w:style w:type="paragraph" w:styleId="Koptekst">
    <w:name w:val="header"/>
    <w:basedOn w:val="Standaard"/>
    <w:link w:val="KoptekstChar"/>
    <w:uiPriority w:val="99"/>
    <w:unhideWhenUsed/>
    <w:rsid w:val="00A23634"/>
    <w:pPr>
      <w:tabs>
        <w:tab w:val="center" w:pos="4536"/>
        <w:tab w:val="right" w:pos="9072"/>
      </w:tabs>
    </w:pPr>
  </w:style>
  <w:style w:type="character" w:customStyle="1" w:styleId="KoptekstChar">
    <w:name w:val="Koptekst Char"/>
    <w:basedOn w:val="Standaardalinea-lettertype"/>
    <w:link w:val="Koptekst"/>
    <w:uiPriority w:val="99"/>
    <w:rsid w:val="00A23634"/>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42758">
      <w:bodyDiv w:val="1"/>
      <w:marLeft w:val="0"/>
      <w:marRight w:val="0"/>
      <w:marTop w:val="0"/>
      <w:marBottom w:val="0"/>
      <w:divBdr>
        <w:top w:val="none" w:sz="0" w:space="0" w:color="auto"/>
        <w:left w:val="none" w:sz="0" w:space="0" w:color="auto"/>
        <w:bottom w:val="none" w:sz="0" w:space="0" w:color="auto"/>
        <w:right w:val="none" w:sz="0" w:space="0" w:color="auto"/>
      </w:divBdr>
    </w:div>
    <w:div w:id="29237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NL/TXT/PDF/?uri=CELEX:32022R2560&amp;from=E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ur-lex.europa.eu/legal-content/NL/TXT/PDF/?uri=CELEX:32023R144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ur-lex.europa.eu/legal-content/NL/TXT/PDF/?uri=CELEX:32023R144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1387</Words>
  <Characters>7630</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Duijnisveld, mr. A.P. (Anne)</dc:creator>
  <cp:keywords/>
  <dc:description/>
  <cp:lastModifiedBy>Weide, E.G.A. van der (Ebbing)</cp:lastModifiedBy>
  <cp:revision>4</cp:revision>
  <dcterms:created xsi:type="dcterms:W3CDTF">2023-10-12T17:54:00Z</dcterms:created>
  <dcterms:modified xsi:type="dcterms:W3CDTF">2023-10-13T10:10:00Z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