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6353" w14:textId="6B859B2E" w:rsidR="009D499E" w:rsidRDefault="009D499E" w:rsidP="009D499E">
      <w:pPr>
        <w:pStyle w:val="Kop1"/>
      </w:pPr>
      <w:r w:rsidRPr="009D499E">
        <w:t xml:space="preserve">Bijlage </w:t>
      </w:r>
      <w:proofErr w:type="gramStart"/>
      <w:r w:rsidR="0086599D">
        <w:t>62</w:t>
      </w:r>
      <w:r w:rsidRPr="009D499E">
        <w:t xml:space="preserve"> :</w:t>
      </w:r>
      <w:proofErr w:type="gramEnd"/>
      <w:r>
        <w:t xml:space="preserve"> Demarcatiedocument regeltechnische en algemene verlichtingsinstallaties</w:t>
      </w:r>
    </w:p>
    <w:p w14:paraId="09BE457E" w14:textId="77777777" w:rsidR="009D499E" w:rsidRDefault="009D499E" w:rsidP="009D499E">
      <w:pPr>
        <w:pStyle w:val="Kop2"/>
      </w:pPr>
      <w:r>
        <w:t>1 Inleiding</w:t>
      </w:r>
    </w:p>
    <w:p w14:paraId="3E33EBBE" w14:textId="0C115BD7" w:rsidR="009D499E" w:rsidRDefault="009D499E" w:rsidP="009D499E">
      <w:pPr>
        <w:pStyle w:val="Geenafstand"/>
      </w:pPr>
      <w:r>
        <w:t xml:space="preserve">Voor het project “43201 Vervangen Noodverlichting Walterboscomplex en </w:t>
      </w:r>
      <w:proofErr w:type="spellStart"/>
      <w:r>
        <w:t>Quintax</w:t>
      </w:r>
      <w:proofErr w:type="spellEnd"/>
      <w:r>
        <w:t xml:space="preserve"> Apeldoorn” (hierna te noemen “project Noodverlichting”) waarbij zowel in het Walterboscomplex en </w:t>
      </w:r>
      <w:proofErr w:type="spellStart"/>
      <w:r>
        <w:t>Quintax</w:t>
      </w:r>
      <w:proofErr w:type="spellEnd"/>
      <w:r>
        <w:t xml:space="preserve"> de noodverlichtingsinstallatie</w:t>
      </w:r>
      <w:r w:rsidR="00134611">
        <w:t>s</w:t>
      </w:r>
      <w:r>
        <w:t xml:space="preserve"> vervangen c.q. geüpgraded worden, is het noodzakelijk om de raakvlakken te beheersen met de overige op deze locaties lopende projecten.</w:t>
      </w:r>
    </w:p>
    <w:p w14:paraId="1AF313D0" w14:textId="77777777" w:rsidR="009D499E" w:rsidRDefault="009D499E" w:rsidP="009D499E">
      <w:pPr>
        <w:pStyle w:val="Geenafstand"/>
      </w:pPr>
    </w:p>
    <w:p w14:paraId="68E7BCBA" w14:textId="06AF3F05" w:rsidR="009D499E" w:rsidRDefault="009D499E" w:rsidP="009D499E">
      <w:pPr>
        <w:pStyle w:val="Geenafstand"/>
      </w:pPr>
      <w:r>
        <w:t xml:space="preserve">Momenteel loopt het “GBS Migratie Regeltechniek” project, waarbij het bestaande </w:t>
      </w:r>
      <w:proofErr w:type="spellStart"/>
      <w:r>
        <w:t>iFix</w:t>
      </w:r>
      <w:proofErr w:type="spellEnd"/>
      <w:r>
        <w:t xml:space="preserve"> gebouwbeheersysteem compleet wordt vervangen naar het Siemens gebouwbeheersysteem. </w:t>
      </w:r>
      <w:proofErr w:type="gramStart"/>
      <w:r w:rsidRPr="009D499E">
        <w:t>Tevens</w:t>
      </w:r>
      <w:proofErr w:type="gramEnd"/>
      <w:r w:rsidRPr="009D499E">
        <w:t xml:space="preserve"> loopt het project “22680 Vervangen Verlichting”</w:t>
      </w:r>
      <w:r>
        <w:t xml:space="preserve"> waarbij bestaande fluorescentie armaturen vervangen c.q. omgebouwd worden naar LED-armaturen. Met het vervangen van de noodverlichtingsinstallatie</w:t>
      </w:r>
      <w:r w:rsidR="00134611">
        <w:t>s</w:t>
      </w:r>
      <w:r>
        <w:t xml:space="preserve"> ontstaat een raakvlak op het gebied van de regeltechnische aansturing en uitvoeringswerkzaamheden op locatie. </w:t>
      </w:r>
    </w:p>
    <w:p w14:paraId="47C86181" w14:textId="77777777" w:rsidR="009D499E" w:rsidRDefault="009D499E" w:rsidP="009D499E">
      <w:pPr>
        <w:pStyle w:val="Geenafstand"/>
      </w:pPr>
    </w:p>
    <w:p w14:paraId="1D400A35" w14:textId="2675C9D4" w:rsidR="009D499E" w:rsidRDefault="009D499E" w:rsidP="009D499E">
      <w:pPr>
        <w:pStyle w:val="Geenafstand"/>
      </w:pPr>
      <w:r>
        <w:t>Dit document beschrijft de verantwoordelijkheden van de aannemer die van het Rijksvastgoedbedrijf de opdracht ontvangt voor “project Noodverlichting”, om de risico’s voor het hiervoor benoemde raakvlak te beheersen.</w:t>
      </w:r>
    </w:p>
    <w:p w14:paraId="36A31228" w14:textId="77777777" w:rsidR="009D499E" w:rsidRDefault="009D499E" w:rsidP="009D499E">
      <w:pPr>
        <w:pStyle w:val="Geenafstand"/>
      </w:pPr>
    </w:p>
    <w:p w14:paraId="21466BA1" w14:textId="7C5957E0" w:rsidR="009D499E" w:rsidRDefault="009D499E" w:rsidP="009D499E">
      <w:pPr>
        <w:pStyle w:val="Geenafstand"/>
      </w:pPr>
      <w:r>
        <w:t xml:space="preserve">Vanuit het onderhoudscontract is de zogenaamde IBC-contractant, beheer- en onderhoud installaties, Heijmans Apeldoorn, verantwoordelijk voor storingsopvolging. Bij werkzaamheden aan installaties ontstaat er een raakvlak met beheer en onderhoud. Deze demarcatie is beschreven in het document “storingsopvolging Programma Belastingdienst WBC en </w:t>
      </w:r>
      <w:proofErr w:type="spellStart"/>
      <w:r>
        <w:t>Quintax</w:t>
      </w:r>
      <w:proofErr w:type="spellEnd"/>
      <w:r>
        <w:t>”.</w:t>
      </w:r>
    </w:p>
    <w:p w14:paraId="614805BA" w14:textId="77777777" w:rsidR="009D499E" w:rsidRDefault="009D499E" w:rsidP="009D499E">
      <w:pPr>
        <w:pStyle w:val="Geenafstand"/>
      </w:pPr>
    </w:p>
    <w:p w14:paraId="259BD00A" w14:textId="77777777" w:rsidR="009D499E" w:rsidRDefault="009D499E" w:rsidP="009D499E">
      <w:pPr>
        <w:pStyle w:val="Kop2"/>
      </w:pPr>
      <w:r>
        <w:t>2 Tijdlijn</w:t>
      </w:r>
    </w:p>
    <w:p w14:paraId="4C35E962" w14:textId="4FC56D31" w:rsidR="009D499E" w:rsidRDefault="009D499E" w:rsidP="009D499E">
      <w:pPr>
        <w:pStyle w:val="Geenafstand"/>
      </w:pPr>
      <w:r>
        <w:t xml:space="preserve">Het GBS Migratie Regeltechniek project voor de vervanging van het gebouwbeheersysteem, op zowel Belastingdienst locatie </w:t>
      </w:r>
      <w:proofErr w:type="spellStart"/>
      <w:r>
        <w:t>Quintax</w:t>
      </w:r>
      <w:proofErr w:type="spellEnd"/>
      <w:r>
        <w:t xml:space="preserve"> als locatie WBC, is in 2022 gestart en loopt tot eind 2026. Het Vervangen Verlichtingsproject is gestart in 2026 en loopt tot </w:t>
      </w:r>
      <w:r w:rsidRPr="009D499E">
        <w:t>juli 2027</w:t>
      </w:r>
      <w:r>
        <w:t>.</w:t>
      </w:r>
    </w:p>
    <w:p w14:paraId="0098AF3E" w14:textId="77777777" w:rsidR="009D499E" w:rsidRDefault="009D499E" w:rsidP="009D499E">
      <w:pPr>
        <w:pStyle w:val="Geenafstand"/>
      </w:pPr>
    </w:p>
    <w:p w14:paraId="4B474119" w14:textId="0C0562DF" w:rsidR="009D499E" w:rsidRPr="00BD1423" w:rsidRDefault="009D499E" w:rsidP="009D499E">
      <w:pPr>
        <w:pStyle w:val="Geenafstand"/>
      </w:pPr>
      <w:r w:rsidRPr="00BD1423">
        <w:t>In deze periode wordt de regeltechniek en bijbehorende GBS-infrastructuur op beide locaties volledig vervangen naar het Siemens gebouwbeheersysteem.</w:t>
      </w:r>
      <w:r w:rsidR="00BD1423" w:rsidRPr="00BD1423">
        <w:t xml:space="preserve"> De aannemer “Vervangen Verlichting” is </w:t>
      </w:r>
      <w:proofErr w:type="gramStart"/>
      <w:r w:rsidR="00134611">
        <w:t>tevens</w:t>
      </w:r>
      <w:proofErr w:type="gramEnd"/>
      <w:r w:rsidR="00134611">
        <w:t xml:space="preserve"> </w:t>
      </w:r>
      <w:r w:rsidR="00BD1423" w:rsidRPr="00BD1423">
        <w:t>op beide locaties bezig met het ombouwen c.q. vervangen van algemene verlichting.</w:t>
      </w:r>
    </w:p>
    <w:p w14:paraId="1BCD6F60" w14:textId="77777777" w:rsidR="009D499E" w:rsidRDefault="009D499E" w:rsidP="009D499E">
      <w:pPr>
        <w:pStyle w:val="Geenafstand"/>
      </w:pPr>
    </w:p>
    <w:p w14:paraId="33366E4C" w14:textId="77777777" w:rsidR="009D499E" w:rsidRDefault="009D499E" w:rsidP="009D499E">
      <w:pPr>
        <w:pStyle w:val="Kop2"/>
      </w:pPr>
      <w:r>
        <w:t>3 Algemeen uitgangspunt</w:t>
      </w:r>
    </w:p>
    <w:p w14:paraId="4A322AD5" w14:textId="29AC5CD0" w:rsidR="009D499E" w:rsidRPr="00BD1423" w:rsidRDefault="009D499E" w:rsidP="009D499E">
      <w:pPr>
        <w:pStyle w:val="Geenafstand"/>
      </w:pPr>
      <w:r w:rsidRPr="00BD1423">
        <w:t xml:space="preserve">De aannemer die in aanmerking komt voor het project “Vervangen </w:t>
      </w:r>
      <w:r w:rsidR="00BD1423" w:rsidRPr="00BD1423">
        <w:t>Nood</w:t>
      </w:r>
      <w:r w:rsidRPr="00BD1423">
        <w:t>verlichting” moet de nieuwe installaties inkoppelen</w:t>
      </w:r>
      <w:r w:rsidR="00134611">
        <w:t xml:space="preserve">/overzetten </w:t>
      </w:r>
      <w:r w:rsidRPr="00BD1423">
        <w:t>op het nieuwe gebouwbeheersysteem en is verplicht om dit door de aannemer van het GBS Migratie Regeltechniek project te laten uitvoeren.</w:t>
      </w:r>
      <w:r w:rsidR="00BD1423">
        <w:t xml:space="preserve"> Dit geldt </w:t>
      </w:r>
      <w:proofErr w:type="gramStart"/>
      <w:r w:rsidR="00BD1423">
        <w:t>tevens</w:t>
      </w:r>
      <w:proofErr w:type="gramEnd"/>
      <w:r w:rsidR="00BD1423">
        <w:t xml:space="preserve"> voor het aanpassen van sturingen en signaleringen, zowel nieuwe als bestaande sturingen en signaleringen.</w:t>
      </w:r>
    </w:p>
    <w:p w14:paraId="6FC0B1BA" w14:textId="77777777" w:rsidR="00BD1423" w:rsidRDefault="00BD1423" w:rsidP="009D499E">
      <w:pPr>
        <w:pStyle w:val="Geenafstand"/>
        <w:rPr>
          <w:color w:val="EE0000"/>
        </w:rPr>
      </w:pPr>
    </w:p>
    <w:p w14:paraId="01A20353" w14:textId="3C583E2F" w:rsidR="009D499E" w:rsidRPr="00134611" w:rsidRDefault="009D499E" w:rsidP="009D499E">
      <w:pPr>
        <w:pStyle w:val="Geenafstand"/>
      </w:pPr>
      <w:r w:rsidRPr="00134611">
        <w:t xml:space="preserve">De aannemer van het project “Vervangen </w:t>
      </w:r>
      <w:r w:rsidR="00BD1423" w:rsidRPr="00134611">
        <w:t>Nood</w:t>
      </w:r>
      <w:r w:rsidRPr="00134611">
        <w:t>verlichting” is verplicht de coördinatie met de aannemer (Unica) van het “GBS Migratie Regeltechniek” project op zich te nemen.</w:t>
      </w:r>
      <w:r w:rsidR="00BD1423" w:rsidRPr="00134611">
        <w:t xml:space="preserve"> </w:t>
      </w:r>
      <w:proofErr w:type="gramStart"/>
      <w:r w:rsidR="00BD1423" w:rsidRPr="00134611">
        <w:t>Tevens</w:t>
      </w:r>
      <w:proofErr w:type="gramEnd"/>
      <w:r w:rsidR="00BD1423" w:rsidRPr="00134611">
        <w:t xml:space="preserve"> heeft de aannemer van het project “Vervangen Noodverlichting” de verplichting </w:t>
      </w:r>
      <w:r w:rsidR="00134611" w:rsidRPr="00134611">
        <w:t>zijn werkzaamheden te coördineren met de aannemer “Vervangen Verlichting”.</w:t>
      </w:r>
    </w:p>
    <w:p w14:paraId="3F6647BE" w14:textId="4A148A91" w:rsidR="009D499E" w:rsidRPr="00134611" w:rsidRDefault="009D499E" w:rsidP="009D499E">
      <w:pPr>
        <w:pStyle w:val="Geenafstand"/>
      </w:pPr>
      <w:r w:rsidRPr="00134611">
        <w:lastRenderedPageBreak/>
        <w:t xml:space="preserve">De regeltechnische integratie van de </w:t>
      </w:r>
      <w:r w:rsidR="00134611" w:rsidRPr="00134611">
        <w:t>Nood</w:t>
      </w:r>
      <w:r w:rsidRPr="00134611">
        <w:t xml:space="preserve">verlichting in het nieuwe GBS kent een aantal stappen. Het is belangrijk om per stap een actiehouder aan te wijzen. In </w:t>
      </w:r>
      <w:r w:rsidR="00134611" w:rsidRPr="00134611">
        <w:t>de “Demarcatie Tabel</w:t>
      </w:r>
      <w:proofErr w:type="gramStart"/>
      <w:r w:rsidR="00134611">
        <w:t>”</w:t>
      </w:r>
      <w:r w:rsidR="00134611" w:rsidRPr="00134611">
        <w:t xml:space="preserve"> </w:t>
      </w:r>
      <w:r w:rsidRPr="00134611">
        <w:t xml:space="preserve"> staan</w:t>
      </w:r>
      <w:proofErr w:type="gramEnd"/>
      <w:r w:rsidRPr="00134611">
        <w:t xml:space="preserve"> de stappen en acties met de bijbehorende actiehouder beschreven. De eindverantwoordelijkheid voor een optimaal werkend en regelend systeem ligt bij de aannemer van het project “Vervangen </w:t>
      </w:r>
      <w:r w:rsidR="00134611" w:rsidRPr="00134611">
        <w:t>Nood</w:t>
      </w:r>
      <w:r w:rsidRPr="00134611">
        <w:t>verlichting”.</w:t>
      </w:r>
    </w:p>
    <w:p w14:paraId="51DB0D87" w14:textId="77777777" w:rsidR="009D499E" w:rsidRDefault="009D499E" w:rsidP="009D499E">
      <w:pPr>
        <w:pStyle w:val="Geenafstand"/>
      </w:pPr>
    </w:p>
    <w:p w14:paraId="5BA2E09D" w14:textId="77777777" w:rsidR="009D499E" w:rsidRDefault="009D499E" w:rsidP="009D499E">
      <w:pPr>
        <w:pStyle w:val="Kop2"/>
      </w:pPr>
      <w:r>
        <w:t>4 Verantwoordelijkheden</w:t>
      </w:r>
    </w:p>
    <w:p w14:paraId="128FC872" w14:textId="23DEEA91" w:rsidR="009D499E" w:rsidRPr="00BD1423" w:rsidRDefault="009D499E" w:rsidP="009D499E">
      <w:pPr>
        <w:pStyle w:val="Geenafstand"/>
      </w:pPr>
      <w:r w:rsidRPr="00BD1423">
        <w:t xml:space="preserve">In </w:t>
      </w:r>
      <w:r w:rsidR="00BD1423" w:rsidRPr="00BD1423">
        <w:t>de “Demarcatie Tabel”</w:t>
      </w:r>
      <w:r w:rsidRPr="00BD1423">
        <w:t xml:space="preserve"> staan de activiteiten voor de aannemer van het project “Vervangen </w:t>
      </w:r>
      <w:r w:rsidR="00BD1423" w:rsidRPr="00BD1423">
        <w:t>Nood</w:t>
      </w:r>
      <w:r w:rsidRPr="00BD1423">
        <w:t xml:space="preserve">verlichting” en de </w:t>
      </w:r>
      <w:proofErr w:type="gramStart"/>
      <w:r w:rsidRPr="00BD1423">
        <w:t>aannemer(</w:t>
      </w:r>
      <w:proofErr w:type="gramEnd"/>
      <w:r w:rsidRPr="00BD1423">
        <w:t xml:space="preserve">Unica) van het GBS Migratie Regeltechniek project voor vervanging van de GBS-systemen </w:t>
      </w:r>
      <w:r w:rsidR="00BD1423" w:rsidRPr="00BD1423">
        <w:t xml:space="preserve">en </w:t>
      </w:r>
      <w:r w:rsidR="00134611">
        <w:t xml:space="preserve">de aannemer </w:t>
      </w:r>
      <w:r w:rsidR="00BD1423" w:rsidRPr="00BD1423">
        <w:t>“project Vervangen Verlichting” aangegeven.</w:t>
      </w:r>
    </w:p>
    <w:p w14:paraId="28091875" w14:textId="77777777" w:rsidR="00BD1423" w:rsidRDefault="00BD1423" w:rsidP="009D499E">
      <w:pPr>
        <w:pStyle w:val="Geenafstand"/>
        <w:rPr>
          <w:color w:val="EE0000"/>
        </w:rPr>
      </w:pPr>
    </w:p>
    <w:p w14:paraId="310975FC" w14:textId="5CD70970" w:rsidR="009D499E" w:rsidRPr="00BD1423" w:rsidRDefault="009D499E" w:rsidP="009D499E">
      <w:pPr>
        <w:pStyle w:val="Geenafstand"/>
      </w:pPr>
      <w:r w:rsidRPr="00BD1423">
        <w:t xml:space="preserve">De aannemer die in aanmerking komt voor het project “Vervangen </w:t>
      </w:r>
      <w:r w:rsidR="00BD1423" w:rsidRPr="00BD1423">
        <w:t>Nood</w:t>
      </w:r>
      <w:r w:rsidRPr="00BD1423">
        <w:t xml:space="preserve">verlichting” is eindverantwoordelijk voor alle activiteiten die noodzakelijk zijn om de nieuwe </w:t>
      </w:r>
      <w:r w:rsidR="00BD1423" w:rsidRPr="00BD1423">
        <w:t>nood</w:t>
      </w:r>
      <w:r w:rsidRPr="00BD1423">
        <w:t>verlichtingsinstallatie volledig in het GBS te integreren</w:t>
      </w:r>
      <w:r w:rsidR="00134611">
        <w:t xml:space="preserve">, dit geldt </w:t>
      </w:r>
      <w:proofErr w:type="gramStart"/>
      <w:r w:rsidR="00134611">
        <w:t>tevens</w:t>
      </w:r>
      <w:proofErr w:type="gramEnd"/>
      <w:r w:rsidR="00134611">
        <w:t xml:space="preserve"> voor de raakvlakken met het project “Vervangen Verlichting”. </w:t>
      </w:r>
    </w:p>
    <w:p w14:paraId="5EC15817" w14:textId="77777777" w:rsidR="00BD1423" w:rsidRDefault="00BD1423" w:rsidP="009D499E">
      <w:pPr>
        <w:pStyle w:val="Geenafstand"/>
        <w:rPr>
          <w:color w:val="EE0000"/>
        </w:rPr>
      </w:pPr>
    </w:p>
    <w:p w14:paraId="530023B4" w14:textId="497EEB95" w:rsidR="009D499E" w:rsidRPr="00BD1423" w:rsidRDefault="009D499E" w:rsidP="009D499E">
      <w:pPr>
        <w:pStyle w:val="Geenafstand"/>
      </w:pPr>
      <w:r w:rsidRPr="00BD1423">
        <w:t xml:space="preserve">De aannemer (Unica) die het GBS Migratie Regeltechniek project uitvoert, moet de regeltechnische </w:t>
      </w:r>
      <w:proofErr w:type="spellStart"/>
      <w:r w:rsidRPr="00BD1423">
        <w:t>inkoppeling</w:t>
      </w:r>
      <w:proofErr w:type="spellEnd"/>
      <w:r w:rsidRPr="00BD1423">
        <w:t xml:space="preserve"> zo goed mogelijk ondersteunen en moet de aannemer voor “</w:t>
      </w:r>
      <w:r w:rsidR="00BD1423" w:rsidRPr="00BD1423">
        <w:t>V</w:t>
      </w:r>
      <w:r w:rsidRPr="00BD1423">
        <w:t>ervang</w:t>
      </w:r>
      <w:r w:rsidR="00BD1423" w:rsidRPr="00BD1423">
        <w:t>en Nood</w:t>
      </w:r>
      <w:r w:rsidRPr="00BD1423">
        <w:t xml:space="preserve">verlichting Walterboscomplex en </w:t>
      </w:r>
      <w:proofErr w:type="spellStart"/>
      <w:r w:rsidRPr="00BD1423">
        <w:t>Quintax</w:t>
      </w:r>
      <w:proofErr w:type="spellEnd"/>
      <w:r w:rsidRPr="00BD1423">
        <w:t xml:space="preserve"> Apeldoorn” bijstaan op gebied van overeengekomen projectstandaards. Ook als het gaat om projectafspraken </w:t>
      </w:r>
      <w:proofErr w:type="gramStart"/>
      <w:r w:rsidRPr="00BD1423">
        <w:t>aangaande</w:t>
      </w:r>
      <w:proofErr w:type="gramEnd"/>
      <w:r w:rsidRPr="00BD1423">
        <w:t xml:space="preserve"> de regeltechniek, moet de aannemer (Unica) GBS Migratie Regeltechniek project voor vervanging van het GBS deze delen met de aannemer voor het project “Vervangen </w:t>
      </w:r>
      <w:r w:rsidR="00BD1423" w:rsidRPr="00BD1423">
        <w:t>Nood</w:t>
      </w:r>
      <w:r w:rsidRPr="00BD1423">
        <w:t>verlichting”.</w:t>
      </w:r>
    </w:p>
    <w:p w14:paraId="4766A474" w14:textId="77777777" w:rsidR="009D499E" w:rsidRDefault="009D499E" w:rsidP="009D499E">
      <w:pPr>
        <w:pStyle w:val="Geenafstand"/>
      </w:pPr>
    </w:p>
    <w:p w14:paraId="47BFDDD7" w14:textId="77777777" w:rsidR="009D499E" w:rsidRDefault="009D499E" w:rsidP="009D499E">
      <w:pPr>
        <w:pStyle w:val="Kop2"/>
      </w:pPr>
      <w:r>
        <w:t>5 Garantie</w:t>
      </w:r>
    </w:p>
    <w:p w14:paraId="26AE69EF" w14:textId="77777777" w:rsidR="009D499E" w:rsidRPr="00BD1423" w:rsidRDefault="009D499E" w:rsidP="009D499E">
      <w:pPr>
        <w:pStyle w:val="Geenafstand"/>
      </w:pPr>
      <w:r w:rsidRPr="00BD1423">
        <w:t>Na oplevering en de afhandeling van de restpunten, start de garantieperiode. Indien er gedurende de garantieperiode een storing of probleem optreedt, waarvan de indruk ontstaat dat hieraan een regeltechnische oorzaak ten grondslag ligt, is de afhandeling als volgt:</w:t>
      </w:r>
    </w:p>
    <w:p w14:paraId="0C22ADB9" w14:textId="77777777" w:rsidR="009D499E" w:rsidRPr="00BD1423" w:rsidRDefault="009D499E" w:rsidP="009D499E">
      <w:pPr>
        <w:pStyle w:val="Geenafstand"/>
      </w:pPr>
      <w:r w:rsidRPr="00BD1423">
        <w:t>1. De beheersorganisatie TSA meldt in de garantieperiode de storing/</w:t>
      </w:r>
    </w:p>
    <w:p w14:paraId="296F5904" w14:textId="145396AA" w:rsidR="009D499E" w:rsidRPr="00BD1423" w:rsidRDefault="009D499E" w:rsidP="009D499E">
      <w:pPr>
        <w:pStyle w:val="Geenafstand"/>
      </w:pPr>
      <w:proofErr w:type="gramStart"/>
      <w:r w:rsidRPr="00BD1423">
        <w:t>het</w:t>
      </w:r>
      <w:proofErr w:type="gramEnd"/>
      <w:r w:rsidRPr="00BD1423">
        <w:t xml:space="preserve"> probleem bij onderhoudspartij Heijmans. Als Heijmans de aannemer van het project “Vervangen </w:t>
      </w:r>
      <w:r w:rsidR="00BD1423" w:rsidRPr="00BD1423">
        <w:t>Nood</w:t>
      </w:r>
      <w:r w:rsidRPr="00BD1423">
        <w:t xml:space="preserve">verlichting” nodig heeft in het oplossen van de storing/ het probleem, wordt de aannemer van het project “Vervangen </w:t>
      </w:r>
      <w:r w:rsidR="00BD1423" w:rsidRPr="00BD1423">
        <w:t>Nood</w:t>
      </w:r>
      <w:r w:rsidRPr="00BD1423">
        <w:t>verlichting” dan wel Unica ingeschakeld.</w:t>
      </w:r>
    </w:p>
    <w:p w14:paraId="2FB6BAE2" w14:textId="1338B673" w:rsidR="009D499E" w:rsidRPr="00BD1423" w:rsidRDefault="009D499E" w:rsidP="009D499E">
      <w:pPr>
        <w:pStyle w:val="Geenafstand"/>
      </w:pPr>
      <w:r w:rsidRPr="00BD1423">
        <w:t xml:space="preserve">2. Na oplossen van de storing, worden de bevindingen teruggekoppeld aan de beheersorganisatie TSA en Heijmans door de aannemer van het “Vervangen </w:t>
      </w:r>
      <w:r w:rsidR="00BD1423" w:rsidRPr="00BD1423">
        <w:t>Nood</w:t>
      </w:r>
      <w:r w:rsidRPr="00BD1423">
        <w:t>verlichting” project dan wel Unica.</w:t>
      </w:r>
    </w:p>
    <w:p w14:paraId="102C2E12" w14:textId="77777777" w:rsidR="009D499E" w:rsidRPr="00BD1423" w:rsidRDefault="009D499E" w:rsidP="009D499E">
      <w:pPr>
        <w:pStyle w:val="Geenafstand"/>
      </w:pPr>
      <w:r w:rsidRPr="00BD1423">
        <w:t>3. Gedurende de garantieperiode wordt een logboek bijgehouden, zodat voor het aflopen van de garantieperiode een overzicht beschikbaar is met de afwijkingen die zijn opgetreden (mag ook digitaal in GBS worden gedocumenteerd en aangeboden).</w:t>
      </w:r>
    </w:p>
    <w:p w14:paraId="09F02456" w14:textId="66DA3FAC" w:rsidR="009D499E" w:rsidRPr="00BD1423" w:rsidRDefault="009D499E" w:rsidP="009D499E">
      <w:pPr>
        <w:pStyle w:val="Geenafstand"/>
      </w:pPr>
      <w:r w:rsidRPr="00BD1423">
        <w:t xml:space="preserve">De verantwoordelijkheid voor de afhandeling van garantie, zaken zoals contractueel overeengekomen, ligt primair bij de aannemer voor het project “Vervangen </w:t>
      </w:r>
      <w:r w:rsidR="00BD1423" w:rsidRPr="00BD1423">
        <w:t>Nood</w:t>
      </w:r>
      <w:r w:rsidRPr="00BD1423">
        <w:t>verlichting”.</w:t>
      </w:r>
    </w:p>
    <w:p w14:paraId="40780B8D" w14:textId="77777777" w:rsidR="009D499E" w:rsidRDefault="009D499E" w:rsidP="009D499E">
      <w:pPr>
        <w:pStyle w:val="Geenafstand"/>
      </w:pPr>
    </w:p>
    <w:tbl>
      <w:tblPr>
        <w:tblStyle w:val="Tabelraster"/>
        <w:tblW w:w="0" w:type="auto"/>
        <w:tblLook w:val="04A0" w:firstRow="1" w:lastRow="0" w:firstColumn="1" w:lastColumn="0" w:noHBand="0" w:noVBand="1"/>
      </w:tblPr>
      <w:tblGrid>
        <w:gridCol w:w="582"/>
        <w:gridCol w:w="2821"/>
        <w:gridCol w:w="1915"/>
        <w:gridCol w:w="1807"/>
        <w:gridCol w:w="1937"/>
      </w:tblGrid>
      <w:tr w:rsidR="009D499E" w14:paraId="7B0E70B4" w14:textId="77777777" w:rsidTr="00BD1423">
        <w:tc>
          <w:tcPr>
            <w:tcW w:w="9062" w:type="dxa"/>
            <w:gridSpan w:val="5"/>
          </w:tcPr>
          <w:p w14:paraId="0F16DC4F" w14:textId="77777777" w:rsidR="009D499E" w:rsidRPr="00C14140" w:rsidRDefault="009D499E" w:rsidP="001B17D9">
            <w:pPr>
              <w:rPr>
                <w:b/>
                <w:bCs/>
              </w:rPr>
            </w:pPr>
            <w:r w:rsidRPr="00C14140">
              <w:rPr>
                <w:b/>
                <w:bCs/>
              </w:rPr>
              <w:t xml:space="preserve">Demarcatie </w:t>
            </w:r>
            <w:r>
              <w:rPr>
                <w:b/>
                <w:bCs/>
              </w:rPr>
              <w:t>Tabel</w:t>
            </w:r>
          </w:p>
        </w:tc>
      </w:tr>
      <w:tr w:rsidR="009D499E" w14:paraId="7220958F" w14:textId="77777777" w:rsidTr="00BD1423">
        <w:tc>
          <w:tcPr>
            <w:tcW w:w="582" w:type="dxa"/>
          </w:tcPr>
          <w:p w14:paraId="74069775" w14:textId="77777777" w:rsidR="009D499E" w:rsidRPr="00C14140" w:rsidRDefault="009D499E" w:rsidP="001B17D9">
            <w:pPr>
              <w:jc w:val="center"/>
              <w:rPr>
                <w:sz w:val="18"/>
                <w:szCs w:val="18"/>
              </w:rPr>
            </w:pPr>
          </w:p>
        </w:tc>
        <w:tc>
          <w:tcPr>
            <w:tcW w:w="2821" w:type="dxa"/>
          </w:tcPr>
          <w:p w14:paraId="3BED5D43" w14:textId="77777777" w:rsidR="009D499E" w:rsidRPr="00C14140" w:rsidRDefault="009D499E" w:rsidP="001B17D9">
            <w:pPr>
              <w:rPr>
                <w:sz w:val="18"/>
                <w:szCs w:val="18"/>
              </w:rPr>
            </w:pPr>
            <w:proofErr w:type="gramStart"/>
            <w:r w:rsidRPr="00C14140">
              <w:rPr>
                <w:sz w:val="18"/>
                <w:szCs w:val="18"/>
              </w:rPr>
              <w:t>omschrijving</w:t>
            </w:r>
            <w:proofErr w:type="gramEnd"/>
          </w:p>
          <w:p w14:paraId="1C1FB3A0" w14:textId="77777777" w:rsidR="009D499E" w:rsidRPr="00C14140" w:rsidRDefault="009D499E" w:rsidP="001B17D9">
            <w:pPr>
              <w:rPr>
                <w:sz w:val="18"/>
                <w:szCs w:val="18"/>
              </w:rPr>
            </w:pPr>
            <w:r w:rsidRPr="00C14140">
              <w:rPr>
                <w:sz w:val="18"/>
                <w:szCs w:val="18"/>
              </w:rPr>
              <w:t>V =verantwoordelijk</w:t>
            </w:r>
          </w:p>
          <w:p w14:paraId="073AC444" w14:textId="77777777" w:rsidR="009D499E" w:rsidRPr="00C14140" w:rsidRDefault="009D499E" w:rsidP="001B17D9">
            <w:pPr>
              <w:rPr>
                <w:sz w:val="18"/>
                <w:szCs w:val="18"/>
              </w:rPr>
            </w:pPr>
            <w:r w:rsidRPr="00C14140">
              <w:rPr>
                <w:sz w:val="18"/>
                <w:szCs w:val="18"/>
              </w:rPr>
              <w:t>O =ondersteunend*</w:t>
            </w:r>
          </w:p>
          <w:p w14:paraId="74880E96" w14:textId="77777777" w:rsidR="009D499E" w:rsidRPr="00C14140" w:rsidRDefault="009D499E" w:rsidP="001B17D9">
            <w:pPr>
              <w:rPr>
                <w:sz w:val="18"/>
                <w:szCs w:val="18"/>
              </w:rPr>
            </w:pPr>
            <w:r w:rsidRPr="00C14140">
              <w:rPr>
                <w:sz w:val="18"/>
                <w:szCs w:val="18"/>
              </w:rPr>
              <w:t>C= Coördinatie</w:t>
            </w:r>
          </w:p>
          <w:p w14:paraId="22A47EF0" w14:textId="77777777" w:rsidR="009D499E" w:rsidRPr="00C14140" w:rsidRDefault="009D499E" w:rsidP="001B17D9">
            <w:pPr>
              <w:rPr>
                <w:sz w:val="18"/>
                <w:szCs w:val="18"/>
              </w:rPr>
            </w:pPr>
            <w:r w:rsidRPr="00C14140">
              <w:rPr>
                <w:sz w:val="18"/>
                <w:szCs w:val="18"/>
              </w:rPr>
              <w:t xml:space="preserve">- = geen </w:t>
            </w:r>
            <w:proofErr w:type="spellStart"/>
            <w:r w:rsidRPr="00C14140">
              <w:rPr>
                <w:sz w:val="18"/>
                <w:szCs w:val="18"/>
              </w:rPr>
              <w:t>aktie</w:t>
            </w:r>
            <w:proofErr w:type="spellEnd"/>
          </w:p>
          <w:p w14:paraId="1BA68D23" w14:textId="77777777" w:rsidR="009D499E" w:rsidRPr="00C14140" w:rsidRDefault="009D499E" w:rsidP="001B17D9">
            <w:pPr>
              <w:rPr>
                <w:sz w:val="18"/>
                <w:szCs w:val="18"/>
              </w:rPr>
            </w:pPr>
            <w:r w:rsidRPr="00C14140">
              <w:rPr>
                <w:sz w:val="18"/>
                <w:szCs w:val="18"/>
              </w:rPr>
              <w:t>*uitgangspunt is dat aannemer GBS ingeschakeld en betaald wordt door</w:t>
            </w:r>
          </w:p>
          <w:p w14:paraId="5F814A49" w14:textId="77777777" w:rsidR="009D499E" w:rsidRPr="00C14140" w:rsidRDefault="009D499E" w:rsidP="001B17D9">
            <w:pPr>
              <w:rPr>
                <w:sz w:val="18"/>
                <w:szCs w:val="18"/>
              </w:rPr>
            </w:pPr>
            <w:proofErr w:type="gramStart"/>
            <w:r w:rsidRPr="00C14140">
              <w:rPr>
                <w:sz w:val="18"/>
                <w:szCs w:val="18"/>
              </w:rPr>
              <w:t>aannemer</w:t>
            </w:r>
            <w:proofErr w:type="gramEnd"/>
            <w:r w:rsidRPr="00C14140">
              <w:rPr>
                <w:sz w:val="18"/>
                <w:szCs w:val="18"/>
              </w:rPr>
              <w:t xml:space="preserve"> project "Vervangen </w:t>
            </w:r>
            <w:r>
              <w:rPr>
                <w:sz w:val="18"/>
                <w:szCs w:val="18"/>
              </w:rPr>
              <w:t>nood</w:t>
            </w:r>
            <w:r w:rsidRPr="00C14140">
              <w:rPr>
                <w:sz w:val="18"/>
                <w:szCs w:val="18"/>
              </w:rPr>
              <w:t>verlichting"</w:t>
            </w:r>
          </w:p>
        </w:tc>
        <w:tc>
          <w:tcPr>
            <w:tcW w:w="1915" w:type="dxa"/>
          </w:tcPr>
          <w:p w14:paraId="7E0BB2CD" w14:textId="77777777" w:rsidR="009D499E" w:rsidRPr="00C14140" w:rsidRDefault="009D499E" w:rsidP="001B17D9">
            <w:pPr>
              <w:rPr>
                <w:sz w:val="18"/>
                <w:szCs w:val="18"/>
              </w:rPr>
            </w:pPr>
            <w:r w:rsidRPr="00C14140">
              <w:rPr>
                <w:sz w:val="18"/>
                <w:szCs w:val="18"/>
              </w:rPr>
              <w:t>Aannemer Project:</w:t>
            </w:r>
          </w:p>
          <w:p w14:paraId="21D74BF9" w14:textId="77777777" w:rsidR="009D499E" w:rsidRPr="00C14140" w:rsidRDefault="009D499E" w:rsidP="001B17D9">
            <w:pPr>
              <w:rPr>
                <w:sz w:val="18"/>
                <w:szCs w:val="18"/>
              </w:rPr>
            </w:pPr>
            <w:r>
              <w:rPr>
                <w:sz w:val="18"/>
                <w:szCs w:val="18"/>
              </w:rPr>
              <w:t xml:space="preserve">43201 </w:t>
            </w:r>
            <w:r w:rsidRPr="00C14140">
              <w:rPr>
                <w:sz w:val="18"/>
                <w:szCs w:val="18"/>
              </w:rPr>
              <w:t>Vervangen</w:t>
            </w:r>
          </w:p>
          <w:p w14:paraId="5B8A5FB4" w14:textId="77777777" w:rsidR="009D499E" w:rsidRPr="00C14140" w:rsidRDefault="009D499E" w:rsidP="001B17D9">
            <w:pPr>
              <w:rPr>
                <w:sz w:val="18"/>
                <w:szCs w:val="18"/>
              </w:rPr>
            </w:pPr>
            <w:proofErr w:type="gramStart"/>
            <w:r>
              <w:rPr>
                <w:sz w:val="18"/>
                <w:szCs w:val="18"/>
              </w:rPr>
              <w:t>nood</w:t>
            </w:r>
            <w:r w:rsidRPr="00C14140">
              <w:rPr>
                <w:sz w:val="18"/>
                <w:szCs w:val="18"/>
              </w:rPr>
              <w:t>verlichting</w:t>
            </w:r>
            <w:proofErr w:type="gramEnd"/>
          </w:p>
          <w:p w14:paraId="66866AD5" w14:textId="77777777" w:rsidR="009D499E" w:rsidRPr="00C14140" w:rsidRDefault="009D499E" w:rsidP="001B17D9">
            <w:pPr>
              <w:rPr>
                <w:sz w:val="18"/>
                <w:szCs w:val="18"/>
              </w:rPr>
            </w:pPr>
            <w:r w:rsidRPr="00C14140">
              <w:rPr>
                <w:sz w:val="18"/>
                <w:szCs w:val="18"/>
              </w:rPr>
              <w:t>Walterboscomplex en</w:t>
            </w:r>
          </w:p>
          <w:p w14:paraId="4DBD638A" w14:textId="77777777" w:rsidR="009D499E" w:rsidRPr="00C14140" w:rsidRDefault="009D499E" w:rsidP="001B17D9">
            <w:pPr>
              <w:rPr>
                <w:sz w:val="18"/>
                <w:szCs w:val="18"/>
              </w:rPr>
            </w:pPr>
            <w:proofErr w:type="spellStart"/>
            <w:r w:rsidRPr="00C14140">
              <w:rPr>
                <w:sz w:val="18"/>
                <w:szCs w:val="18"/>
              </w:rPr>
              <w:t>Quintax</w:t>
            </w:r>
            <w:proofErr w:type="spellEnd"/>
            <w:r w:rsidRPr="00C14140">
              <w:rPr>
                <w:sz w:val="18"/>
                <w:szCs w:val="18"/>
              </w:rPr>
              <w:t xml:space="preserve"> Apeldoorn</w:t>
            </w:r>
          </w:p>
        </w:tc>
        <w:tc>
          <w:tcPr>
            <w:tcW w:w="1807" w:type="dxa"/>
          </w:tcPr>
          <w:p w14:paraId="75A09021" w14:textId="77777777" w:rsidR="009D499E" w:rsidRDefault="009D499E" w:rsidP="001B17D9">
            <w:pPr>
              <w:rPr>
                <w:sz w:val="18"/>
                <w:szCs w:val="18"/>
              </w:rPr>
            </w:pPr>
            <w:r>
              <w:rPr>
                <w:sz w:val="18"/>
                <w:szCs w:val="18"/>
              </w:rPr>
              <w:t>Aannemer Project:</w:t>
            </w:r>
          </w:p>
          <w:p w14:paraId="2BC62A84" w14:textId="77777777" w:rsidR="009D499E" w:rsidRDefault="009D499E" w:rsidP="001B17D9">
            <w:pPr>
              <w:rPr>
                <w:sz w:val="18"/>
                <w:szCs w:val="18"/>
              </w:rPr>
            </w:pPr>
            <w:r>
              <w:rPr>
                <w:sz w:val="18"/>
                <w:szCs w:val="18"/>
              </w:rPr>
              <w:t xml:space="preserve">22680 Vervanging verlichting Walterboscomplex en </w:t>
            </w:r>
            <w:proofErr w:type="spellStart"/>
            <w:r>
              <w:rPr>
                <w:sz w:val="18"/>
                <w:szCs w:val="18"/>
              </w:rPr>
              <w:t>Quintax</w:t>
            </w:r>
            <w:proofErr w:type="spellEnd"/>
            <w:r>
              <w:rPr>
                <w:sz w:val="18"/>
                <w:szCs w:val="18"/>
              </w:rPr>
              <w:t xml:space="preserve"> Apeldoorn</w:t>
            </w:r>
          </w:p>
          <w:p w14:paraId="6C59CC6A" w14:textId="77777777" w:rsidR="009D499E" w:rsidRPr="00C14140" w:rsidRDefault="009D499E" w:rsidP="001B17D9">
            <w:pPr>
              <w:rPr>
                <w:sz w:val="18"/>
                <w:szCs w:val="18"/>
              </w:rPr>
            </w:pPr>
          </w:p>
        </w:tc>
        <w:tc>
          <w:tcPr>
            <w:tcW w:w="1937" w:type="dxa"/>
          </w:tcPr>
          <w:p w14:paraId="4C03DCC4" w14:textId="77777777" w:rsidR="009D499E" w:rsidRPr="00C14140" w:rsidRDefault="009D499E" w:rsidP="001B17D9">
            <w:pPr>
              <w:rPr>
                <w:sz w:val="18"/>
                <w:szCs w:val="18"/>
              </w:rPr>
            </w:pPr>
            <w:r w:rsidRPr="00C14140">
              <w:rPr>
                <w:sz w:val="18"/>
                <w:szCs w:val="18"/>
              </w:rPr>
              <w:t>Aannemer Project:</w:t>
            </w:r>
          </w:p>
          <w:p w14:paraId="4B393886" w14:textId="77777777" w:rsidR="009D499E" w:rsidRPr="00C14140" w:rsidRDefault="009D499E" w:rsidP="001B17D9">
            <w:pPr>
              <w:rPr>
                <w:sz w:val="18"/>
                <w:szCs w:val="18"/>
              </w:rPr>
            </w:pPr>
            <w:r w:rsidRPr="00C14140">
              <w:rPr>
                <w:sz w:val="18"/>
                <w:szCs w:val="18"/>
              </w:rPr>
              <w:t>Vervanging</w:t>
            </w:r>
          </w:p>
          <w:p w14:paraId="6D3A470A" w14:textId="77777777" w:rsidR="009D499E" w:rsidRPr="00C14140" w:rsidRDefault="009D499E" w:rsidP="001B17D9">
            <w:pPr>
              <w:rPr>
                <w:sz w:val="18"/>
                <w:szCs w:val="18"/>
              </w:rPr>
            </w:pPr>
            <w:proofErr w:type="gramStart"/>
            <w:r w:rsidRPr="00C14140">
              <w:rPr>
                <w:sz w:val="18"/>
                <w:szCs w:val="18"/>
              </w:rPr>
              <w:t>regeltechnische</w:t>
            </w:r>
            <w:proofErr w:type="gramEnd"/>
          </w:p>
          <w:p w14:paraId="6FC44D15" w14:textId="77777777" w:rsidR="009D499E" w:rsidRPr="00C14140" w:rsidRDefault="009D499E" w:rsidP="001B17D9">
            <w:pPr>
              <w:rPr>
                <w:sz w:val="18"/>
                <w:szCs w:val="18"/>
              </w:rPr>
            </w:pPr>
            <w:proofErr w:type="gramStart"/>
            <w:r w:rsidRPr="00C14140">
              <w:rPr>
                <w:sz w:val="18"/>
                <w:szCs w:val="18"/>
              </w:rPr>
              <w:t>installaties</w:t>
            </w:r>
            <w:proofErr w:type="gramEnd"/>
            <w:r w:rsidRPr="00C14140">
              <w:rPr>
                <w:sz w:val="18"/>
                <w:szCs w:val="18"/>
              </w:rPr>
              <w:t xml:space="preserve"> en</w:t>
            </w:r>
          </w:p>
          <w:p w14:paraId="58CE019C" w14:textId="77777777" w:rsidR="009D499E" w:rsidRPr="00C14140" w:rsidRDefault="009D499E" w:rsidP="001B17D9">
            <w:pPr>
              <w:rPr>
                <w:sz w:val="18"/>
                <w:szCs w:val="18"/>
              </w:rPr>
            </w:pPr>
            <w:r w:rsidRPr="00C14140">
              <w:rPr>
                <w:sz w:val="18"/>
                <w:szCs w:val="18"/>
              </w:rPr>
              <w:t>Gebouwautomatisering</w:t>
            </w:r>
          </w:p>
        </w:tc>
      </w:tr>
      <w:tr w:rsidR="009D499E" w14:paraId="366763E3" w14:textId="77777777" w:rsidTr="00BD1423">
        <w:tc>
          <w:tcPr>
            <w:tcW w:w="582" w:type="dxa"/>
          </w:tcPr>
          <w:p w14:paraId="6716919F" w14:textId="77777777" w:rsidR="009D499E" w:rsidRDefault="009D499E" w:rsidP="001B17D9">
            <w:pPr>
              <w:jc w:val="center"/>
              <w:rPr>
                <w:sz w:val="18"/>
                <w:szCs w:val="18"/>
              </w:rPr>
            </w:pPr>
          </w:p>
        </w:tc>
        <w:tc>
          <w:tcPr>
            <w:tcW w:w="8480" w:type="dxa"/>
            <w:gridSpan w:val="4"/>
          </w:tcPr>
          <w:p w14:paraId="67DD7892" w14:textId="77777777" w:rsidR="009D499E" w:rsidRPr="00AC5E11" w:rsidRDefault="009D499E" w:rsidP="001B17D9">
            <w:pPr>
              <w:rPr>
                <w:b/>
                <w:bCs/>
                <w:sz w:val="18"/>
                <w:szCs w:val="18"/>
              </w:rPr>
            </w:pPr>
          </w:p>
        </w:tc>
      </w:tr>
      <w:tr w:rsidR="009D499E" w14:paraId="670FC005" w14:textId="77777777" w:rsidTr="00BD1423">
        <w:tc>
          <w:tcPr>
            <w:tcW w:w="582" w:type="dxa"/>
          </w:tcPr>
          <w:p w14:paraId="376FD60E" w14:textId="77777777" w:rsidR="009D499E" w:rsidRPr="00C14140" w:rsidRDefault="009D499E" w:rsidP="001B17D9">
            <w:pPr>
              <w:jc w:val="center"/>
              <w:rPr>
                <w:sz w:val="18"/>
                <w:szCs w:val="18"/>
              </w:rPr>
            </w:pPr>
            <w:r>
              <w:rPr>
                <w:sz w:val="18"/>
                <w:szCs w:val="18"/>
              </w:rPr>
              <w:lastRenderedPageBreak/>
              <w:t>1</w:t>
            </w:r>
          </w:p>
        </w:tc>
        <w:tc>
          <w:tcPr>
            <w:tcW w:w="8480" w:type="dxa"/>
            <w:gridSpan w:val="4"/>
          </w:tcPr>
          <w:p w14:paraId="5873A1B7" w14:textId="77777777" w:rsidR="009D499E" w:rsidRPr="00AC5E11" w:rsidRDefault="009D499E" w:rsidP="001B17D9">
            <w:pPr>
              <w:rPr>
                <w:b/>
                <w:bCs/>
                <w:sz w:val="18"/>
                <w:szCs w:val="18"/>
              </w:rPr>
            </w:pPr>
            <w:r w:rsidRPr="00AC5E11">
              <w:rPr>
                <w:b/>
                <w:bCs/>
                <w:sz w:val="18"/>
                <w:szCs w:val="18"/>
              </w:rPr>
              <w:t>Algemene demarcatie</w:t>
            </w:r>
          </w:p>
        </w:tc>
      </w:tr>
      <w:tr w:rsidR="009D499E" w14:paraId="351B9454" w14:textId="77777777" w:rsidTr="00BD1423">
        <w:tc>
          <w:tcPr>
            <w:tcW w:w="582" w:type="dxa"/>
          </w:tcPr>
          <w:p w14:paraId="62467826" w14:textId="77777777" w:rsidR="009D499E" w:rsidRPr="00C14140" w:rsidRDefault="009D499E" w:rsidP="001B17D9">
            <w:pPr>
              <w:jc w:val="center"/>
              <w:rPr>
                <w:sz w:val="18"/>
                <w:szCs w:val="18"/>
              </w:rPr>
            </w:pPr>
          </w:p>
        </w:tc>
        <w:tc>
          <w:tcPr>
            <w:tcW w:w="2821" w:type="dxa"/>
          </w:tcPr>
          <w:p w14:paraId="447C3F11" w14:textId="77777777" w:rsidR="009D499E" w:rsidRPr="00C14140" w:rsidRDefault="009D499E" w:rsidP="001B17D9">
            <w:pPr>
              <w:rPr>
                <w:sz w:val="18"/>
                <w:szCs w:val="18"/>
              </w:rPr>
            </w:pPr>
            <w:r w:rsidRPr="00C14140">
              <w:rPr>
                <w:sz w:val="18"/>
                <w:szCs w:val="18"/>
              </w:rPr>
              <w:t xml:space="preserve">Project </w:t>
            </w:r>
            <w:proofErr w:type="gramStart"/>
            <w:r w:rsidRPr="00C14140">
              <w:rPr>
                <w:sz w:val="18"/>
                <w:szCs w:val="18"/>
              </w:rPr>
              <w:t>management /</w:t>
            </w:r>
            <w:proofErr w:type="gramEnd"/>
            <w:r w:rsidRPr="00C14140">
              <w:rPr>
                <w:sz w:val="18"/>
                <w:szCs w:val="18"/>
              </w:rPr>
              <w:t xml:space="preserve"> Planning</w:t>
            </w:r>
          </w:p>
        </w:tc>
        <w:tc>
          <w:tcPr>
            <w:tcW w:w="1915" w:type="dxa"/>
          </w:tcPr>
          <w:p w14:paraId="6D8C5347" w14:textId="77777777" w:rsidR="009D499E" w:rsidRPr="00C14140" w:rsidRDefault="009D499E" w:rsidP="001B17D9">
            <w:pPr>
              <w:jc w:val="center"/>
              <w:rPr>
                <w:sz w:val="18"/>
                <w:szCs w:val="18"/>
              </w:rPr>
            </w:pPr>
            <w:r>
              <w:rPr>
                <w:sz w:val="18"/>
                <w:szCs w:val="18"/>
              </w:rPr>
              <w:t>V</w:t>
            </w:r>
          </w:p>
        </w:tc>
        <w:tc>
          <w:tcPr>
            <w:tcW w:w="1807" w:type="dxa"/>
          </w:tcPr>
          <w:p w14:paraId="3B63BE68" w14:textId="77777777" w:rsidR="009D499E" w:rsidRPr="00C14140" w:rsidRDefault="009D499E" w:rsidP="001B17D9">
            <w:pPr>
              <w:jc w:val="center"/>
              <w:rPr>
                <w:sz w:val="18"/>
                <w:szCs w:val="18"/>
              </w:rPr>
            </w:pPr>
            <w:r>
              <w:rPr>
                <w:sz w:val="18"/>
                <w:szCs w:val="18"/>
              </w:rPr>
              <w:t>C</w:t>
            </w:r>
          </w:p>
        </w:tc>
        <w:tc>
          <w:tcPr>
            <w:tcW w:w="1937" w:type="dxa"/>
          </w:tcPr>
          <w:p w14:paraId="7C8C801B" w14:textId="77777777" w:rsidR="009D499E" w:rsidRPr="00C14140" w:rsidRDefault="009D499E" w:rsidP="001B17D9">
            <w:pPr>
              <w:jc w:val="center"/>
              <w:rPr>
                <w:sz w:val="18"/>
                <w:szCs w:val="18"/>
              </w:rPr>
            </w:pPr>
            <w:r>
              <w:rPr>
                <w:sz w:val="18"/>
                <w:szCs w:val="18"/>
              </w:rPr>
              <w:t>C</w:t>
            </w:r>
          </w:p>
        </w:tc>
      </w:tr>
      <w:tr w:rsidR="009D499E" w14:paraId="54399BE7" w14:textId="77777777" w:rsidTr="00BD1423">
        <w:tc>
          <w:tcPr>
            <w:tcW w:w="582" w:type="dxa"/>
          </w:tcPr>
          <w:p w14:paraId="7E16328E" w14:textId="77777777" w:rsidR="009D499E" w:rsidRPr="00C14140" w:rsidRDefault="009D499E" w:rsidP="001B17D9">
            <w:pPr>
              <w:jc w:val="center"/>
              <w:rPr>
                <w:sz w:val="18"/>
                <w:szCs w:val="18"/>
              </w:rPr>
            </w:pPr>
          </w:p>
        </w:tc>
        <w:tc>
          <w:tcPr>
            <w:tcW w:w="2821" w:type="dxa"/>
          </w:tcPr>
          <w:p w14:paraId="349E5BD6" w14:textId="77777777" w:rsidR="009D499E" w:rsidRPr="00C14140" w:rsidRDefault="009D499E" w:rsidP="001B17D9">
            <w:pPr>
              <w:rPr>
                <w:sz w:val="18"/>
                <w:szCs w:val="18"/>
              </w:rPr>
            </w:pPr>
            <w:r w:rsidRPr="00C14140">
              <w:rPr>
                <w:sz w:val="18"/>
                <w:szCs w:val="18"/>
              </w:rPr>
              <w:t>Ontwerp/detaillering</w:t>
            </w:r>
          </w:p>
        </w:tc>
        <w:tc>
          <w:tcPr>
            <w:tcW w:w="1915" w:type="dxa"/>
          </w:tcPr>
          <w:p w14:paraId="3A35EA19" w14:textId="77777777" w:rsidR="009D499E" w:rsidRPr="00C14140" w:rsidRDefault="009D499E" w:rsidP="001B17D9">
            <w:pPr>
              <w:jc w:val="center"/>
              <w:rPr>
                <w:sz w:val="18"/>
                <w:szCs w:val="18"/>
              </w:rPr>
            </w:pPr>
            <w:r>
              <w:rPr>
                <w:sz w:val="18"/>
                <w:szCs w:val="18"/>
              </w:rPr>
              <w:t>V</w:t>
            </w:r>
          </w:p>
        </w:tc>
        <w:tc>
          <w:tcPr>
            <w:tcW w:w="1807" w:type="dxa"/>
          </w:tcPr>
          <w:p w14:paraId="41629441" w14:textId="77777777" w:rsidR="009D499E" w:rsidRPr="00C14140" w:rsidRDefault="009D499E" w:rsidP="001B17D9">
            <w:pPr>
              <w:jc w:val="center"/>
              <w:rPr>
                <w:sz w:val="18"/>
                <w:szCs w:val="18"/>
              </w:rPr>
            </w:pPr>
            <w:r>
              <w:rPr>
                <w:sz w:val="18"/>
                <w:szCs w:val="18"/>
              </w:rPr>
              <w:t>C</w:t>
            </w:r>
          </w:p>
        </w:tc>
        <w:tc>
          <w:tcPr>
            <w:tcW w:w="1937" w:type="dxa"/>
          </w:tcPr>
          <w:p w14:paraId="7DDE4CEA" w14:textId="77777777" w:rsidR="009D499E" w:rsidRPr="00C14140" w:rsidRDefault="009D499E" w:rsidP="001B17D9">
            <w:pPr>
              <w:jc w:val="center"/>
              <w:rPr>
                <w:sz w:val="18"/>
                <w:szCs w:val="18"/>
              </w:rPr>
            </w:pPr>
            <w:r>
              <w:rPr>
                <w:sz w:val="18"/>
                <w:szCs w:val="18"/>
              </w:rPr>
              <w:t>O</w:t>
            </w:r>
          </w:p>
        </w:tc>
      </w:tr>
      <w:tr w:rsidR="009D499E" w14:paraId="37856EEA" w14:textId="77777777" w:rsidTr="00BD1423">
        <w:tc>
          <w:tcPr>
            <w:tcW w:w="582" w:type="dxa"/>
          </w:tcPr>
          <w:p w14:paraId="411EC02A" w14:textId="77777777" w:rsidR="009D499E" w:rsidRPr="00C14140" w:rsidRDefault="009D499E" w:rsidP="001B17D9">
            <w:pPr>
              <w:jc w:val="center"/>
              <w:rPr>
                <w:sz w:val="18"/>
                <w:szCs w:val="18"/>
              </w:rPr>
            </w:pPr>
          </w:p>
        </w:tc>
        <w:tc>
          <w:tcPr>
            <w:tcW w:w="2821" w:type="dxa"/>
          </w:tcPr>
          <w:p w14:paraId="53BEDD87" w14:textId="77777777" w:rsidR="009D499E" w:rsidRPr="00C14140" w:rsidRDefault="009D499E" w:rsidP="001B17D9">
            <w:pPr>
              <w:rPr>
                <w:sz w:val="18"/>
                <w:szCs w:val="18"/>
              </w:rPr>
            </w:pPr>
            <w:r w:rsidRPr="00AC5E11">
              <w:rPr>
                <w:sz w:val="18"/>
                <w:szCs w:val="18"/>
              </w:rPr>
              <w:t>Levering</w:t>
            </w:r>
          </w:p>
        </w:tc>
        <w:tc>
          <w:tcPr>
            <w:tcW w:w="1915" w:type="dxa"/>
          </w:tcPr>
          <w:p w14:paraId="5C456ED0" w14:textId="77777777" w:rsidR="009D499E" w:rsidRPr="00C14140" w:rsidRDefault="009D499E" w:rsidP="001B17D9">
            <w:pPr>
              <w:jc w:val="center"/>
              <w:rPr>
                <w:sz w:val="18"/>
                <w:szCs w:val="18"/>
              </w:rPr>
            </w:pPr>
            <w:r>
              <w:rPr>
                <w:sz w:val="18"/>
                <w:szCs w:val="18"/>
              </w:rPr>
              <w:t>V</w:t>
            </w:r>
          </w:p>
        </w:tc>
        <w:tc>
          <w:tcPr>
            <w:tcW w:w="1807" w:type="dxa"/>
          </w:tcPr>
          <w:p w14:paraId="6EB91B8B" w14:textId="77777777" w:rsidR="009D499E" w:rsidRPr="00C14140" w:rsidRDefault="009D499E" w:rsidP="001B17D9">
            <w:pPr>
              <w:jc w:val="center"/>
              <w:rPr>
                <w:sz w:val="18"/>
                <w:szCs w:val="18"/>
              </w:rPr>
            </w:pPr>
            <w:r>
              <w:rPr>
                <w:sz w:val="18"/>
                <w:szCs w:val="18"/>
              </w:rPr>
              <w:t>-</w:t>
            </w:r>
          </w:p>
        </w:tc>
        <w:tc>
          <w:tcPr>
            <w:tcW w:w="1937" w:type="dxa"/>
          </w:tcPr>
          <w:p w14:paraId="4E62989C" w14:textId="77777777" w:rsidR="009D499E" w:rsidRPr="00C14140" w:rsidRDefault="009D499E" w:rsidP="001B17D9">
            <w:pPr>
              <w:jc w:val="center"/>
              <w:rPr>
                <w:sz w:val="18"/>
                <w:szCs w:val="18"/>
              </w:rPr>
            </w:pPr>
            <w:r>
              <w:rPr>
                <w:sz w:val="18"/>
                <w:szCs w:val="18"/>
              </w:rPr>
              <w:t>O</w:t>
            </w:r>
          </w:p>
        </w:tc>
      </w:tr>
      <w:tr w:rsidR="009D499E" w14:paraId="53109FA0" w14:textId="77777777" w:rsidTr="00BD1423">
        <w:tc>
          <w:tcPr>
            <w:tcW w:w="582" w:type="dxa"/>
          </w:tcPr>
          <w:p w14:paraId="14FCE379" w14:textId="77777777" w:rsidR="009D499E" w:rsidRPr="00C14140" w:rsidRDefault="009D499E" w:rsidP="001B17D9">
            <w:pPr>
              <w:jc w:val="center"/>
              <w:rPr>
                <w:sz w:val="18"/>
                <w:szCs w:val="18"/>
              </w:rPr>
            </w:pPr>
          </w:p>
        </w:tc>
        <w:tc>
          <w:tcPr>
            <w:tcW w:w="2821" w:type="dxa"/>
          </w:tcPr>
          <w:p w14:paraId="44AF51FA" w14:textId="77777777" w:rsidR="009D499E" w:rsidRPr="00C14140" w:rsidRDefault="009D499E" w:rsidP="001B17D9">
            <w:pPr>
              <w:rPr>
                <w:sz w:val="18"/>
                <w:szCs w:val="18"/>
              </w:rPr>
            </w:pPr>
            <w:r w:rsidRPr="00AC5E11">
              <w:rPr>
                <w:sz w:val="18"/>
                <w:szCs w:val="18"/>
              </w:rPr>
              <w:t>Installatie en inbedrijfstelling</w:t>
            </w:r>
          </w:p>
        </w:tc>
        <w:tc>
          <w:tcPr>
            <w:tcW w:w="1915" w:type="dxa"/>
          </w:tcPr>
          <w:p w14:paraId="14E8C66E" w14:textId="77777777" w:rsidR="009D499E" w:rsidRPr="00C14140" w:rsidRDefault="009D499E" w:rsidP="001B17D9">
            <w:pPr>
              <w:jc w:val="center"/>
              <w:rPr>
                <w:sz w:val="18"/>
                <w:szCs w:val="18"/>
              </w:rPr>
            </w:pPr>
            <w:r>
              <w:rPr>
                <w:sz w:val="18"/>
                <w:szCs w:val="18"/>
              </w:rPr>
              <w:t>V</w:t>
            </w:r>
          </w:p>
        </w:tc>
        <w:tc>
          <w:tcPr>
            <w:tcW w:w="1807" w:type="dxa"/>
          </w:tcPr>
          <w:p w14:paraId="41111EEF" w14:textId="77777777" w:rsidR="009D499E" w:rsidRPr="00C14140" w:rsidRDefault="009D499E" w:rsidP="001B17D9">
            <w:pPr>
              <w:jc w:val="center"/>
              <w:rPr>
                <w:sz w:val="18"/>
                <w:szCs w:val="18"/>
              </w:rPr>
            </w:pPr>
            <w:r>
              <w:rPr>
                <w:sz w:val="18"/>
                <w:szCs w:val="18"/>
              </w:rPr>
              <w:t>-</w:t>
            </w:r>
          </w:p>
        </w:tc>
        <w:tc>
          <w:tcPr>
            <w:tcW w:w="1937" w:type="dxa"/>
          </w:tcPr>
          <w:p w14:paraId="48DCA0C6" w14:textId="77777777" w:rsidR="009D499E" w:rsidRPr="00C14140" w:rsidRDefault="009D499E" w:rsidP="001B17D9">
            <w:pPr>
              <w:jc w:val="center"/>
              <w:rPr>
                <w:sz w:val="18"/>
                <w:szCs w:val="18"/>
              </w:rPr>
            </w:pPr>
            <w:r>
              <w:rPr>
                <w:sz w:val="18"/>
                <w:szCs w:val="18"/>
              </w:rPr>
              <w:t>O</w:t>
            </w:r>
          </w:p>
        </w:tc>
      </w:tr>
      <w:tr w:rsidR="009D499E" w14:paraId="7DD6BBD1" w14:textId="77777777" w:rsidTr="00BD1423">
        <w:tc>
          <w:tcPr>
            <w:tcW w:w="582" w:type="dxa"/>
          </w:tcPr>
          <w:p w14:paraId="3FC892D8" w14:textId="77777777" w:rsidR="009D499E" w:rsidRPr="00C14140" w:rsidRDefault="009D499E" w:rsidP="001B17D9">
            <w:pPr>
              <w:jc w:val="center"/>
              <w:rPr>
                <w:sz w:val="18"/>
                <w:szCs w:val="18"/>
              </w:rPr>
            </w:pPr>
          </w:p>
        </w:tc>
        <w:tc>
          <w:tcPr>
            <w:tcW w:w="2821" w:type="dxa"/>
          </w:tcPr>
          <w:p w14:paraId="0CB63A85" w14:textId="77777777" w:rsidR="009D499E" w:rsidRPr="00C14140" w:rsidRDefault="009D499E" w:rsidP="001B17D9">
            <w:pPr>
              <w:rPr>
                <w:sz w:val="18"/>
                <w:szCs w:val="18"/>
              </w:rPr>
            </w:pPr>
          </w:p>
        </w:tc>
        <w:tc>
          <w:tcPr>
            <w:tcW w:w="1915" w:type="dxa"/>
          </w:tcPr>
          <w:p w14:paraId="45EFAFD2" w14:textId="77777777" w:rsidR="009D499E" w:rsidRPr="00C14140" w:rsidRDefault="009D499E" w:rsidP="001B17D9">
            <w:pPr>
              <w:rPr>
                <w:sz w:val="18"/>
                <w:szCs w:val="18"/>
              </w:rPr>
            </w:pPr>
          </w:p>
        </w:tc>
        <w:tc>
          <w:tcPr>
            <w:tcW w:w="1807" w:type="dxa"/>
          </w:tcPr>
          <w:p w14:paraId="1738EB46" w14:textId="77777777" w:rsidR="009D499E" w:rsidRPr="00C14140" w:rsidRDefault="009D499E" w:rsidP="001B17D9">
            <w:pPr>
              <w:rPr>
                <w:sz w:val="18"/>
                <w:szCs w:val="18"/>
              </w:rPr>
            </w:pPr>
          </w:p>
        </w:tc>
        <w:tc>
          <w:tcPr>
            <w:tcW w:w="1937" w:type="dxa"/>
          </w:tcPr>
          <w:p w14:paraId="7DA6AA0D" w14:textId="77777777" w:rsidR="009D499E" w:rsidRPr="00C14140" w:rsidRDefault="009D499E" w:rsidP="001B17D9">
            <w:pPr>
              <w:rPr>
                <w:sz w:val="18"/>
                <w:szCs w:val="18"/>
              </w:rPr>
            </w:pPr>
          </w:p>
        </w:tc>
      </w:tr>
      <w:tr w:rsidR="009D499E" w14:paraId="61C508A5" w14:textId="77777777" w:rsidTr="00BD1423">
        <w:tc>
          <w:tcPr>
            <w:tcW w:w="582" w:type="dxa"/>
          </w:tcPr>
          <w:p w14:paraId="31F02DF3" w14:textId="77777777" w:rsidR="009D499E" w:rsidRPr="00AC5E11" w:rsidRDefault="009D499E" w:rsidP="001B17D9">
            <w:pPr>
              <w:jc w:val="center"/>
              <w:rPr>
                <w:b/>
                <w:bCs/>
                <w:sz w:val="18"/>
                <w:szCs w:val="18"/>
              </w:rPr>
            </w:pPr>
            <w:r w:rsidRPr="00AC5E11">
              <w:rPr>
                <w:b/>
                <w:bCs/>
                <w:sz w:val="18"/>
                <w:szCs w:val="18"/>
              </w:rPr>
              <w:t>2</w:t>
            </w:r>
          </w:p>
        </w:tc>
        <w:tc>
          <w:tcPr>
            <w:tcW w:w="8480" w:type="dxa"/>
            <w:gridSpan w:val="4"/>
          </w:tcPr>
          <w:p w14:paraId="661F81D7" w14:textId="77777777" w:rsidR="009D499E" w:rsidRPr="00C14140" w:rsidRDefault="009D499E" w:rsidP="001B17D9">
            <w:pPr>
              <w:rPr>
                <w:sz w:val="18"/>
                <w:szCs w:val="18"/>
              </w:rPr>
            </w:pPr>
            <w:r w:rsidRPr="00AC5E11">
              <w:rPr>
                <w:b/>
                <w:bCs/>
                <w:sz w:val="18"/>
                <w:szCs w:val="18"/>
              </w:rPr>
              <w:t>Noodverlichtingskasten</w:t>
            </w:r>
          </w:p>
        </w:tc>
      </w:tr>
      <w:tr w:rsidR="009D499E" w14:paraId="1EBA72DC" w14:textId="77777777" w:rsidTr="00BD1423">
        <w:tc>
          <w:tcPr>
            <w:tcW w:w="582" w:type="dxa"/>
          </w:tcPr>
          <w:p w14:paraId="5EE97F3A" w14:textId="77777777" w:rsidR="009D499E" w:rsidRPr="00C14140" w:rsidRDefault="009D499E" w:rsidP="001B17D9">
            <w:pPr>
              <w:jc w:val="center"/>
              <w:rPr>
                <w:sz w:val="18"/>
                <w:szCs w:val="18"/>
              </w:rPr>
            </w:pPr>
          </w:p>
        </w:tc>
        <w:tc>
          <w:tcPr>
            <w:tcW w:w="2821" w:type="dxa"/>
          </w:tcPr>
          <w:p w14:paraId="3EC2B361" w14:textId="77777777" w:rsidR="009D499E" w:rsidRPr="00C14140" w:rsidRDefault="009D499E" w:rsidP="001B17D9">
            <w:pPr>
              <w:rPr>
                <w:sz w:val="18"/>
                <w:szCs w:val="18"/>
              </w:rPr>
            </w:pPr>
            <w:r w:rsidRPr="00AC5E11">
              <w:rPr>
                <w:sz w:val="18"/>
                <w:szCs w:val="18"/>
              </w:rPr>
              <w:t xml:space="preserve">Vervangen bestaande </w:t>
            </w:r>
            <w:proofErr w:type="gramStart"/>
            <w:r w:rsidRPr="00AC5E11">
              <w:rPr>
                <w:sz w:val="18"/>
                <w:szCs w:val="18"/>
              </w:rPr>
              <w:t>noodverlichtingskasten /</w:t>
            </w:r>
            <w:proofErr w:type="gramEnd"/>
            <w:r w:rsidRPr="00AC5E11">
              <w:rPr>
                <w:sz w:val="18"/>
                <w:szCs w:val="18"/>
              </w:rPr>
              <w:t xml:space="preserve"> plaatsen nieuwe noodverlichtingskasten</w:t>
            </w:r>
          </w:p>
        </w:tc>
        <w:tc>
          <w:tcPr>
            <w:tcW w:w="1915" w:type="dxa"/>
          </w:tcPr>
          <w:p w14:paraId="4E686BE0" w14:textId="77777777" w:rsidR="009D499E" w:rsidRPr="00C14140" w:rsidRDefault="009D499E" w:rsidP="001B17D9">
            <w:pPr>
              <w:jc w:val="center"/>
              <w:rPr>
                <w:sz w:val="18"/>
                <w:szCs w:val="18"/>
              </w:rPr>
            </w:pPr>
            <w:r>
              <w:rPr>
                <w:sz w:val="18"/>
                <w:szCs w:val="18"/>
              </w:rPr>
              <w:t>V</w:t>
            </w:r>
          </w:p>
        </w:tc>
        <w:tc>
          <w:tcPr>
            <w:tcW w:w="1807" w:type="dxa"/>
          </w:tcPr>
          <w:p w14:paraId="16FF4FD6" w14:textId="77777777" w:rsidR="009D499E" w:rsidRPr="00C14140" w:rsidRDefault="009D499E" w:rsidP="001B17D9">
            <w:pPr>
              <w:jc w:val="center"/>
              <w:rPr>
                <w:sz w:val="18"/>
                <w:szCs w:val="18"/>
              </w:rPr>
            </w:pPr>
            <w:r>
              <w:rPr>
                <w:sz w:val="18"/>
                <w:szCs w:val="18"/>
              </w:rPr>
              <w:t>-</w:t>
            </w:r>
          </w:p>
        </w:tc>
        <w:tc>
          <w:tcPr>
            <w:tcW w:w="1937" w:type="dxa"/>
          </w:tcPr>
          <w:p w14:paraId="5BA687F4" w14:textId="77777777" w:rsidR="009D499E" w:rsidRPr="00C14140" w:rsidRDefault="009D499E" w:rsidP="001B17D9">
            <w:pPr>
              <w:jc w:val="center"/>
              <w:rPr>
                <w:sz w:val="18"/>
                <w:szCs w:val="18"/>
              </w:rPr>
            </w:pPr>
            <w:r>
              <w:rPr>
                <w:sz w:val="18"/>
                <w:szCs w:val="18"/>
              </w:rPr>
              <w:t>O</w:t>
            </w:r>
          </w:p>
        </w:tc>
      </w:tr>
      <w:tr w:rsidR="009D499E" w14:paraId="6B25CC41" w14:textId="77777777" w:rsidTr="00BD1423">
        <w:tc>
          <w:tcPr>
            <w:tcW w:w="582" w:type="dxa"/>
          </w:tcPr>
          <w:p w14:paraId="71D525E1" w14:textId="77777777" w:rsidR="009D499E" w:rsidRPr="00C14140" w:rsidRDefault="009D499E" w:rsidP="001B17D9">
            <w:pPr>
              <w:jc w:val="center"/>
              <w:rPr>
                <w:sz w:val="18"/>
                <w:szCs w:val="18"/>
              </w:rPr>
            </w:pPr>
          </w:p>
        </w:tc>
        <w:tc>
          <w:tcPr>
            <w:tcW w:w="2821" w:type="dxa"/>
          </w:tcPr>
          <w:p w14:paraId="191B1F47" w14:textId="77777777" w:rsidR="009D499E" w:rsidRPr="00C14140" w:rsidRDefault="009D499E" w:rsidP="001B17D9">
            <w:pPr>
              <w:rPr>
                <w:sz w:val="18"/>
                <w:szCs w:val="18"/>
              </w:rPr>
            </w:pPr>
            <w:r>
              <w:rPr>
                <w:sz w:val="18"/>
                <w:szCs w:val="18"/>
              </w:rPr>
              <w:t xml:space="preserve">Overzetten en </w:t>
            </w:r>
            <w:proofErr w:type="spellStart"/>
            <w:r>
              <w:rPr>
                <w:sz w:val="18"/>
                <w:szCs w:val="18"/>
              </w:rPr>
              <w:t>heraansluiten</w:t>
            </w:r>
            <w:proofErr w:type="spellEnd"/>
            <w:r>
              <w:rPr>
                <w:sz w:val="18"/>
                <w:szCs w:val="18"/>
              </w:rPr>
              <w:t xml:space="preserve"> bestaande noodverlichtingssturingen en signaleringen op GBS</w:t>
            </w:r>
          </w:p>
        </w:tc>
        <w:tc>
          <w:tcPr>
            <w:tcW w:w="1915" w:type="dxa"/>
          </w:tcPr>
          <w:p w14:paraId="408BA80E" w14:textId="77777777" w:rsidR="009D499E" w:rsidRPr="00C14140" w:rsidRDefault="009D499E" w:rsidP="001B17D9">
            <w:pPr>
              <w:jc w:val="center"/>
              <w:rPr>
                <w:sz w:val="18"/>
                <w:szCs w:val="18"/>
              </w:rPr>
            </w:pPr>
            <w:r>
              <w:rPr>
                <w:sz w:val="18"/>
                <w:szCs w:val="18"/>
              </w:rPr>
              <w:t>V</w:t>
            </w:r>
          </w:p>
        </w:tc>
        <w:tc>
          <w:tcPr>
            <w:tcW w:w="1807" w:type="dxa"/>
          </w:tcPr>
          <w:p w14:paraId="48BB02F1" w14:textId="77777777" w:rsidR="009D499E" w:rsidRPr="00C14140" w:rsidRDefault="009D499E" w:rsidP="001B17D9">
            <w:pPr>
              <w:jc w:val="center"/>
              <w:rPr>
                <w:sz w:val="18"/>
                <w:szCs w:val="18"/>
              </w:rPr>
            </w:pPr>
            <w:r>
              <w:rPr>
                <w:sz w:val="18"/>
                <w:szCs w:val="18"/>
              </w:rPr>
              <w:t>-</w:t>
            </w:r>
          </w:p>
        </w:tc>
        <w:tc>
          <w:tcPr>
            <w:tcW w:w="1937" w:type="dxa"/>
          </w:tcPr>
          <w:p w14:paraId="496CB9EE" w14:textId="77777777" w:rsidR="009D499E" w:rsidRPr="00C14140" w:rsidRDefault="009D499E" w:rsidP="001B17D9">
            <w:pPr>
              <w:jc w:val="center"/>
              <w:rPr>
                <w:sz w:val="18"/>
                <w:szCs w:val="18"/>
              </w:rPr>
            </w:pPr>
            <w:r>
              <w:rPr>
                <w:sz w:val="18"/>
                <w:szCs w:val="18"/>
              </w:rPr>
              <w:t>O</w:t>
            </w:r>
          </w:p>
        </w:tc>
      </w:tr>
      <w:tr w:rsidR="009D499E" w14:paraId="14374F16" w14:textId="77777777" w:rsidTr="00BD1423">
        <w:tc>
          <w:tcPr>
            <w:tcW w:w="582" w:type="dxa"/>
          </w:tcPr>
          <w:p w14:paraId="2419CFED" w14:textId="77777777" w:rsidR="009D499E" w:rsidRPr="00C14140" w:rsidRDefault="009D499E" w:rsidP="001B17D9">
            <w:pPr>
              <w:jc w:val="center"/>
              <w:rPr>
                <w:sz w:val="18"/>
                <w:szCs w:val="18"/>
              </w:rPr>
            </w:pPr>
          </w:p>
        </w:tc>
        <w:tc>
          <w:tcPr>
            <w:tcW w:w="2821" w:type="dxa"/>
          </w:tcPr>
          <w:p w14:paraId="0D4A89BF" w14:textId="77777777" w:rsidR="009D499E" w:rsidRPr="00C14140" w:rsidRDefault="009D499E" w:rsidP="001B17D9">
            <w:pPr>
              <w:rPr>
                <w:sz w:val="18"/>
                <w:szCs w:val="18"/>
              </w:rPr>
            </w:pPr>
            <w:r>
              <w:rPr>
                <w:sz w:val="18"/>
                <w:szCs w:val="18"/>
              </w:rPr>
              <w:t>Aanpassen bestaande noodverlichtingssturingen en signaleringen op GBS</w:t>
            </w:r>
          </w:p>
        </w:tc>
        <w:tc>
          <w:tcPr>
            <w:tcW w:w="1915" w:type="dxa"/>
          </w:tcPr>
          <w:p w14:paraId="7F932545" w14:textId="77777777" w:rsidR="009D499E" w:rsidRPr="00C14140" w:rsidRDefault="009D499E" w:rsidP="001B17D9">
            <w:pPr>
              <w:jc w:val="center"/>
              <w:rPr>
                <w:sz w:val="18"/>
                <w:szCs w:val="18"/>
              </w:rPr>
            </w:pPr>
            <w:r>
              <w:rPr>
                <w:sz w:val="18"/>
                <w:szCs w:val="18"/>
              </w:rPr>
              <w:t>V</w:t>
            </w:r>
          </w:p>
        </w:tc>
        <w:tc>
          <w:tcPr>
            <w:tcW w:w="1807" w:type="dxa"/>
          </w:tcPr>
          <w:p w14:paraId="4B09D3CF" w14:textId="77777777" w:rsidR="009D499E" w:rsidRPr="00C14140" w:rsidRDefault="009D499E" w:rsidP="001B17D9">
            <w:pPr>
              <w:jc w:val="center"/>
              <w:rPr>
                <w:sz w:val="18"/>
                <w:szCs w:val="18"/>
              </w:rPr>
            </w:pPr>
            <w:r>
              <w:rPr>
                <w:sz w:val="18"/>
                <w:szCs w:val="18"/>
              </w:rPr>
              <w:t>-</w:t>
            </w:r>
          </w:p>
        </w:tc>
        <w:tc>
          <w:tcPr>
            <w:tcW w:w="1937" w:type="dxa"/>
          </w:tcPr>
          <w:p w14:paraId="530F7CE5" w14:textId="77777777" w:rsidR="009D499E" w:rsidRPr="00C14140" w:rsidRDefault="009D499E" w:rsidP="001B17D9">
            <w:pPr>
              <w:jc w:val="center"/>
              <w:rPr>
                <w:sz w:val="18"/>
                <w:szCs w:val="18"/>
              </w:rPr>
            </w:pPr>
            <w:r>
              <w:rPr>
                <w:sz w:val="18"/>
                <w:szCs w:val="18"/>
              </w:rPr>
              <w:t>O</w:t>
            </w:r>
          </w:p>
        </w:tc>
      </w:tr>
      <w:tr w:rsidR="009D499E" w14:paraId="3C614380" w14:textId="77777777" w:rsidTr="00BD1423">
        <w:tc>
          <w:tcPr>
            <w:tcW w:w="582" w:type="dxa"/>
          </w:tcPr>
          <w:p w14:paraId="28E1B611" w14:textId="77777777" w:rsidR="009D499E" w:rsidRPr="00C14140" w:rsidRDefault="009D499E" w:rsidP="001B17D9">
            <w:pPr>
              <w:jc w:val="center"/>
              <w:rPr>
                <w:sz w:val="18"/>
                <w:szCs w:val="18"/>
              </w:rPr>
            </w:pPr>
          </w:p>
        </w:tc>
        <w:tc>
          <w:tcPr>
            <w:tcW w:w="2821" w:type="dxa"/>
          </w:tcPr>
          <w:p w14:paraId="7612710E" w14:textId="77777777" w:rsidR="009D499E" w:rsidRPr="00C14140" w:rsidRDefault="009D499E" w:rsidP="001B17D9">
            <w:pPr>
              <w:rPr>
                <w:sz w:val="18"/>
                <w:szCs w:val="18"/>
              </w:rPr>
            </w:pPr>
            <w:r>
              <w:rPr>
                <w:sz w:val="18"/>
                <w:szCs w:val="18"/>
              </w:rPr>
              <w:t>Realiseren nieuwe sturingen en signaleringen voor gebouw P op GBS</w:t>
            </w:r>
          </w:p>
        </w:tc>
        <w:tc>
          <w:tcPr>
            <w:tcW w:w="1915" w:type="dxa"/>
          </w:tcPr>
          <w:p w14:paraId="3C881FD8" w14:textId="77777777" w:rsidR="009D499E" w:rsidRPr="00C14140" w:rsidRDefault="009D499E" w:rsidP="001B17D9">
            <w:pPr>
              <w:jc w:val="center"/>
              <w:rPr>
                <w:sz w:val="18"/>
                <w:szCs w:val="18"/>
              </w:rPr>
            </w:pPr>
            <w:r>
              <w:rPr>
                <w:sz w:val="18"/>
                <w:szCs w:val="18"/>
              </w:rPr>
              <w:t>V</w:t>
            </w:r>
          </w:p>
        </w:tc>
        <w:tc>
          <w:tcPr>
            <w:tcW w:w="1807" w:type="dxa"/>
          </w:tcPr>
          <w:p w14:paraId="4D3A81C0" w14:textId="77777777" w:rsidR="009D499E" w:rsidRPr="00C14140" w:rsidRDefault="009D499E" w:rsidP="001B17D9">
            <w:pPr>
              <w:jc w:val="center"/>
              <w:rPr>
                <w:sz w:val="18"/>
                <w:szCs w:val="18"/>
              </w:rPr>
            </w:pPr>
            <w:r>
              <w:rPr>
                <w:sz w:val="18"/>
                <w:szCs w:val="18"/>
              </w:rPr>
              <w:t>-</w:t>
            </w:r>
          </w:p>
        </w:tc>
        <w:tc>
          <w:tcPr>
            <w:tcW w:w="1937" w:type="dxa"/>
          </w:tcPr>
          <w:p w14:paraId="58908C3F" w14:textId="77777777" w:rsidR="009D499E" w:rsidRPr="00C14140" w:rsidRDefault="009D499E" w:rsidP="001B17D9">
            <w:pPr>
              <w:jc w:val="center"/>
              <w:rPr>
                <w:sz w:val="18"/>
                <w:szCs w:val="18"/>
              </w:rPr>
            </w:pPr>
            <w:r>
              <w:rPr>
                <w:sz w:val="18"/>
                <w:szCs w:val="18"/>
              </w:rPr>
              <w:t>O</w:t>
            </w:r>
          </w:p>
        </w:tc>
      </w:tr>
      <w:tr w:rsidR="009D499E" w14:paraId="79D58A4A" w14:textId="77777777" w:rsidTr="00BD1423">
        <w:tc>
          <w:tcPr>
            <w:tcW w:w="582" w:type="dxa"/>
          </w:tcPr>
          <w:p w14:paraId="7A674D94" w14:textId="77777777" w:rsidR="009D499E" w:rsidRPr="00C14140" w:rsidRDefault="009D499E" w:rsidP="001B17D9">
            <w:pPr>
              <w:jc w:val="center"/>
              <w:rPr>
                <w:sz w:val="18"/>
                <w:szCs w:val="18"/>
              </w:rPr>
            </w:pPr>
          </w:p>
        </w:tc>
        <w:tc>
          <w:tcPr>
            <w:tcW w:w="2821" w:type="dxa"/>
          </w:tcPr>
          <w:p w14:paraId="68181CED" w14:textId="77777777" w:rsidR="009D499E" w:rsidRPr="00C14140" w:rsidRDefault="009D499E" w:rsidP="001B17D9">
            <w:pPr>
              <w:rPr>
                <w:sz w:val="18"/>
                <w:szCs w:val="18"/>
              </w:rPr>
            </w:pPr>
            <w:r>
              <w:rPr>
                <w:sz w:val="18"/>
                <w:szCs w:val="18"/>
              </w:rPr>
              <w:t>Realiseren nieuwe sturingen en signaleren voor gebouw K op GBS</w:t>
            </w:r>
          </w:p>
        </w:tc>
        <w:tc>
          <w:tcPr>
            <w:tcW w:w="1915" w:type="dxa"/>
          </w:tcPr>
          <w:p w14:paraId="001A9B2D" w14:textId="77777777" w:rsidR="009D499E" w:rsidRPr="00C14140" w:rsidRDefault="009D499E" w:rsidP="001B17D9">
            <w:pPr>
              <w:jc w:val="center"/>
              <w:rPr>
                <w:sz w:val="18"/>
                <w:szCs w:val="18"/>
              </w:rPr>
            </w:pPr>
            <w:r>
              <w:rPr>
                <w:sz w:val="18"/>
                <w:szCs w:val="18"/>
              </w:rPr>
              <w:t>V</w:t>
            </w:r>
          </w:p>
        </w:tc>
        <w:tc>
          <w:tcPr>
            <w:tcW w:w="1807" w:type="dxa"/>
          </w:tcPr>
          <w:p w14:paraId="17BFB01E" w14:textId="77777777" w:rsidR="009D499E" w:rsidRPr="00C14140" w:rsidRDefault="009D499E" w:rsidP="001B17D9">
            <w:pPr>
              <w:jc w:val="center"/>
              <w:rPr>
                <w:sz w:val="18"/>
                <w:szCs w:val="18"/>
              </w:rPr>
            </w:pPr>
            <w:r>
              <w:rPr>
                <w:sz w:val="18"/>
                <w:szCs w:val="18"/>
              </w:rPr>
              <w:t>-</w:t>
            </w:r>
          </w:p>
        </w:tc>
        <w:tc>
          <w:tcPr>
            <w:tcW w:w="1937" w:type="dxa"/>
          </w:tcPr>
          <w:p w14:paraId="2FD42D2B" w14:textId="77777777" w:rsidR="009D499E" w:rsidRPr="00C14140" w:rsidRDefault="009D499E" w:rsidP="001B17D9">
            <w:pPr>
              <w:jc w:val="center"/>
              <w:rPr>
                <w:sz w:val="18"/>
                <w:szCs w:val="18"/>
              </w:rPr>
            </w:pPr>
            <w:r>
              <w:rPr>
                <w:sz w:val="18"/>
                <w:szCs w:val="18"/>
              </w:rPr>
              <w:t>O</w:t>
            </w:r>
          </w:p>
        </w:tc>
      </w:tr>
      <w:tr w:rsidR="00BD1423" w14:paraId="72EDA260" w14:textId="77777777" w:rsidTr="00BD1423">
        <w:tc>
          <w:tcPr>
            <w:tcW w:w="582" w:type="dxa"/>
          </w:tcPr>
          <w:p w14:paraId="4415C2E8" w14:textId="77777777" w:rsidR="00BD1423" w:rsidRPr="00C14140" w:rsidRDefault="00BD1423" w:rsidP="001B17D9">
            <w:pPr>
              <w:jc w:val="center"/>
              <w:rPr>
                <w:sz w:val="18"/>
                <w:szCs w:val="18"/>
              </w:rPr>
            </w:pPr>
          </w:p>
        </w:tc>
        <w:tc>
          <w:tcPr>
            <w:tcW w:w="2821" w:type="dxa"/>
          </w:tcPr>
          <w:p w14:paraId="11E32636" w14:textId="752BFF98" w:rsidR="00BD1423" w:rsidRPr="00C14140" w:rsidRDefault="00BD1423" w:rsidP="001B17D9">
            <w:pPr>
              <w:rPr>
                <w:sz w:val="18"/>
                <w:szCs w:val="18"/>
              </w:rPr>
            </w:pPr>
            <w:r>
              <w:rPr>
                <w:sz w:val="18"/>
                <w:szCs w:val="18"/>
              </w:rPr>
              <w:t>Afstemmen nieuwe vermogens algemene “nood” verlichting binnentuinen.</w:t>
            </w:r>
          </w:p>
        </w:tc>
        <w:tc>
          <w:tcPr>
            <w:tcW w:w="1915" w:type="dxa"/>
          </w:tcPr>
          <w:p w14:paraId="523D969F" w14:textId="33F97297" w:rsidR="00BD1423" w:rsidRPr="00C14140" w:rsidRDefault="00BD1423" w:rsidP="001B17D9">
            <w:pPr>
              <w:jc w:val="center"/>
              <w:rPr>
                <w:sz w:val="18"/>
                <w:szCs w:val="18"/>
              </w:rPr>
            </w:pPr>
            <w:r>
              <w:rPr>
                <w:sz w:val="18"/>
                <w:szCs w:val="18"/>
              </w:rPr>
              <w:t>V</w:t>
            </w:r>
          </w:p>
        </w:tc>
        <w:tc>
          <w:tcPr>
            <w:tcW w:w="1807" w:type="dxa"/>
          </w:tcPr>
          <w:p w14:paraId="1FC823A9" w14:textId="03ADD4D0" w:rsidR="00BD1423" w:rsidRPr="00C14140" w:rsidRDefault="00BD1423" w:rsidP="001B17D9">
            <w:pPr>
              <w:jc w:val="center"/>
              <w:rPr>
                <w:sz w:val="18"/>
                <w:szCs w:val="18"/>
              </w:rPr>
            </w:pPr>
            <w:r>
              <w:rPr>
                <w:sz w:val="18"/>
                <w:szCs w:val="18"/>
              </w:rPr>
              <w:t>O</w:t>
            </w:r>
          </w:p>
        </w:tc>
        <w:tc>
          <w:tcPr>
            <w:tcW w:w="1937" w:type="dxa"/>
          </w:tcPr>
          <w:p w14:paraId="5C0CD253" w14:textId="3EC9EDC1" w:rsidR="00BD1423" w:rsidRPr="00C14140" w:rsidRDefault="00BD1423" w:rsidP="001B17D9">
            <w:pPr>
              <w:jc w:val="center"/>
              <w:rPr>
                <w:sz w:val="18"/>
                <w:szCs w:val="18"/>
              </w:rPr>
            </w:pPr>
            <w:r>
              <w:rPr>
                <w:sz w:val="18"/>
                <w:szCs w:val="18"/>
              </w:rPr>
              <w:t>-</w:t>
            </w:r>
          </w:p>
        </w:tc>
      </w:tr>
      <w:tr w:rsidR="009D499E" w14:paraId="15EA114B" w14:textId="77777777" w:rsidTr="00BD1423">
        <w:tc>
          <w:tcPr>
            <w:tcW w:w="582" w:type="dxa"/>
          </w:tcPr>
          <w:p w14:paraId="102729BA" w14:textId="77777777" w:rsidR="009D499E" w:rsidRPr="00C14140" w:rsidRDefault="009D499E" w:rsidP="001B17D9">
            <w:pPr>
              <w:jc w:val="center"/>
              <w:rPr>
                <w:sz w:val="18"/>
                <w:szCs w:val="18"/>
              </w:rPr>
            </w:pPr>
          </w:p>
        </w:tc>
        <w:tc>
          <w:tcPr>
            <w:tcW w:w="2821" w:type="dxa"/>
          </w:tcPr>
          <w:p w14:paraId="49788D53" w14:textId="77777777" w:rsidR="009D499E" w:rsidRPr="00C14140" w:rsidRDefault="009D499E" w:rsidP="001B17D9">
            <w:pPr>
              <w:rPr>
                <w:sz w:val="18"/>
                <w:szCs w:val="18"/>
              </w:rPr>
            </w:pPr>
          </w:p>
        </w:tc>
        <w:tc>
          <w:tcPr>
            <w:tcW w:w="1915" w:type="dxa"/>
          </w:tcPr>
          <w:p w14:paraId="30D2914E" w14:textId="77777777" w:rsidR="009D499E" w:rsidRPr="00C14140" w:rsidRDefault="009D499E" w:rsidP="001B17D9">
            <w:pPr>
              <w:jc w:val="center"/>
              <w:rPr>
                <w:sz w:val="18"/>
                <w:szCs w:val="18"/>
              </w:rPr>
            </w:pPr>
          </w:p>
        </w:tc>
        <w:tc>
          <w:tcPr>
            <w:tcW w:w="1807" w:type="dxa"/>
          </w:tcPr>
          <w:p w14:paraId="191D233F" w14:textId="77777777" w:rsidR="009D499E" w:rsidRPr="00C14140" w:rsidRDefault="009D499E" w:rsidP="001B17D9">
            <w:pPr>
              <w:jc w:val="center"/>
              <w:rPr>
                <w:sz w:val="18"/>
                <w:szCs w:val="18"/>
              </w:rPr>
            </w:pPr>
          </w:p>
        </w:tc>
        <w:tc>
          <w:tcPr>
            <w:tcW w:w="1937" w:type="dxa"/>
          </w:tcPr>
          <w:p w14:paraId="0DDDED6C" w14:textId="77777777" w:rsidR="009D499E" w:rsidRPr="00C14140" w:rsidRDefault="009D499E" w:rsidP="001B17D9">
            <w:pPr>
              <w:jc w:val="center"/>
              <w:rPr>
                <w:sz w:val="18"/>
                <w:szCs w:val="18"/>
              </w:rPr>
            </w:pPr>
          </w:p>
        </w:tc>
      </w:tr>
      <w:tr w:rsidR="009D499E" w14:paraId="3116A9A7" w14:textId="77777777" w:rsidTr="00BD1423">
        <w:tc>
          <w:tcPr>
            <w:tcW w:w="582" w:type="dxa"/>
          </w:tcPr>
          <w:p w14:paraId="4FA6218B" w14:textId="77777777" w:rsidR="009D499E" w:rsidRPr="00AC5E11" w:rsidRDefault="009D499E" w:rsidP="001B17D9">
            <w:pPr>
              <w:jc w:val="center"/>
              <w:rPr>
                <w:b/>
                <w:bCs/>
                <w:sz w:val="18"/>
                <w:szCs w:val="18"/>
              </w:rPr>
            </w:pPr>
            <w:r w:rsidRPr="00AC5E11">
              <w:rPr>
                <w:b/>
                <w:bCs/>
                <w:sz w:val="18"/>
                <w:szCs w:val="18"/>
              </w:rPr>
              <w:t>3</w:t>
            </w:r>
          </w:p>
        </w:tc>
        <w:tc>
          <w:tcPr>
            <w:tcW w:w="2821" w:type="dxa"/>
          </w:tcPr>
          <w:p w14:paraId="3361AD49" w14:textId="77777777" w:rsidR="009D499E" w:rsidRPr="00AC5E11" w:rsidRDefault="009D499E" w:rsidP="001B17D9">
            <w:pPr>
              <w:rPr>
                <w:b/>
                <w:bCs/>
                <w:sz w:val="18"/>
                <w:szCs w:val="18"/>
              </w:rPr>
            </w:pPr>
            <w:r w:rsidRPr="00AC5E11">
              <w:rPr>
                <w:b/>
                <w:bCs/>
                <w:sz w:val="18"/>
                <w:szCs w:val="18"/>
              </w:rPr>
              <w:t>Testen en beproeven</w:t>
            </w:r>
          </w:p>
        </w:tc>
        <w:tc>
          <w:tcPr>
            <w:tcW w:w="1915" w:type="dxa"/>
          </w:tcPr>
          <w:p w14:paraId="4541908D" w14:textId="77777777" w:rsidR="009D499E" w:rsidRPr="00C14140" w:rsidRDefault="009D499E" w:rsidP="001B17D9">
            <w:pPr>
              <w:jc w:val="center"/>
              <w:rPr>
                <w:sz w:val="18"/>
                <w:szCs w:val="18"/>
              </w:rPr>
            </w:pPr>
          </w:p>
        </w:tc>
        <w:tc>
          <w:tcPr>
            <w:tcW w:w="1807" w:type="dxa"/>
          </w:tcPr>
          <w:p w14:paraId="7F53528D" w14:textId="77777777" w:rsidR="009D499E" w:rsidRPr="00C14140" w:rsidRDefault="009D499E" w:rsidP="001B17D9">
            <w:pPr>
              <w:jc w:val="center"/>
              <w:rPr>
                <w:sz w:val="18"/>
                <w:szCs w:val="18"/>
              </w:rPr>
            </w:pPr>
          </w:p>
        </w:tc>
        <w:tc>
          <w:tcPr>
            <w:tcW w:w="1937" w:type="dxa"/>
          </w:tcPr>
          <w:p w14:paraId="3A92E98D" w14:textId="77777777" w:rsidR="009D499E" w:rsidRPr="00C14140" w:rsidRDefault="009D499E" w:rsidP="001B17D9">
            <w:pPr>
              <w:jc w:val="center"/>
              <w:rPr>
                <w:sz w:val="18"/>
                <w:szCs w:val="18"/>
              </w:rPr>
            </w:pPr>
          </w:p>
        </w:tc>
      </w:tr>
      <w:tr w:rsidR="009D499E" w14:paraId="4BC5BD94" w14:textId="77777777" w:rsidTr="00BD1423">
        <w:tc>
          <w:tcPr>
            <w:tcW w:w="582" w:type="dxa"/>
          </w:tcPr>
          <w:p w14:paraId="4D7746EE" w14:textId="77777777" w:rsidR="009D499E" w:rsidRPr="00C14140" w:rsidRDefault="009D499E" w:rsidP="001B17D9">
            <w:pPr>
              <w:jc w:val="center"/>
              <w:rPr>
                <w:sz w:val="18"/>
                <w:szCs w:val="18"/>
              </w:rPr>
            </w:pPr>
          </w:p>
        </w:tc>
        <w:tc>
          <w:tcPr>
            <w:tcW w:w="2821" w:type="dxa"/>
          </w:tcPr>
          <w:p w14:paraId="73E8FB70" w14:textId="77777777" w:rsidR="009D499E" w:rsidRPr="00C14140" w:rsidRDefault="009D499E" w:rsidP="001B17D9">
            <w:pPr>
              <w:rPr>
                <w:sz w:val="18"/>
                <w:szCs w:val="18"/>
              </w:rPr>
            </w:pPr>
            <w:r w:rsidRPr="00F21D24">
              <w:rPr>
                <w:sz w:val="18"/>
                <w:szCs w:val="18"/>
              </w:rPr>
              <w:t xml:space="preserve">Opstellen </w:t>
            </w:r>
            <w:proofErr w:type="gramStart"/>
            <w:r w:rsidRPr="00F21D24">
              <w:rPr>
                <w:sz w:val="18"/>
                <w:szCs w:val="18"/>
              </w:rPr>
              <w:t>SAT documenten</w:t>
            </w:r>
            <w:proofErr w:type="gramEnd"/>
            <w:r>
              <w:rPr>
                <w:sz w:val="18"/>
                <w:szCs w:val="18"/>
              </w:rPr>
              <w:t xml:space="preserve"> voor testen noodverlichtingssystemen inclusief in combinatie met GBS</w:t>
            </w:r>
          </w:p>
        </w:tc>
        <w:tc>
          <w:tcPr>
            <w:tcW w:w="1915" w:type="dxa"/>
          </w:tcPr>
          <w:p w14:paraId="4C02F5DE" w14:textId="77777777" w:rsidR="009D499E" w:rsidRPr="00C14140" w:rsidRDefault="009D499E" w:rsidP="001B17D9">
            <w:pPr>
              <w:jc w:val="center"/>
              <w:rPr>
                <w:sz w:val="18"/>
                <w:szCs w:val="18"/>
              </w:rPr>
            </w:pPr>
            <w:r>
              <w:rPr>
                <w:sz w:val="18"/>
                <w:szCs w:val="18"/>
              </w:rPr>
              <w:t>V</w:t>
            </w:r>
          </w:p>
        </w:tc>
        <w:tc>
          <w:tcPr>
            <w:tcW w:w="1807" w:type="dxa"/>
          </w:tcPr>
          <w:p w14:paraId="289F1AFE" w14:textId="77777777" w:rsidR="009D499E" w:rsidRPr="00C14140" w:rsidRDefault="009D499E" w:rsidP="001B17D9">
            <w:pPr>
              <w:jc w:val="center"/>
              <w:rPr>
                <w:sz w:val="18"/>
                <w:szCs w:val="18"/>
              </w:rPr>
            </w:pPr>
            <w:r>
              <w:rPr>
                <w:sz w:val="18"/>
                <w:szCs w:val="18"/>
              </w:rPr>
              <w:t>-</w:t>
            </w:r>
          </w:p>
        </w:tc>
        <w:tc>
          <w:tcPr>
            <w:tcW w:w="1937" w:type="dxa"/>
          </w:tcPr>
          <w:p w14:paraId="7ADB57D7" w14:textId="77777777" w:rsidR="009D499E" w:rsidRPr="00C14140" w:rsidRDefault="009D499E" w:rsidP="001B17D9">
            <w:pPr>
              <w:jc w:val="center"/>
              <w:rPr>
                <w:sz w:val="18"/>
                <w:szCs w:val="18"/>
              </w:rPr>
            </w:pPr>
            <w:r>
              <w:rPr>
                <w:sz w:val="18"/>
                <w:szCs w:val="18"/>
              </w:rPr>
              <w:t>O</w:t>
            </w:r>
          </w:p>
        </w:tc>
      </w:tr>
      <w:tr w:rsidR="009D499E" w14:paraId="64CA30D0" w14:textId="77777777" w:rsidTr="00BD1423">
        <w:tc>
          <w:tcPr>
            <w:tcW w:w="582" w:type="dxa"/>
          </w:tcPr>
          <w:p w14:paraId="7C06B4F2" w14:textId="77777777" w:rsidR="009D499E" w:rsidRPr="00C14140" w:rsidRDefault="009D499E" w:rsidP="001B17D9">
            <w:pPr>
              <w:jc w:val="center"/>
              <w:rPr>
                <w:sz w:val="18"/>
                <w:szCs w:val="18"/>
              </w:rPr>
            </w:pPr>
          </w:p>
        </w:tc>
        <w:tc>
          <w:tcPr>
            <w:tcW w:w="2821" w:type="dxa"/>
          </w:tcPr>
          <w:p w14:paraId="2858B47B" w14:textId="77777777" w:rsidR="009D499E" w:rsidRPr="00C14140" w:rsidRDefault="009D499E" w:rsidP="001B17D9">
            <w:pPr>
              <w:rPr>
                <w:sz w:val="18"/>
                <w:szCs w:val="18"/>
              </w:rPr>
            </w:pPr>
            <w:r>
              <w:rPr>
                <w:sz w:val="18"/>
                <w:szCs w:val="18"/>
              </w:rPr>
              <w:t>Uitvoeren SAT testen noodverlichtingssystemen inclusief in combinatie met GBS</w:t>
            </w:r>
          </w:p>
        </w:tc>
        <w:tc>
          <w:tcPr>
            <w:tcW w:w="1915" w:type="dxa"/>
          </w:tcPr>
          <w:p w14:paraId="6E10A33B" w14:textId="77777777" w:rsidR="009D499E" w:rsidRPr="00C14140" w:rsidRDefault="009D499E" w:rsidP="001B17D9">
            <w:pPr>
              <w:jc w:val="center"/>
              <w:rPr>
                <w:sz w:val="18"/>
                <w:szCs w:val="18"/>
              </w:rPr>
            </w:pPr>
            <w:r>
              <w:rPr>
                <w:sz w:val="18"/>
                <w:szCs w:val="18"/>
              </w:rPr>
              <w:t>V</w:t>
            </w:r>
          </w:p>
        </w:tc>
        <w:tc>
          <w:tcPr>
            <w:tcW w:w="1807" w:type="dxa"/>
          </w:tcPr>
          <w:p w14:paraId="0F52F264" w14:textId="77777777" w:rsidR="009D499E" w:rsidRPr="00C14140" w:rsidRDefault="009D499E" w:rsidP="001B17D9">
            <w:pPr>
              <w:jc w:val="center"/>
              <w:rPr>
                <w:sz w:val="18"/>
                <w:szCs w:val="18"/>
              </w:rPr>
            </w:pPr>
            <w:r>
              <w:rPr>
                <w:sz w:val="18"/>
                <w:szCs w:val="18"/>
              </w:rPr>
              <w:t>-</w:t>
            </w:r>
          </w:p>
        </w:tc>
        <w:tc>
          <w:tcPr>
            <w:tcW w:w="1937" w:type="dxa"/>
          </w:tcPr>
          <w:p w14:paraId="7C29A5CA" w14:textId="77777777" w:rsidR="009D499E" w:rsidRPr="00C14140" w:rsidRDefault="009D499E" w:rsidP="001B17D9">
            <w:pPr>
              <w:jc w:val="center"/>
              <w:rPr>
                <w:sz w:val="18"/>
                <w:szCs w:val="18"/>
              </w:rPr>
            </w:pPr>
            <w:r>
              <w:rPr>
                <w:sz w:val="18"/>
                <w:szCs w:val="18"/>
              </w:rPr>
              <w:t>O</w:t>
            </w:r>
          </w:p>
        </w:tc>
      </w:tr>
      <w:tr w:rsidR="009D499E" w14:paraId="3F68F6E4" w14:textId="77777777" w:rsidTr="00BD1423">
        <w:tc>
          <w:tcPr>
            <w:tcW w:w="582" w:type="dxa"/>
          </w:tcPr>
          <w:p w14:paraId="3BBF9446" w14:textId="77777777" w:rsidR="009D499E" w:rsidRPr="00C14140" w:rsidRDefault="009D499E" w:rsidP="001B17D9">
            <w:pPr>
              <w:jc w:val="center"/>
              <w:rPr>
                <w:sz w:val="18"/>
                <w:szCs w:val="18"/>
              </w:rPr>
            </w:pPr>
          </w:p>
        </w:tc>
        <w:tc>
          <w:tcPr>
            <w:tcW w:w="2821" w:type="dxa"/>
          </w:tcPr>
          <w:p w14:paraId="3FA80CCF" w14:textId="77777777" w:rsidR="009D499E" w:rsidRPr="00C14140" w:rsidRDefault="009D499E" w:rsidP="001B17D9">
            <w:pPr>
              <w:rPr>
                <w:sz w:val="18"/>
                <w:szCs w:val="18"/>
              </w:rPr>
            </w:pPr>
          </w:p>
        </w:tc>
        <w:tc>
          <w:tcPr>
            <w:tcW w:w="1915" w:type="dxa"/>
          </w:tcPr>
          <w:p w14:paraId="2D0030B3" w14:textId="77777777" w:rsidR="009D499E" w:rsidRPr="00C14140" w:rsidRDefault="009D499E" w:rsidP="001B17D9">
            <w:pPr>
              <w:jc w:val="center"/>
              <w:rPr>
                <w:sz w:val="18"/>
                <w:szCs w:val="18"/>
              </w:rPr>
            </w:pPr>
          </w:p>
        </w:tc>
        <w:tc>
          <w:tcPr>
            <w:tcW w:w="1807" w:type="dxa"/>
          </w:tcPr>
          <w:p w14:paraId="7B591226" w14:textId="77777777" w:rsidR="009D499E" w:rsidRPr="00C14140" w:rsidRDefault="009D499E" w:rsidP="001B17D9">
            <w:pPr>
              <w:jc w:val="center"/>
              <w:rPr>
                <w:sz w:val="18"/>
                <w:szCs w:val="18"/>
              </w:rPr>
            </w:pPr>
          </w:p>
        </w:tc>
        <w:tc>
          <w:tcPr>
            <w:tcW w:w="1937" w:type="dxa"/>
          </w:tcPr>
          <w:p w14:paraId="231A34D1" w14:textId="77777777" w:rsidR="009D499E" w:rsidRPr="00C14140" w:rsidRDefault="009D499E" w:rsidP="001B17D9">
            <w:pPr>
              <w:jc w:val="center"/>
              <w:rPr>
                <w:sz w:val="18"/>
                <w:szCs w:val="18"/>
              </w:rPr>
            </w:pPr>
          </w:p>
        </w:tc>
      </w:tr>
      <w:tr w:rsidR="009D499E" w14:paraId="0F1FA71D" w14:textId="77777777" w:rsidTr="00BD1423">
        <w:tc>
          <w:tcPr>
            <w:tcW w:w="582" w:type="dxa"/>
          </w:tcPr>
          <w:p w14:paraId="38D44ED0" w14:textId="77777777" w:rsidR="009D499E" w:rsidRPr="00C14140" w:rsidRDefault="009D499E" w:rsidP="001B17D9">
            <w:pPr>
              <w:jc w:val="center"/>
              <w:rPr>
                <w:sz w:val="18"/>
                <w:szCs w:val="18"/>
              </w:rPr>
            </w:pPr>
            <w:r>
              <w:rPr>
                <w:sz w:val="18"/>
                <w:szCs w:val="18"/>
              </w:rPr>
              <w:t>4</w:t>
            </w:r>
          </w:p>
        </w:tc>
        <w:tc>
          <w:tcPr>
            <w:tcW w:w="8480" w:type="dxa"/>
            <w:gridSpan w:val="4"/>
          </w:tcPr>
          <w:p w14:paraId="43E04E10" w14:textId="77777777" w:rsidR="009D499E" w:rsidRPr="00F21D24" w:rsidRDefault="009D499E" w:rsidP="001B17D9">
            <w:pPr>
              <w:rPr>
                <w:b/>
                <w:bCs/>
                <w:sz w:val="18"/>
                <w:szCs w:val="18"/>
              </w:rPr>
            </w:pPr>
            <w:r w:rsidRPr="00F21D24">
              <w:rPr>
                <w:b/>
                <w:bCs/>
                <w:sz w:val="18"/>
                <w:szCs w:val="18"/>
              </w:rPr>
              <w:t xml:space="preserve">Revisie en </w:t>
            </w:r>
            <w:proofErr w:type="spellStart"/>
            <w:r w:rsidRPr="00F21D24">
              <w:rPr>
                <w:b/>
                <w:bCs/>
                <w:sz w:val="18"/>
                <w:szCs w:val="18"/>
              </w:rPr>
              <w:t>overdrachtbescheiden</w:t>
            </w:r>
            <w:proofErr w:type="spellEnd"/>
          </w:p>
        </w:tc>
      </w:tr>
      <w:tr w:rsidR="009D499E" w14:paraId="2926398B" w14:textId="77777777" w:rsidTr="00BD1423">
        <w:tc>
          <w:tcPr>
            <w:tcW w:w="582" w:type="dxa"/>
          </w:tcPr>
          <w:p w14:paraId="4C5ABB35" w14:textId="77777777" w:rsidR="009D499E" w:rsidRPr="00C14140" w:rsidRDefault="009D499E" w:rsidP="001B17D9">
            <w:pPr>
              <w:rPr>
                <w:sz w:val="18"/>
                <w:szCs w:val="18"/>
              </w:rPr>
            </w:pPr>
          </w:p>
        </w:tc>
        <w:tc>
          <w:tcPr>
            <w:tcW w:w="2821" w:type="dxa"/>
          </w:tcPr>
          <w:p w14:paraId="4FCCB885" w14:textId="77777777" w:rsidR="009D499E" w:rsidRPr="00C14140" w:rsidRDefault="009D499E" w:rsidP="001B17D9">
            <w:pPr>
              <w:rPr>
                <w:sz w:val="18"/>
                <w:szCs w:val="18"/>
              </w:rPr>
            </w:pPr>
            <w:r w:rsidRPr="00F21D24">
              <w:rPr>
                <w:sz w:val="18"/>
                <w:szCs w:val="18"/>
              </w:rPr>
              <w:t xml:space="preserve">Revisie plattegronden, schema's en </w:t>
            </w:r>
            <w:proofErr w:type="spellStart"/>
            <w:r w:rsidRPr="00F21D24">
              <w:rPr>
                <w:sz w:val="18"/>
                <w:szCs w:val="18"/>
              </w:rPr>
              <w:t>overigen</w:t>
            </w:r>
            <w:proofErr w:type="spellEnd"/>
          </w:p>
        </w:tc>
        <w:tc>
          <w:tcPr>
            <w:tcW w:w="1915" w:type="dxa"/>
          </w:tcPr>
          <w:p w14:paraId="7BCF9F1A" w14:textId="77777777" w:rsidR="009D499E" w:rsidRPr="00C14140" w:rsidRDefault="009D499E" w:rsidP="001B17D9">
            <w:pPr>
              <w:jc w:val="center"/>
              <w:rPr>
                <w:sz w:val="18"/>
                <w:szCs w:val="18"/>
              </w:rPr>
            </w:pPr>
            <w:r>
              <w:rPr>
                <w:sz w:val="18"/>
                <w:szCs w:val="18"/>
              </w:rPr>
              <w:t>V</w:t>
            </w:r>
          </w:p>
        </w:tc>
        <w:tc>
          <w:tcPr>
            <w:tcW w:w="1807" w:type="dxa"/>
          </w:tcPr>
          <w:p w14:paraId="6717B203" w14:textId="77777777" w:rsidR="009D499E" w:rsidRPr="00C14140" w:rsidRDefault="009D499E" w:rsidP="001B17D9">
            <w:pPr>
              <w:jc w:val="center"/>
              <w:rPr>
                <w:sz w:val="18"/>
                <w:szCs w:val="18"/>
              </w:rPr>
            </w:pPr>
            <w:r>
              <w:rPr>
                <w:sz w:val="18"/>
                <w:szCs w:val="18"/>
              </w:rPr>
              <w:t>-</w:t>
            </w:r>
          </w:p>
        </w:tc>
        <w:tc>
          <w:tcPr>
            <w:tcW w:w="1937" w:type="dxa"/>
          </w:tcPr>
          <w:p w14:paraId="131509D0" w14:textId="77777777" w:rsidR="009D499E" w:rsidRPr="00C14140" w:rsidRDefault="009D499E" w:rsidP="001B17D9">
            <w:pPr>
              <w:jc w:val="center"/>
              <w:rPr>
                <w:sz w:val="18"/>
                <w:szCs w:val="18"/>
              </w:rPr>
            </w:pPr>
            <w:r>
              <w:rPr>
                <w:sz w:val="18"/>
                <w:szCs w:val="18"/>
              </w:rPr>
              <w:t>O</w:t>
            </w:r>
          </w:p>
        </w:tc>
      </w:tr>
      <w:tr w:rsidR="009D499E" w14:paraId="5B4A19A0" w14:textId="77777777" w:rsidTr="00BD1423">
        <w:tc>
          <w:tcPr>
            <w:tcW w:w="582" w:type="dxa"/>
          </w:tcPr>
          <w:p w14:paraId="3A7A6030" w14:textId="77777777" w:rsidR="009D499E" w:rsidRPr="00C14140" w:rsidRDefault="009D499E" w:rsidP="001B17D9">
            <w:pPr>
              <w:rPr>
                <w:sz w:val="18"/>
                <w:szCs w:val="18"/>
              </w:rPr>
            </w:pPr>
          </w:p>
        </w:tc>
        <w:tc>
          <w:tcPr>
            <w:tcW w:w="2821" w:type="dxa"/>
          </w:tcPr>
          <w:p w14:paraId="03C8F15A" w14:textId="77777777" w:rsidR="009D499E" w:rsidRPr="00C14140" w:rsidRDefault="009D499E" w:rsidP="001B17D9">
            <w:pPr>
              <w:rPr>
                <w:sz w:val="18"/>
                <w:szCs w:val="18"/>
              </w:rPr>
            </w:pPr>
            <w:r w:rsidRPr="00F21D24">
              <w:rPr>
                <w:sz w:val="18"/>
                <w:szCs w:val="18"/>
              </w:rPr>
              <w:t>Revisie Regeltechnische omschrijving (RTO)</w:t>
            </w:r>
          </w:p>
        </w:tc>
        <w:tc>
          <w:tcPr>
            <w:tcW w:w="1915" w:type="dxa"/>
          </w:tcPr>
          <w:p w14:paraId="4EDFA9FD" w14:textId="77777777" w:rsidR="009D499E" w:rsidRPr="00C14140" w:rsidRDefault="009D499E" w:rsidP="001B17D9">
            <w:pPr>
              <w:jc w:val="center"/>
              <w:rPr>
                <w:sz w:val="18"/>
                <w:szCs w:val="18"/>
              </w:rPr>
            </w:pPr>
            <w:r>
              <w:rPr>
                <w:sz w:val="18"/>
                <w:szCs w:val="18"/>
              </w:rPr>
              <w:t>V</w:t>
            </w:r>
          </w:p>
        </w:tc>
        <w:tc>
          <w:tcPr>
            <w:tcW w:w="1807" w:type="dxa"/>
          </w:tcPr>
          <w:p w14:paraId="758933C3" w14:textId="77777777" w:rsidR="009D499E" w:rsidRPr="00C14140" w:rsidRDefault="009D499E" w:rsidP="001B17D9">
            <w:pPr>
              <w:jc w:val="center"/>
              <w:rPr>
                <w:sz w:val="18"/>
                <w:szCs w:val="18"/>
              </w:rPr>
            </w:pPr>
            <w:r>
              <w:rPr>
                <w:sz w:val="18"/>
                <w:szCs w:val="18"/>
              </w:rPr>
              <w:t>-</w:t>
            </w:r>
          </w:p>
        </w:tc>
        <w:tc>
          <w:tcPr>
            <w:tcW w:w="1937" w:type="dxa"/>
          </w:tcPr>
          <w:p w14:paraId="2B93AC6A" w14:textId="77777777" w:rsidR="009D499E" w:rsidRPr="00C14140" w:rsidRDefault="009D499E" w:rsidP="001B17D9">
            <w:pPr>
              <w:jc w:val="center"/>
              <w:rPr>
                <w:sz w:val="18"/>
                <w:szCs w:val="18"/>
              </w:rPr>
            </w:pPr>
            <w:r>
              <w:rPr>
                <w:sz w:val="18"/>
                <w:szCs w:val="18"/>
              </w:rPr>
              <w:t>O</w:t>
            </w:r>
          </w:p>
        </w:tc>
      </w:tr>
      <w:tr w:rsidR="009D499E" w14:paraId="536BCD56" w14:textId="77777777" w:rsidTr="00BD1423">
        <w:tc>
          <w:tcPr>
            <w:tcW w:w="582" w:type="dxa"/>
          </w:tcPr>
          <w:p w14:paraId="44C5F507" w14:textId="77777777" w:rsidR="009D499E" w:rsidRPr="00C14140" w:rsidRDefault="009D499E" w:rsidP="001B17D9">
            <w:pPr>
              <w:rPr>
                <w:sz w:val="18"/>
                <w:szCs w:val="18"/>
              </w:rPr>
            </w:pPr>
          </w:p>
        </w:tc>
        <w:tc>
          <w:tcPr>
            <w:tcW w:w="2821" w:type="dxa"/>
          </w:tcPr>
          <w:p w14:paraId="7955E894" w14:textId="77777777" w:rsidR="009D499E" w:rsidRPr="00C14140" w:rsidRDefault="009D499E" w:rsidP="001B17D9">
            <w:pPr>
              <w:rPr>
                <w:sz w:val="18"/>
                <w:szCs w:val="18"/>
              </w:rPr>
            </w:pPr>
            <w:r w:rsidRPr="00F21D24">
              <w:rPr>
                <w:sz w:val="18"/>
                <w:szCs w:val="18"/>
              </w:rPr>
              <w:t>Documentatie en overige overdrachtsbescheiden</w:t>
            </w:r>
          </w:p>
        </w:tc>
        <w:tc>
          <w:tcPr>
            <w:tcW w:w="1915" w:type="dxa"/>
          </w:tcPr>
          <w:p w14:paraId="6FC86A34" w14:textId="77777777" w:rsidR="009D499E" w:rsidRPr="00C14140" w:rsidRDefault="009D499E" w:rsidP="001B17D9">
            <w:pPr>
              <w:jc w:val="center"/>
              <w:rPr>
                <w:sz w:val="18"/>
                <w:szCs w:val="18"/>
              </w:rPr>
            </w:pPr>
            <w:r>
              <w:rPr>
                <w:sz w:val="18"/>
                <w:szCs w:val="18"/>
              </w:rPr>
              <w:t>V</w:t>
            </w:r>
          </w:p>
        </w:tc>
        <w:tc>
          <w:tcPr>
            <w:tcW w:w="1807" w:type="dxa"/>
          </w:tcPr>
          <w:p w14:paraId="769F3137" w14:textId="77777777" w:rsidR="009D499E" w:rsidRPr="00C14140" w:rsidRDefault="009D499E" w:rsidP="001B17D9">
            <w:pPr>
              <w:jc w:val="center"/>
              <w:rPr>
                <w:sz w:val="18"/>
                <w:szCs w:val="18"/>
              </w:rPr>
            </w:pPr>
            <w:r>
              <w:rPr>
                <w:sz w:val="18"/>
                <w:szCs w:val="18"/>
              </w:rPr>
              <w:t>-</w:t>
            </w:r>
          </w:p>
        </w:tc>
        <w:tc>
          <w:tcPr>
            <w:tcW w:w="1937" w:type="dxa"/>
          </w:tcPr>
          <w:p w14:paraId="54301393" w14:textId="77777777" w:rsidR="009D499E" w:rsidRPr="00C14140" w:rsidRDefault="009D499E" w:rsidP="001B17D9">
            <w:pPr>
              <w:jc w:val="center"/>
              <w:rPr>
                <w:sz w:val="18"/>
                <w:szCs w:val="18"/>
              </w:rPr>
            </w:pPr>
            <w:r>
              <w:rPr>
                <w:sz w:val="18"/>
                <w:szCs w:val="18"/>
              </w:rPr>
              <w:t>O</w:t>
            </w:r>
          </w:p>
        </w:tc>
      </w:tr>
      <w:tr w:rsidR="009D499E" w14:paraId="05C7E0AE" w14:textId="77777777" w:rsidTr="00BD1423">
        <w:tc>
          <w:tcPr>
            <w:tcW w:w="582" w:type="dxa"/>
          </w:tcPr>
          <w:p w14:paraId="69B13B66" w14:textId="77777777" w:rsidR="009D499E" w:rsidRPr="00C14140" w:rsidRDefault="009D499E" w:rsidP="001B17D9">
            <w:pPr>
              <w:rPr>
                <w:sz w:val="18"/>
                <w:szCs w:val="18"/>
              </w:rPr>
            </w:pPr>
          </w:p>
        </w:tc>
        <w:tc>
          <w:tcPr>
            <w:tcW w:w="2821" w:type="dxa"/>
          </w:tcPr>
          <w:p w14:paraId="4F40AC1E" w14:textId="77777777" w:rsidR="009D499E" w:rsidRPr="00C14140" w:rsidRDefault="009D499E" w:rsidP="001B17D9">
            <w:pPr>
              <w:rPr>
                <w:sz w:val="18"/>
                <w:szCs w:val="18"/>
              </w:rPr>
            </w:pPr>
            <w:r w:rsidRPr="00F21D24">
              <w:rPr>
                <w:sz w:val="18"/>
                <w:szCs w:val="18"/>
              </w:rPr>
              <w:t>Garantie en onderhoudsperiode**</w:t>
            </w:r>
          </w:p>
        </w:tc>
        <w:tc>
          <w:tcPr>
            <w:tcW w:w="1915" w:type="dxa"/>
          </w:tcPr>
          <w:p w14:paraId="7F17E298" w14:textId="77777777" w:rsidR="009D499E" w:rsidRPr="00C14140" w:rsidRDefault="009D499E" w:rsidP="001B17D9">
            <w:pPr>
              <w:jc w:val="center"/>
              <w:rPr>
                <w:sz w:val="18"/>
                <w:szCs w:val="18"/>
              </w:rPr>
            </w:pPr>
            <w:r>
              <w:rPr>
                <w:sz w:val="18"/>
                <w:szCs w:val="18"/>
              </w:rPr>
              <w:t>V</w:t>
            </w:r>
          </w:p>
        </w:tc>
        <w:tc>
          <w:tcPr>
            <w:tcW w:w="1807" w:type="dxa"/>
          </w:tcPr>
          <w:p w14:paraId="525CF068" w14:textId="77777777" w:rsidR="009D499E" w:rsidRPr="00C14140" w:rsidRDefault="009D499E" w:rsidP="001B17D9">
            <w:pPr>
              <w:jc w:val="center"/>
              <w:rPr>
                <w:sz w:val="18"/>
                <w:szCs w:val="18"/>
              </w:rPr>
            </w:pPr>
            <w:r>
              <w:rPr>
                <w:sz w:val="18"/>
                <w:szCs w:val="18"/>
              </w:rPr>
              <w:t>-</w:t>
            </w:r>
          </w:p>
        </w:tc>
        <w:tc>
          <w:tcPr>
            <w:tcW w:w="1937" w:type="dxa"/>
          </w:tcPr>
          <w:p w14:paraId="527FA41D" w14:textId="77777777" w:rsidR="009D499E" w:rsidRPr="00C14140" w:rsidRDefault="009D499E" w:rsidP="001B17D9">
            <w:pPr>
              <w:jc w:val="center"/>
              <w:rPr>
                <w:sz w:val="18"/>
                <w:szCs w:val="18"/>
              </w:rPr>
            </w:pPr>
            <w:r>
              <w:rPr>
                <w:sz w:val="18"/>
                <w:szCs w:val="18"/>
              </w:rPr>
              <w:t>O</w:t>
            </w:r>
          </w:p>
        </w:tc>
      </w:tr>
      <w:tr w:rsidR="009D499E" w14:paraId="4D1D47BA" w14:textId="77777777" w:rsidTr="00BD1423">
        <w:tc>
          <w:tcPr>
            <w:tcW w:w="582" w:type="dxa"/>
          </w:tcPr>
          <w:p w14:paraId="60031527" w14:textId="77777777" w:rsidR="009D499E" w:rsidRPr="00C14140" w:rsidRDefault="009D499E" w:rsidP="001B17D9">
            <w:pPr>
              <w:rPr>
                <w:sz w:val="18"/>
                <w:szCs w:val="18"/>
              </w:rPr>
            </w:pPr>
          </w:p>
        </w:tc>
        <w:tc>
          <w:tcPr>
            <w:tcW w:w="2821" w:type="dxa"/>
          </w:tcPr>
          <w:p w14:paraId="714F5DDE" w14:textId="77777777" w:rsidR="009D499E" w:rsidRPr="00C14140" w:rsidRDefault="009D499E" w:rsidP="001B17D9">
            <w:pPr>
              <w:rPr>
                <w:sz w:val="18"/>
                <w:szCs w:val="18"/>
              </w:rPr>
            </w:pPr>
          </w:p>
        </w:tc>
        <w:tc>
          <w:tcPr>
            <w:tcW w:w="1915" w:type="dxa"/>
          </w:tcPr>
          <w:p w14:paraId="0CD112A6" w14:textId="77777777" w:rsidR="009D499E" w:rsidRPr="00C14140" w:rsidRDefault="009D499E" w:rsidP="001B17D9">
            <w:pPr>
              <w:jc w:val="center"/>
              <w:rPr>
                <w:sz w:val="18"/>
                <w:szCs w:val="18"/>
              </w:rPr>
            </w:pPr>
          </w:p>
        </w:tc>
        <w:tc>
          <w:tcPr>
            <w:tcW w:w="1807" w:type="dxa"/>
          </w:tcPr>
          <w:p w14:paraId="4BC52DAA" w14:textId="77777777" w:rsidR="009D499E" w:rsidRPr="00C14140" w:rsidRDefault="009D499E" w:rsidP="001B17D9">
            <w:pPr>
              <w:jc w:val="center"/>
              <w:rPr>
                <w:sz w:val="18"/>
                <w:szCs w:val="18"/>
              </w:rPr>
            </w:pPr>
          </w:p>
        </w:tc>
        <w:tc>
          <w:tcPr>
            <w:tcW w:w="1937" w:type="dxa"/>
          </w:tcPr>
          <w:p w14:paraId="6675B7E9" w14:textId="77777777" w:rsidR="009D499E" w:rsidRPr="00C14140" w:rsidRDefault="009D499E" w:rsidP="001B17D9">
            <w:pPr>
              <w:jc w:val="center"/>
              <w:rPr>
                <w:sz w:val="18"/>
                <w:szCs w:val="18"/>
              </w:rPr>
            </w:pPr>
          </w:p>
        </w:tc>
      </w:tr>
    </w:tbl>
    <w:p w14:paraId="77557B7D" w14:textId="77777777" w:rsidR="009D499E" w:rsidRDefault="009D499E" w:rsidP="009D499E">
      <w:r w:rsidRPr="00F21D24">
        <w:t>** zie specifieke voorwaarden</w:t>
      </w:r>
    </w:p>
    <w:p w14:paraId="585FEBE6" w14:textId="77777777" w:rsidR="009D499E" w:rsidRDefault="009D499E" w:rsidP="009D499E">
      <w:pPr>
        <w:pStyle w:val="Geenafstand"/>
      </w:pPr>
    </w:p>
    <w:sectPr w:rsidR="009D49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9939" w14:textId="77777777" w:rsidR="00F8709C" w:rsidRDefault="00F8709C" w:rsidP="009D499E">
      <w:pPr>
        <w:spacing w:after="0" w:line="240" w:lineRule="auto"/>
      </w:pPr>
      <w:r>
        <w:separator/>
      </w:r>
    </w:p>
  </w:endnote>
  <w:endnote w:type="continuationSeparator" w:id="0">
    <w:p w14:paraId="1822AC36" w14:textId="77777777" w:rsidR="00F8709C" w:rsidRDefault="00F8709C" w:rsidP="009D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3927" w14:textId="77777777" w:rsidR="00F8709C" w:rsidRDefault="00F8709C" w:rsidP="009D499E">
      <w:pPr>
        <w:spacing w:after="0" w:line="240" w:lineRule="auto"/>
      </w:pPr>
      <w:r>
        <w:separator/>
      </w:r>
    </w:p>
  </w:footnote>
  <w:footnote w:type="continuationSeparator" w:id="0">
    <w:p w14:paraId="2DEB2E3E" w14:textId="77777777" w:rsidR="00F8709C" w:rsidRDefault="00F8709C" w:rsidP="009D4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9E"/>
    <w:rsid w:val="00134611"/>
    <w:rsid w:val="006142FC"/>
    <w:rsid w:val="00840E2E"/>
    <w:rsid w:val="0086599D"/>
    <w:rsid w:val="008C2088"/>
    <w:rsid w:val="009D499E"/>
    <w:rsid w:val="00A249B0"/>
    <w:rsid w:val="00BD1423"/>
    <w:rsid w:val="00F87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5AAEA"/>
  <w15:chartTrackingRefBased/>
  <w15:docId w15:val="{70CEA5DC-C6B9-40ED-9CF9-FAA30984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D4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9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9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9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9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9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9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9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9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D49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9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9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9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9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9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9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99E"/>
    <w:rPr>
      <w:rFonts w:eastAsiaTheme="majorEastAsia" w:cstheme="majorBidi"/>
      <w:color w:val="272727" w:themeColor="text1" w:themeTint="D8"/>
    </w:rPr>
  </w:style>
  <w:style w:type="paragraph" w:styleId="Titel">
    <w:name w:val="Title"/>
    <w:basedOn w:val="Standaard"/>
    <w:next w:val="Standaard"/>
    <w:link w:val="TitelChar"/>
    <w:uiPriority w:val="10"/>
    <w:qFormat/>
    <w:rsid w:val="009D4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9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9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9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9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99E"/>
    <w:rPr>
      <w:i/>
      <w:iCs/>
      <w:color w:val="404040" w:themeColor="text1" w:themeTint="BF"/>
    </w:rPr>
  </w:style>
  <w:style w:type="paragraph" w:styleId="Lijstalinea">
    <w:name w:val="List Paragraph"/>
    <w:basedOn w:val="Standaard"/>
    <w:uiPriority w:val="34"/>
    <w:qFormat/>
    <w:rsid w:val="009D499E"/>
    <w:pPr>
      <w:ind w:left="720"/>
      <w:contextualSpacing/>
    </w:pPr>
  </w:style>
  <w:style w:type="character" w:styleId="Intensievebenadrukking">
    <w:name w:val="Intense Emphasis"/>
    <w:basedOn w:val="Standaardalinea-lettertype"/>
    <w:uiPriority w:val="21"/>
    <w:qFormat/>
    <w:rsid w:val="009D499E"/>
    <w:rPr>
      <w:i/>
      <w:iCs/>
      <w:color w:val="2F5496" w:themeColor="accent1" w:themeShade="BF"/>
    </w:rPr>
  </w:style>
  <w:style w:type="paragraph" w:styleId="Duidelijkcitaat">
    <w:name w:val="Intense Quote"/>
    <w:basedOn w:val="Standaard"/>
    <w:next w:val="Standaard"/>
    <w:link w:val="DuidelijkcitaatChar"/>
    <w:uiPriority w:val="30"/>
    <w:qFormat/>
    <w:rsid w:val="009D4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99E"/>
    <w:rPr>
      <w:i/>
      <w:iCs/>
      <w:color w:val="2F5496" w:themeColor="accent1" w:themeShade="BF"/>
    </w:rPr>
  </w:style>
  <w:style w:type="character" w:styleId="Intensieveverwijzing">
    <w:name w:val="Intense Reference"/>
    <w:basedOn w:val="Standaardalinea-lettertype"/>
    <w:uiPriority w:val="32"/>
    <w:qFormat/>
    <w:rsid w:val="009D499E"/>
    <w:rPr>
      <w:b/>
      <w:bCs/>
      <w:smallCaps/>
      <w:color w:val="2F5496" w:themeColor="accent1" w:themeShade="BF"/>
      <w:spacing w:val="5"/>
    </w:rPr>
  </w:style>
  <w:style w:type="paragraph" w:styleId="Geenafstand">
    <w:name w:val="No Spacing"/>
    <w:uiPriority w:val="1"/>
    <w:qFormat/>
    <w:rsid w:val="009D499E"/>
    <w:pPr>
      <w:spacing w:after="0" w:line="240" w:lineRule="auto"/>
    </w:pPr>
  </w:style>
  <w:style w:type="table" w:styleId="Tabelraster">
    <w:name w:val="Table Grid"/>
    <w:basedOn w:val="Standaardtabel"/>
    <w:uiPriority w:val="39"/>
    <w:rsid w:val="009D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F1A72D208104EB2E0C87ECC213177" ma:contentTypeVersion="0" ma:contentTypeDescription="Create a new document." ma:contentTypeScope="" ma:versionID="db94793972b92c3c3a6f3a975fbaf113">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C70AE-83F2-4199-AE0D-57F3FC748222}">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86CE7D-D898-430C-B963-5FC0E2C8207F}">
  <ds:schemaRefs>
    <ds:schemaRef ds:uri="http://schemas.microsoft.com/sharepoint/v3/contenttype/forms"/>
  </ds:schemaRefs>
</ds:datastoreItem>
</file>

<file path=customXml/itemProps3.xml><?xml version="1.0" encoding="utf-8"?>
<ds:datastoreItem xmlns:ds="http://schemas.openxmlformats.org/officeDocument/2006/customXml" ds:itemID="{1C5534D4-0121-4979-8445-367C82FFC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van Klaveren</dc:creator>
  <cp:keywords/>
  <dc:description/>
  <cp:lastModifiedBy>Geutjes, Anita</cp:lastModifiedBy>
  <cp:revision>2</cp:revision>
  <dcterms:created xsi:type="dcterms:W3CDTF">2026-05-12T08:02:00Z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0x0101008A5F1A72D208104EB2E0C87ECC213177</vt:lpwstr>
  </property>
  <property fmtid="{D5CDD505-2E9C-101B-9397-08002B2CF9AE}" pid="3" name="MediaServiceImageTags">
    <vt:lpwstr/>
  </property>
</Properties>
</file>