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A44AC5">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970C3">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276AE2">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BE5D91">
          <w:pPr>
            <w:pStyle w:val="Inhopg1"/>
            <w:rPr>
              <w:rFonts w:asciiTheme="minorHAnsi" w:eastAsiaTheme="minorEastAsia" w:hAnsiTheme="minorHAnsi" w:cstheme="minorBidi"/>
              <w:bCs w:val="0"/>
              <w:noProof/>
              <w:color w:val="auto"/>
              <w:sz w:val="22"/>
              <w:szCs w:val="22"/>
            </w:rPr>
          </w:pPr>
          <w:hyperlink w:anchor="_Toc99476056" w:history="1">
            <w:r w:rsidRPr="0056029C">
              <w:rPr>
                <w:rStyle w:val="Hyperlink"/>
                <w:rFonts w:cs="Arial"/>
                <w:b/>
                <w:noProof/>
                <w:lang w:val="nl-NL"/>
              </w:rPr>
              <w:t>Artikel 1: Definities</w:t>
            </w:r>
            <w:r>
              <w:rPr>
                <w:noProof/>
                <w:webHidden/>
              </w:rPr>
              <w:tab/>
            </w:r>
            <w:r>
              <w:rPr>
                <w:noProof/>
                <w:webHidden/>
              </w:rPr>
              <w:fldChar w:fldCharType="begin"/>
            </w:r>
            <w:r>
              <w:rPr>
                <w:noProof/>
                <w:webHidden/>
              </w:rPr>
              <w:instrText xml:space="preserve"> PAGEREF _Toc99476056 \h </w:instrText>
            </w:r>
            <w:r>
              <w:rPr>
                <w:noProof/>
                <w:webHidden/>
              </w:rPr>
            </w:r>
            <w:r>
              <w:rPr>
                <w:noProof/>
                <w:webHidden/>
              </w:rPr>
              <w:fldChar w:fldCharType="separate"/>
            </w:r>
            <w:r>
              <w:rPr>
                <w:noProof/>
                <w:webHidden/>
              </w:rPr>
              <w:t>3</w:t>
            </w:r>
            <w:r>
              <w:rPr>
                <w:noProof/>
                <w:webHidden/>
              </w:rPr>
              <w:fldChar w:fldCharType="end"/>
            </w:r>
          </w:hyperlink>
        </w:p>
        <w:p w14:paraId="51A04ECD" w14:textId="44C37FCA" w:rsidR="00BE5D91" w:rsidRDefault="00BE5D91">
          <w:pPr>
            <w:pStyle w:val="Inhopg1"/>
            <w:rPr>
              <w:rFonts w:asciiTheme="minorHAnsi" w:eastAsiaTheme="minorEastAsia" w:hAnsiTheme="minorHAnsi" w:cstheme="minorBidi"/>
              <w:bCs w:val="0"/>
              <w:noProof/>
              <w:color w:val="auto"/>
              <w:sz w:val="22"/>
              <w:szCs w:val="22"/>
            </w:rPr>
          </w:pPr>
          <w:hyperlink w:anchor="_Toc99476057" w:history="1">
            <w:r w:rsidRPr="0056029C">
              <w:rPr>
                <w:rStyle w:val="Hyperlink"/>
                <w:rFonts w:cs="Arial"/>
                <w:b/>
                <w:noProof/>
                <w:lang w:val="nl-NL"/>
              </w:rPr>
              <w:t>Artikel 2: Onderwerp en opdracht Verwerkersovereenkomst</w:t>
            </w:r>
            <w:r>
              <w:rPr>
                <w:noProof/>
                <w:webHidden/>
              </w:rPr>
              <w:tab/>
            </w:r>
            <w:r>
              <w:rPr>
                <w:noProof/>
                <w:webHidden/>
              </w:rPr>
              <w:fldChar w:fldCharType="begin"/>
            </w:r>
            <w:r>
              <w:rPr>
                <w:noProof/>
                <w:webHidden/>
              </w:rPr>
              <w:instrText xml:space="preserve"> PAGEREF _Toc99476057 \h </w:instrText>
            </w:r>
            <w:r>
              <w:rPr>
                <w:noProof/>
                <w:webHidden/>
              </w:rPr>
            </w:r>
            <w:r>
              <w:rPr>
                <w:noProof/>
                <w:webHidden/>
              </w:rPr>
              <w:fldChar w:fldCharType="separate"/>
            </w:r>
            <w:r>
              <w:rPr>
                <w:noProof/>
                <w:webHidden/>
              </w:rPr>
              <w:t>4</w:t>
            </w:r>
            <w:r>
              <w:rPr>
                <w:noProof/>
                <w:webHidden/>
              </w:rPr>
              <w:fldChar w:fldCharType="end"/>
            </w:r>
          </w:hyperlink>
        </w:p>
        <w:p w14:paraId="0DFBFBDF" w14:textId="40225F6C" w:rsidR="00BE5D91" w:rsidRDefault="00BE5D91">
          <w:pPr>
            <w:pStyle w:val="Inhopg1"/>
            <w:rPr>
              <w:rFonts w:asciiTheme="minorHAnsi" w:eastAsiaTheme="minorEastAsia" w:hAnsiTheme="minorHAnsi" w:cstheme="minorBidi"/>
              <w:bCs w:val="0"/>
              <w:noProof/>
              <w:color w:val="auto"/>
              <w:sz w:val="22"/>
              <w:szCs w:val="22"/>
            </w:rPr>
          </w:pPr>
          <w:hyperlink w:anchor="_Toc99476058" w:history="1">
            <w:r w:rsidRPr="0056029C">
              <w:rPr>
                <w:rStyle w:val="Hyperlink"/>
                <w:rFonts w:cs="Arial"/>
                <w:b/>
                <w:noProof/>
                <w:lang w:val="nl-NL"/>
              </w:rPr>
              <w:t>Artikel 3: Rolverdeling</w:t>
            </w:r>
            <w:r>
              <w:rPr>
                <w:noProof/>
                <w:webHidden/>
              </w:rPr>
              <w:tab/>
            </w:r>
            <w:r>
              <w:rPr>
                <w:noProof/>
                <w:webHidden/>
              </w:rPr>
              <w:fldChar w:fldCharType="begin"/>
            </w:r>
            <w:r>
              <w:rPr>
                <w:noProof/>
                <w:webHidden/>
              </w:rPr>
              <w:instrText xml:space="preserve"> PAGEREF _Toc99476058 \h </w:instrText>
            </w:r>
            <w:r>
              <w:rPr>
                <w:noProof/>
                <w:webHidden/>
              </w:rPr>
            </w:r>
            <w:r>
              <w:rPr>
                <w:noProof/>
                <w:webHidden/>
              </w:rPr>
              <w:fldChar w:fldCharType="separate"/>
            </w:r>
            <w:r>
              <w:rPr>
                <w:noProof/>
                <w:webHidden/>
              </w:rPr>
              <w:t>4</w:t>
            </w:r>
            <w:r>
              <w:rPr>
                <w:noProof/>
                <w:webHidden/>
              </w:rPr>
              <w:fldChar w:fldCharType="end"/>
            </w:r>
          </w:hyperlink>
        </w:p>
        <w:p w14:paraId="16FA54FC" w14:textId="2B4BE06E" w:rsidR="00BE5D91" w:rsidRDefault="00BE5D91">
          <w:pPr>
            <w:pStyle w:val="Inhopg1"/>
            <w:rPr>
              <w:rFonts w:asciiTheme="minorHAnsi" w:eastAsiaTheme="minorEastAsia" w:hAnsiTheme="minorHAnsi" w:cstheme="minorBidi"/>
              <w:bCs w:val="0"/>
              <w:noProof/>
              <w:color w:val="auto"/>
              <w:sz w:val="22"/>
              <w:szCs w:val="22"/>
            </w:rPr>
          </w:pPr>
          <w:hyperlink w:anchor="_Toc99476059" w:history="1">
            <w:r w:rsidRPr="0056029C">
              <w:rPr>
                <w:rStyle w:val="Hyperlink"/>
                <w:rFonts w:cs="Arial"/>
                <w:b/>
                <w:noProof/>
                <w:lang w:val="nl-NL"/>
              </w:rPr>
              <w:t>Artikel 4: Privacyconvenant</w:t>
            </w:r>
            <w:r>
              <w:rPr>
                <w:noProof/>
                <w:webHidden/>
              </w:rPr>
              <w:tab/>
            </w:r>
            <w:r>
              <w:rPr>
                <w:noProof/>
                <w:webHidden/>
              </w:rPr>
              <w:fldChar w:fldCharType="begin"/>
            </w:r>
            <w:r>
              <w:rPr>
                <w:noProof/>
                <w:webHidden/>
              </w:rPr>
              <w:instrText xml:space="preserve"> PAGEREF _Toc99476059 \h </w:instrText>
            </w:r>
            <w:r>
              <w:rPr>
                <w:noProof/>
                <w:webHidden/>
              </w:rPr>
            </w:r>
            <w:r>
              <w:rPr>
                <w:noProof/>
                <w:webHidden/>
              </w:rPr>
              <w:fldChar w:fldCharType="separate"/>
            </w:r>
            <w:r>
              <w:rPr>
                <w:noProof/>
                <w:webHidden/>
              </w:rPr>
              <w:t>5</w:t>
            </w:r>
            <w:r>
              <w:rPr>
                <w:noProof/>
                <w:webHidden/>
              </w:rPr>
              <w:fldChar w:fldCharType="end"/>
            </w:r>
          </w:hyperlink>
        </w:p>
        <w:p w14:paraId="1C9AF927" w14:textId="5A678AD9" w:rsidR="00BE5D91" w:rsidRDefault="00BE5D91">
          <w:pPr>
            <w:pStyle w:val="Inhopg1"/>
            <w:rPr>
              <w:rFonts w:asciiTheme="minorHAnsi" w:eastAsiaTheme="minorEastAsia" w:hAnsiTheme="minorHAnsi" w:cstheme="minorBidi"/>
              <w:bCs w:val="0"/>
              <w:noProof/>
              <w:color w:val="auto"/>
              <w:sz w:val="22"/>
              <w:szCs w:val="22"/>
            </w:rPr>
          </w:pPr>
          <w:hyperlink w:anchor="_Toc99476060" w:history="1">
            <w:r w:rsidRPr="0056029C">
              <w:rPr>
                <w:rStyle w:val="Hyperlink"/>
                <w:rFonts w:cs="Arial"/>
                <w:b/>
                <w:noProof/>
                <w:lang w:val="nl-NL"/>
              </w:rPr>
              <w:t>Artikel 5: Gebruik Persoonsgegevens</w:t>
            </w:r>
            <w:r>
              <w:rPr>
                <w:noProof/>
                <w:webHidden/>
              </w:rPr>
              <w:tab/>
            </w:r>
            <w:r>
              <w:rPr>
                <w:noProof/>
                <w:webHidden/>
              </w:rPr>
              <w:fldChar w:fldCharType="begin"/>
            </w:r>
            <w:r>
              <w:rPr>
                <w:noProof/>
                <w:webHidden/>
              </w:rPr>
              <w:instrText xml:space="preserve"> PAGEREF _Toc99476060 \h </w:instrText>
            </w:r>
            <w:r>
              <w:rPr>
                <w:noProof/>
                <w:webHidden/>
              </w:rPr>
            </w:r>
            <w:r>
              <w:rPr>
                <w:noProof/>
                <w:webHidden/>
              </w:rPr>
              <w:fldChar w:fldCharType="separate"/>
            </w:r>
            <w:r>
              <w:rPr>
                <w:noProof/>
                <w:webHidden/>
              </w:rPr>
              <w:t>5</w:t>
            </w:r>
            <w:r>
              <w:rPr>
                <w:noProof/>
                <w:webHidden/>
              </w:rPr>
              <w:fldChar w:fldCharType="end"/>
            </w:r>
          </w:hyperlink>
        </w:p>
        <w:p w14:paraId="00550A17" w14:textId="392511BB" w:rsidR="00BE5D91" w:rsidRDefault="00BE5D91">
          <w:pPr>
            <w:pStyle w:val="Inhopg1"/>
            <w:rPr>
              <w:rFonts w:asciiTheme="minorHAnsi" w:eastAsiaTheme="minorEastAsia" w:hAnsiTheme="minorHAnsi" w:cstheme="minorBidi"/>
              <w:bCs w:val="0"/>
              <w:noProof/>
              <w:color w:val="auto"/>
              <w:sz w:val="22"/>
              <w:szCs w:val="22"/>
            </w:rPr>
          </w:pPr>
          <w:hyperlink w:anchor="_Toc99476061" w:history="1">
            <w:r w:rsidRPr="0056029C">
              <w:rPr>
                <w:rStyle w:val="Hyperlink"/>
                <w:rFonts w:cs="Arial"/>
                <w:b/>
                <w:noProof/>
                <w:lang w:val="nl-NL"/>
              </w:rPr>
              <w:t>Artikel 6: Vertrouwelijkheid</w:t>
            </w:r>
            <w:r>
              <w:rPr>
                <w:noProof/>
                <w:webHidden/>
              </w:rPr>
              <w:tab/>
            </w:r>
            <w:r>
              <w:rPr>
                <w:noProof/>
                <w:webHidden/>
              </w:rPr>
              <w:fldChar w:fldCharType="begin"/>
            </w:r>
            <w:r>
              <w:rPr>
                <w:noProof/>
                <w:webHidden/>
              </w:rPr>
              <w:instrText xml:space="preserve"> PAGEREF _Toc99476061 \h </w:instrText>
            </w:r>
            <w:r>
              <w:rPr>
                <w:noProof/>
                <w:webHidden/>
              </w:rPr>
            </w:r>
            <w:r>
              <w:rPr>
                <w:noProof/>
                <w:webHidden/>
              </w:rPr>
              <w:fldChar w:fldCharType="separate"/>
            </w:r>
            <w:r>
              <w:rPr>
                <w:noProof/>
                <w:webHidden/>
              </w:rPr>
              <w:t>6</w:t>
            </w:r>
            <w:r>
              <w:rPr>
                <w:noProof/>
                <w:webHidden/>
              </w:rPr>
              <w:fldChar w:fldCharType="end"/>
            </w:r>
          </w:hyperlink>
        </w:p>
        <w:p w14:paraId="5970BB51" w14:textId="49677F05" w:rsidR="00BE5D91" w:rsidRDefault="00BE5D91">
          <w:pPr>
            <w:pStyle w:val="Inhopg1"/>
            <w:rPr>
              <w:rFonts w:asciiTheme="minorHAnsi" w:eastAsiaTheme="minorEastAsia" w:hAnsiTheme="minorHAnsi" w:cstheme="minorBidi"/>
              <w:bCs w:val="0"/>
              <w:noProof/>
              <w:color w:val="auto"/>
              <w:sz w:val="22"/>
              <w:szCs w:val="22"/>
            </w:rPr>
          </w:pPr>
          <w:hyperlink w:anchor="_Toc99476062" w:history="1">
            <w:r w:rsidRPr="0056029C">
              <w:rPr>
                <w:rStyle w:val="Hyperlink"/>
                <w:rFonts w:cs="Arial"/>
                <w:b/>
                <w:noProof/>
                <w:lang w:val="nl-NL"/>
              </w:rPr>
              <w:t>Artikel 7: Beveiliging en controle</w:t>
            </w:r>
            <w:r>
              <w:rPr>
                <w:noProof/>
                <w:webHidden/>
              </w:rPr>
              <w:tab/>
            </w:r>
            <w:r>
              <w:rPr>
                <w:noProof/>
                <w:webHidden/>
              </w:rPr>
              <w:fldChar w:fldCharType="begin"/>
            </w:r>
            <w:r>
              <w:rPr>
                <w:noProof/>
                <w:webHidden/>
              </w:rPr>
              <w:instrText xml:space="preserve"> PAGEREF _Toc99476062 \h </w:instrText>
            </w:r>
            <w:r>
              <w:rPr>
                <w:noProof/>
                <w:webHidden/>
              </w:rPr>
            </w:r>
            <w:r>
              <w:rPr>
                <w:noProof/>
                <w:webHidden/>
              </w:rPr>
              <w:fldChar w:fldCharType="separate"/>
            </w:r>
            <w:r>
              <w:rPr>
                <w:noProof/>
                <w:webHidden/>
              </w:rPr>
              <w:t>6</w:t>
            </w:r>
            <w:r>
              <w:rPr>
                <w:noProof/>
                <w:webHidden/>
              </w:rPr>
              <w:fldChar w:fldCharType="end"/>
            </w:r>
          </w:hyperlink>
        </w:p>
        <w:p w14:paraId="54CEFDA6" w14:textId="76AF0902" w:rsidR="00BE5D91" w:rsidRDefault="00BE5D91">
          <w:pPr>
            <w:pStyle w:val="Inhopg1"/>
            <w:rPr>
              <w:rFonts w:asciiTheme="minorHAnsi" w:eastAsiaTheme="minorEastAsia" w:hAnsiTheme="minorHAnsi" w:cstheme="minorBidi"/>
              <w:bCs w:val="0"/>
              <w:noProof/>
              <w:color w:val="auto"/>
              <w:sz w:val="22"/>
              <w:szCs w:val="22"/>
            </w:rPr>
          </w:pPr>
          <w:hyperlink w:anchor="_Toc99476063" w:history="1">
            <w:r w:rsidRPr="0056029C">
              <w:rPr>
                <w:rStyle w:val="Hyperlink"/>
                <w:rFonts w:cs="Arial"/>
                <w:b/>
                <w:noProof/>
                <w:lang w:val="nl-NL"/>
              </w:rPr>
              <w:t>Artikel 8: Datalekken</w:t>
            </w:r>
            <w:r>
              <w:rPr>
                <w:noProof/>
                <w:webHidden/>
              </w:rPr>
              <w:tab/>
            </w:r>
            <w:r>
              <w:rPr>
                <w:noProof/>
                <w:webHidden/>
              </w:rPr>
              <w:fldChar w:fldCharType="begin"/>
            </w:r>
            <w:r>
              <w:rPr>
                <w:noProof/>
                <w:webHidden/>
              </w:rPr>
              <w:instrText xml:space="preserve"> PAGEREF _Toc99476063 \h </w:instrText>
            </w:r>
            <w:r>
              <w:rPr>
                <w:noProof/>
                <w:webHidden/>
              </w:rPr>
            </w:r>
            <w:r>
              <w:rPr>
                <w:noProof/>
                <w:webHidden/>
              </w:rPr>
              <w:fldChar w:fldCharType="separate"/>
            </w:r>
            <w:r>
              <w:rPr>
                <w:noProof/>
                <w:webHidden/>
              </w:rPr>
              <w:t>7</w:t>
            </w:r>
            <w:r>
              <w:rPr>
                <w:noProof/>
                <w:webHidden/>
              </w:rPr>
              <w:fldChar w:fldCharType="end"/>
            </w:r>
          </w:hyperlink>
        </w:p>
        <w:p w14:paraId="23E5AEC2" w14:textId="7679913B" w:rsidR="00BE5D91" w:rsidRDefault="00BE5D91">
          <w:pPr>
            <w:pStyle w:val="Inhopg1"/>
            <w:rPr>
              <w:rFonts w:asciiTheme="minorHAnsi" w:eastAsiaTheme="minorEastAsia" w:hAnsiTheme="minorHAnsi" w:cstheme="minorBidi"/>
              <w:bCs w:val="0"/>
              <w:noProof/>
              <w:color w:val="auto"/>
              <w:sz w:val="22"/>
              <w:szCs w:val="22"/>
            </w:rPr>
          </w:pPr>
          <w:hyperlink w:anchor="_Toc99476064" w:history="1">
            <w:r w:rsidRPr="0056029C">
              <w:rPr>
                <w:rStyle w:val="Hyperlink"/>
                <w:rFonts w:cs="Arial"/>
                <w:b/>
                <w:noProof/>
                <w:lang w:val="nl-NL"/>
              </w:rPr>
              <w:t>Artikel 9: Medewerking</w:t>
            </w:r>
            <w:r>
              <w:rPr>
                <w:noProof/>
                <w:webHidden/>
              </w:rPr>
              <w:tab/>
            </w:r>
            <w:r>
              <w:rPr>
                <w:noProof/>
                <w:webHidden/>
              </w:rPr>
              <w:fldChar w:fldCharType="begin"/>
            </w:r>
            <w:r>
              <w:rPr>
                <w:noProof/>
                <w:webHidden/>
              </w:rPr>
              <w:instrText xml:space="preserve"> PAGEREF _Toc99476064 \h </w:instrText>
            </w:r>
            <w:r>
              <w:rPr>
                <w:noProof/>
                <w:webHidden/>
              </w:rPr>
            </w:r>
            <w:r>
              <w:rPr>
                <w:noProof/>
                <w:webHidden/>
              </w:rPr>
              <w:fldChar w:fldCharType="separate"/>
            </w:r>
            <w:r>
              <w:rPr>
                <w:noProof/>
                <w:webHidden/>
              </w:rPr>
              <w:t>8</w:t>
            </w:r>
            <w:r>
              <w:rPr>
                <w:noProof/>
                <w:webHidden/>
              </w:rPr>
              <w:fldChar w:fldCharType="end"/>
            </w:r>
          </w:hyperlink>
        </w:p>
        <w:p w14:paraId="3D6E2011" w14:textId="443C10CD" w:rsidR="00BE5D91" w:rsidRDefault="00BE5D91">
          <w:pPr>
            <w:pStyle w:val="Inhopg1"/>
            <w:rPr>
              <w:rFonts w:asciiTheme="minorHAnsi" w:eastAsiaTheme="minorEastAsia" w:hAnsiTheme="minorHAnsi" w:cstheme="minorBidi"/>
              <w:bCs w:val="0"/>
              <w:noProof/>
              <w:color w:val="auto"/>
              <w:sz w:val="22"/>
              <w:szCs w:val="22"/>
            </w:rPr>
          </w:pPr>
          <w:hyperlink w:anchor="_Toc99476065" w:history="1">
            <w:r w:rsidRPr="0056029C">
              <w:rPr>
                <w:rStyle w:val="Hyperlink"/>
                <w:rFonts w:cs="Arial"/>
                <w:b/>
                <w:noProof/>
                <w:lang w:val="nl-NL"/>
              </w:rPr>
              <w:t>Artikel 10: Doorgifte aan derde landen buiten de Europese Economische Ruimte</w:t>
            </w:r>
            <w:r>
              <w:rPr>
                <w:noProof/>
                <w:webHidden/>
              </w:rPr>
              <w:tab/>
            </w:r>
            <w:r>
              <w:rPr>
                <w:noProof/>
                <w:webHidden/>
              </w:rPr>
              <w:fldChar w:fldCharType="begin"/>
            </w:r>
            <w:r>
              <w:rPr>
                <w:noProof/>
                <w:webHidden/>
              </w:rPr>
              <w:instrText xml:space="preserve"> PAGEREF _Toc99476065 \h </w:instrText>
            </w:r>
            <w:r>
              <w:rPr>
                <w:noProof/>
                <w:webHidden/>
              </w:rPr>
            </w:r>
            <w:r>
              <w:rPr>
                <w:noProof/>
                <w:webHidden/>
              </w:rPr>
              <w:fldChar w:fldCharType="separate"/>
            </w:r>
            <w:r>
              <w:rPr>
                <w:noProof/>
                <w:webHidden/>
              </w:rPr>
              <w:t>9</w:t>
            </w:r>
            <w:r>
              <w:rPr>
                <w:noProof/>
                <w:webHidden/>
              </w:rPr>
              <w:fldChar w:fldCharType="end"/>
            </w:r>
          </w:hyperlink>
        </w:p>
        <w:p w14:paraId="44D112FA" w14:textId="28D5B98A" w:rsidR="00BE5D91" w:rsidRDefault="00BE5D91">
          <w:pPr>
            <w:pStyle w:val="Inhopg1"/>
            <w:rPr>
              <w:rFonts w:asciiTheme="minorHAnsi" w:eastAsiaTheme="minorEastAsia" w:hAnsiTheme="minorHAnsi" w:cstheme="minorBidi"/>
              <w:bCs w:val="0"/>
              <w:noProof/>
              <w:color w:val="auto"/>
              <w:sz w:val="22"/>
              <w:szCs w:val="22"/>
            </w:rPr>
          </w:pPr>
          <w:hyperlink w:anchor="_Toc99476066" w:history="1">
            <w:r w:rsidRPr="0056029C">
              <w:rPr>
                <w:rStyle w:val="Hyperlink"/>
                <w:rFonts w:cs="Arial"/>
                <w:b/>
                <w:noProof/>
                <w:lang w:val="nl-NL"/>
              </w:rPr>
              <w:t>Artikel 11: Inschakeling Subverwerker</w:t>
            </w:r>
            <w:r>
              <w:rPr>
                <w:noProof/>
                <w:webHidden/>
              </w:rPr>
              <w:tab/>
            </w:r>
            <w:r>
              <w:rPr>
                <w:noProof/>
                <w:webHidden/>
              </w:rPr>
              <w:fldChar w:fldCharType="begin"/>
            </w:r>
            <w:r>
              <w:rPr>
                <w:noProof/>
                <w:webHidden/>
              </w:rPr>
              <w:instrText xml:space="preserve"> PAGEREF _Toc99476066 \h </w:instrText>
            </w:r>
            <w:r>
              <w:rPr>
                <w:noProof/>
                <w:webHidden/>
              </w:rPr>
            </w:r>
            <w:r>
              <w:rPr>
                <w:noProof/>
                <w:webHidden/>
              </w:rPr>
              <w:fldChar w:fldCharType="separate"/>
            </w:r>
            <w:r>
              <w:rPr>
                <w:noProof/>
                <w:webHidden/>
              </w:rPr>
              <w:t>9</w:t>
            </w:r>
            <w:r>
              <w:rPr>
                <w:noProof/>
                <w:webHidden/>
              </w:rPr>
              <w:fldChar w:fldCharType="end"/>
            </w:r>
          </w:hyperlink>
        </w:p>
        <w:p w14:paraId="23D1E2C1" w14:textId="59996345" w:rsidR="00BE5D91" w:rsidRDefault="00BE5D91">
          <w:pPr>
            <w:pStyle w:val="Inhopg1"/>
            <w:rPr>
              <w:rFonts w:asciiTheme="minorHAnsi" w:eastAsiaTheme="minorEastAsia" w:hAnsiTheme="minorHAnsi" w:cstheme="minorBidi"/>
              <w:bCs w:val="0"/>
              <w:noProof/>
              <w:color w:val="auto"/>
              <w:sz w:val="22"/>
              <w:szCs w:val="22"/>
            </w:rPr>
          </w:pPr>
          <w:hyperlink w:anchor="_Toc99476067" w:history="1">
            <w:r w:rsidRPr="0056029C">
              <w:rPr>
                <w:rStyle w:val="Hyperlink"/>
                <w:rFonts w:cs="Arial"/>
                <w:b/>
                <w:noProof/>
                <w:lang w:val="nl-NL"/>
              </w:rPr>
              <w:t>Artikel 12: Bewaartermijnen en vernietiging Persoonsgegevens</w:t>
            </w:r>
            <w:r>
              <w:rPr>
                <w:noProof/>
                <w:webHidden/>
              </w:rPr>
              <w:tab/>
            </w:r>
            <w:r>
              <w:rPr>
                <w:noProof/>
                <w:webHidden/>
              </w:rPr>
              <w:fldChar w:fldCharType="begin"/>
            </w:r>
            <w:r>
              <w:rPr>
                <w:noProof/>
                <w:webHidden/>
              </w:rPr>
              <w:instrText xml:space="preserve"> PAGEREF _Toc99476067 \h </w:instrText>
            </w:r>
            <w:r>
              <w:rPr>
                <w:noProof/>
                <w:webHidden/>
              </w:rPr>
            </w:r>
            <w:r>
              <w:rPr>
                <w:noProof/>
                <w:webHidden/>
              </w:rPr>
              <w:fldChar w:fldCharType="separate"/>
            </w:r>
            <w:r>
              <w:rPr>
                <w:noProof/>
                <w:webHidden/>
              </w:rPr>
              <w:t>9</w:t>
            </w:r>
            <w:r>
              <w:rPr>
                <w:noProof/>
                <w:webHidden/>
              </w:rPr>
              <w:fldChar w:fldCharType="end"/>
            </w:r>
          </w:hyperlink>
        </w:p>
        <w:p w14:paraId="45F4C919" w14:textId="45008554" w:rsidR="00BE5D91" w:rsidRDefault="00BE5D91">
          <w:pPr>
            <w:pStyle w:val="Inhopg1"/>
            <w:rPr>
              <w:rFonts w:asciiTheme="minorHAnsi" w:eastAsiaTheme="minorEastAsia" w:hAnsiTheme="minorHAnsi" w:cstheme="minorBidi"/>
              <w:bCs w:val="0"/>
              <w:noProof/>
              <w:color w:val="auto"/>
              <w:sz w:val="22"/>
              <w:szCs w:val="22"/>
            </w:rPr>
          </w:pPr>
          <w:hyperlink w:anchor="_Toc99476068" w:history="1">
            <w:r w:rsidRPr="0056029C">
              <w:rPr>
                <w:rStyle w:val="Hyperlink"/>
                <w:rFonts w:cs="Arial"/>
                <w:b/>
                <w:noProof/>
                <w:lang w:val="nl-NL"/>
              </w:rPr>
              <w:t>Artikel 13: Aansprakelijkheid</w:t>
            </w:r>
            <w:r>
              <w:rPr>
                <w:noProof/>
                <w:webHidden/>
              </w:rPr>
              <w:tab/>
            </w:r>
            <w:r>
              <w:rPr>
                <w:noProof/>
                <w:webHidden/>
              </w:rPr>
              <w:fldChar w:fldCharType="begin"/>
            </w:r>
            <w:r>
              <w:rPr>
                <w:noProof/>
                <w:webHidden/>
              </w:rPr>
              <w:instrText xml:space="preserve"> PAGEREF _Toc99476068 \h </w:instrText>
            </w:r>
            <w:r>
              <w:rPr>
                <w:noProof/>
                <w:webHidden/>
              </w:rPr>
            </w:r>
            <w:r>
              <w:rPr>
                <w:noProof/>
                <w:webHidden/>
              </w:rPr>
              <w:fldChar w:fldCharType="separate"/>
            </w:r>
            <w:r>
              <w:rPr>
                <w:noProof/>
                <w:webHidden/>
              </w:rPr>
              <w:t>10</w:t>
            </w:r>
            <w:r>
              <w:rPr>
                <w:noProof/>
                <w:webHidden/>
              </w:rPr>
              <w:fldChar w:fldCharType="end"/>
            </w:r>
          </w:hyperlink>
        </w:p>
        <w:p w14:paraId="5AD3ACC1" w14:textId="26FDF818" w:rsidR="00BE5D91" w:rsidRDefault="00BE5D91">
          <w:pPr>
            <w:pStyle w:val="Inhopg1"/>
            <w:rPr>
              <w:rFonts w:asciiTheme="minorHAnsi" w:eastAsiaTheme="minorEastAsia" w:hAnsiTheme="minorHAnsi" w:cstheme="minorBidi"/>
              <w:bCs w:val="0"/>
              <w:noProof/>
              <w:color w:val="auto"/>
              <w:sz w:val="22"/>
              <w:szCs w:val="22"/>
            </w:rPr>
          </w:pPr>
          <w:hyperlink w:anchor="_Toc99476069" w:history="1">
            <w:r w:rsidRPr="0056029C">
              <w:rPr>
                <w:rStyle w:val="Hyperlink"/>
                <w:rFonts w:cs="Arial"/>
                <w:b/>
                <w:noProof/>
                <w:lang w:val="nl-NL"/>
              </w:rPr>
              <w:t>Artikel 14: Tegenstrijdigheid en wijziging Verwerkersovereenkomst</w:t>
            </w:r>
            <w:r>
              <w:rPr>
                <w:noProof/>
                <w:webHidden/>
              </w:rPr>
              <w:tab/>
            </w:r>
            <w:r>
              <w:rPr>
                <w:noProof/>
                <w:webHidden/>
              </w:rPr>
              <w:fldChar w:fldCharType="begin"/>
            </w:r>
            <w:r>
              <w:rPr>
                <w:noProof/>
                <w:webHidden/>
              </w:rPr>
              <w:instrText xml:space="preserve"> PAGEREF _Toc99476069 \h </w:instrText>
            </w:r>
            <w:r>
              <w:rPr>
                <w:noProof/>
                <w:webHidden/>
              </w:rPr>
            </w:r>
            <w:r>
              <w:rPr>
                <w:noProof/>
                <w:webHidden/>
              </w:rPr>
              <w:fldChar w:fldCharType="separate"/>
            </w:r>
            <w:r>
              <w:rPr>
                <w:noProof/>
                <w:webHidden/>
              </w:rPr>
              <w:t>11</w:t>
            </w:r>
            <w:r>
              <w:rPr>
                <w:noProof/>
                <w:webHidden/>
              </w:rPr>
              <w:fldChar w:fldCharType="end"/>
            </w:r>
          </w:hyperlink>
        </w:p>
        <w:p w14:paraId="05975ECE" w14:textId="52914378" w:rsidR="00BE5D91" w:rsidRDefault="00BE5D91">
          <w:pPr>
            <w:pStyle w:val="Inhopg1"/>
            <w:rPr>
              <w:rFonts w:asciiTheme="minorHAnsi" w:eastAsiaTheme="minorEastAsia" w:hAnsiTheme="minorHAnsi" w:cstheme="minorBidi"/>
              <w:bCs w:val="0"/>
              <w:noProof/>
              <w:color w:val="auto"/>
              <w:sz w:val="22"/>
              <w:szCs w:val="22"/>
            </w:rPr>
          </w:pPr>
          <w:hyperlink w:anchor="_Toc99476070" w:history="1">
            <w:r w:rsidRPr="0056029C">
              <w:rPr>
                <w:rStyle w:val="Hyperlink"/>
                <w:rFonts w:cs="Arial"/>
                <w:b/>
                <w:noProof/>
                <w:lang w:val="nl-NL"/>
              </w:rPr>
              <w:t>Artikel 15: Duur en beëindiging</w:t>
            </w:r>
            <w:r>
              <w:rPr>
                <w:noProof/>
                <w:webHidden/>
              </w:rPr>
              <w:tab/>
            </w:r>
            <w:r>
              <w:rPr>
                <w:noProof/>
                <w:webHidden/>
              </w:rPr>
              <w:fldChar w:fldCharType="begin"/>
            </w:r>
            <w:r>
              <w:rPr>
                <w:noProof/>
                <w:webHidden/>
              </w:rPr>
              <w:instrText xml:space="preserve"> PAGEREF _Toc99476070 \h </w:instrText>
            </w:r>
            <w:r>
              <w:rPr>
                <w:noProof/>
                <w:webHidden/>
              </w:rPr>
            </w:r>
            <w:r>
              <w:rPr>
                <w:noProof/>
                <w:webHidden/>
              </w:rPr>
              <w:fldChar w:fldCharType="separate"/>
            </w:r>
            <w:r>
              <w:rPr>
                <w:noProof/>
                <w:webHidden/>
              </w:rPr>
              <w:t>11</w:t>
            </w:r>
            <w:r>
              <w:rPr>
                <w:noProof/>
                <w:webHidden/>
              </w:rPr>
              <w:fldChar w:fldCharType="end"/>
            </w:r>
          </w:hyperlink>
        </w:p>
        <w:p w14:paraId="1B1CAD86" w14:textId="36A426A2" w:rsidR="00BE5D91" w:rsidRDefault="00BE5D91">
          <w:pPr>
            <w:pStyle w:val="Inhopg1"/>
            <w:rPr>
              <w:rFonts w:asciiTheme="minorHAnsi" w:eastAsiaTheme="minorEastAsia" w:hAnsiTheme="minorHAnsi" w:cstheme="minorBidi"/>
              <w:bCs w:val="0"/>
              <w:noProof/>
              <w:color w:val="auto"/>
              <w:sz w:val="22"/>
              <w:szCs w:val="22"/>
            </w:rPr>
          </w:pPr>
          <w:hyperlink w:anchor="_Toc99476071" w:history="1">
            <w:r w:rsidRPr="0056029C">
              <w:rPr>
                <w:rStyle w:val="Hyperlink"/>
                <w:rFonts w:cs="Arial"/>
                <w:b/>
                <w:noProof/>
                <w:lang w:val="nl-NL"/>
              </w:rPr>
              <w:t>Artikel 16: Toepasselijk recht en geschillenbeslechting</w:t>
            </w:r>
            <w:r>
              <w:rPr>
                <w:noProof/>
                <w:webHidden/>
              </w:rPr>
              <w:tab/>
            </w:r>
            <w:r>
              <w:rPr>
                <w:noProof/>
                <w:webHidden/>
              </w:rPr>
              <w:fldChar w:fldCharType="begin"/>
            </w:r>
            <w:r>
              <w:rPr>
                <w:noProof/>
                <w:webHidden/>
              </w:rPr>
              <w:instrText xml:space="preserve"> PAGEREF _Toc99476071 \h </w:instrText>
            </w:r>
            <w:r>
              <w:rPr>
                <w:noProof/>
                <w:webHidden/>
              </w:rPr>
            </w:r>
            <w:r>
              <w:rPr>
                <w:noProof/>
                <w:webHidden/>
              </w:rPr>
              <w:fldChar w:fldCharType="separate"/>
            </w:r>
            <w:r>
              <w:rPr>
                <w:noProof/>
                <w:webHidden/>
              </w:rPr>
              <w:t>11</w:t>
            </w:r>
            <w:r>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1"/>
      <w:bookmarkEnd w:id="2"/>
      <w:bookmarkEnd w:id="3"/>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7E3B8B60" w:rsidR="00CB4370" w:rsidRPr="00A54909" w:rsidRDefault="0015112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Pr>
          <w:rFonts w:ascii="Arial" w:hAnsi="Arial" w:cs="Arial"/>
          <w:color w:val="000000" w:themeColor="text1"/>
          <w:szCs w:val="18"/>
          <w:lang w:val="nl-NL"/>
        </w:rPr>
        <w:t xml:space="preserve">Onderwijsstichting </w:t>
      </w:r>
      <w:proofErr w:type="spellStart"/>
      <w:r>
        <w:rPr>
          <w:rFonts w:ascii="Arial" w:hAnsi="Arial" w:cs="Arial"/>
          <w:color w:val="000000" w:themeColor="text1"/>
          <w:szCs w:val="18"/>
          <w:lang w:val="nl-NL"/>
        </w:rPr>
        <w:t>Movare</w:t>
      </w:r>
      <w:proofErr w:type="spellEnd"/>
      <w:r w:rsidR="00695363" w:rsidRPr="00695363">
        <w:rPr>
          <w:rFonts w:ascii="Arial" w:hAnsi="Arial" w:cs="Arial"/>
          <w:color w:val="000000" w:themeColor="text1"/>
          <w:szCs w:val="18"/>
          <w:lang w:val="nl-NL"/>
        </w:rPr>
        <w:t xml:space="preserve">, gevestigd aan </w:t>
      </w:r>
      <w:r>
        <w:rPr>
          <w:rFonts w:ascii="Arial" w:hAnsi="Arial" w:cs="Arial"/>
          <w:color w:val="000000" w:themeColor="text1"/>
          <w:szCs w:val="18"/>
          <w:lang w:val="nl-NL"/>
        </w:rPr>
        <w:t>Jan de Witplein 10</w:t>
      </w:r>
      <w:r w:rsidR="00695363" w:rsidRPr="00695363">
        <w:rPr>
          <w:rFonts w:ascii="Arial" w:hAnsi="Arial" w:cs="Arial"/>
          <w:color w:val="000000" w:themeColor="text1"/>
          <w:szCs w:val="18"/>
          <w:lang w:val="nl-NL"/>
        </w:rPr>
        <w:t xml:space="preserve"> te </w:t>
      </w:r>
      <w:r>
        <w:rPr>
          <w:rFonts w:ascii="Arial" w:hAnsi="Arial" w:cs="Arial"/>
          <w:color w:val="000000" w:themeColor="text1"/>
          <w:szCs w:val="18"/>
          <w:lang w:val="nl-NL"/>
        </w:rPr>
        <w:t>Landraaf</w:t>
      </w:r>
      <w:r w:rsidR="00695363" w:rsidRPr="00695363">
        <w:rPr>
          <w:rFonts w:ascii="Arial" w:hAnsi="Arial" w:cs="Arial"/>
          <w:color w:val="000000" w:themeColor="text1"/>
          <w:szCs w:val="18"/>
          <w:lang w:val="nl-NL"/>
        </w:rPr>
        <w:t xml:space="preserve">, ingeschreven bij de Kamer van Koophandel onder nummer </w:t>
      </w:r>
      <w:r>
        <w:rPr>
          <w:rFonts w:ascii="Arial" w:hAnsi="Arial" w:cs="Arial"/>
          <w:color w:val="000000" w:themeColor="text1"/>
          <w:szCs w:val="18"/>
          <w:lang w:val="nl-NL"/>
        </w:rPr>
        <w:t>14083755</w:t>
      </w:r>
      <w:r w:rsidR="00695363" w:rsidRPr="00695363">
        <w:rPr>
          <w:rFonts w:ascii="Arial" w:hAnsi="Arial" w:cs="Arial"/>
          <w:color w:val="000000" w:themeColor="text1"/>
          <w:szCs w:val="18"/>
          <w:lang w:val="nl-NL"/>
        </w:rPr>
        <w:t xml:space="preserve">, in deze rechtsgeldig vertegenwoordigd door </w:t>
      </w:r>
      <w:r w:rsidR="00F3112F">
        <w:rPr>
          <w:rFonts w:ascii="Arial" w:hAnsi="Arial" w:cs="Arial"/>
          <w:color w:val="000000" w:themeColor="text1"/>
          <w:szCs w:val="18"/>
          <w:lang w:val="nl-NL"/>
        </w:rPr>
        <w:t xml:space="preserve">de heer M. </w:t>
      </w:r>
      <w:proofErr w:type="spellStart"/>
      <w:r w:rsidR="00F3112F">
        <w:rPr>
          <w:rFonts w:ascii="Arial" w:hAnsi="Arial" w:cs="Arial"/>
          <w:color w:val="000000" w:themeColor="text1"/>
          <w:szCs w:val="18"/>
          <w:lang w:val="nl-NL"/>
        </w:rPr>
        <w:t>Bejas</w:t>
      </w:r>
      <w:proofErr w:type="spellEnd"/>
      <w:r w:rsidR="00187576" w:rsidRPr="00187576">
        <w:rPr>
          <w:rFonts w:ascii="Arial" w:hAnsi="Arial" w:cs="Arial"/>
          <w:color w:val="000000" w:themeColor="text1"/>
          <w:szCs w:val="18"/>
          <w:lang w:val="nl-NL"/>
        </w:rPr>
        <w:t>,</w:t>
      </w:r>
      <w:r w:rsidR="00187576">
        <w:t xml:space="preserve"> </w:t>
      </w:r>
      <w:r w:rsidR="00695363" w:rsidRPr="00695363">
        <w:rPr>
          <w:rFonts w:ascii="Arial" w:hAnsi="Arial" w:cs="Arial"/>
          <w:color w:val="000000" w:themeColor="text1"/>
          <w:szCs w:val="18"/>
          <w:lang w:val="nl-NL"/>
        </w:rPr>
        <w:t>voorzitter College van Bestuur</w:t>
      </w:r>
      <w:r w:rsidR="00695363">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hierna te noemen:</w:t>
      </w:r>
      <w:r w:rsidR="00187576">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w:t>
      </w:r>
      <w:r w:rsidR="00CB4370" w:rsidRPr="00A54909">
        <w:rPr>
          <w:rFonts w:ascii="Arial" w:hAnsi="Arial" w:cs="Arial"/>
          <w:b/>
          <w:color w:val="000000" w:themeColor="text1"/>
          <w:szCs w:val="18"/>
          <w:lang w:val="nl-NL"/>
        </w:rPr>
        <w:t>Onderwijsinstelling</w:t>
      </w:r>
      <w:r w:rsidR="00CB4370"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0FC56BA6" w14:textId="77777777" w:rsidR="00B96122" w:rsidRDefault="00B96122"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B96122">
        <w:rPr>
          <w:rFonts w:ascii="Arial" w:hAnsi="Arial" w:cs="Arial"/>
          <w:color w:val="000000" w:themeColor="text1"/>
          <w:szCs w:val="18"/>
          <w:highlight w:val="yellow"/>
          <w:lang w:val="nl-NL"/>
        </w:rPr>
        <w:t>OPDRACHTNEMER</w:t>
      </w:r>
      <w:r w:rsidRPr="00B96122">
        <w:rPr>
          <w:rFonts w:ascii="Arial" w:hAnsi="Arial" w:cs="Arial"/>
          <w:color w:val="000000" w:themeColor="text1"/>
          <w:szCs w:val="18"/>
          <w:lang w:val="nl-NL"/>
        </w:rPr>
        <w:t xml:space="preserve">, gevestigd aan </w:t>
      </w:r>
      <w:r w:rsidRPr="00B96122">
        <w:rPr>
          <w:rFonts w:ascii="Arial" w:hAnsi="Arial" w:cs="Arial"/>
          <w:color w:val="000000" w:themeColor="text1"/>
          <w:szCs w:val="18"/>
          <w:highlight w:val="yellow"/>
          <w:lang w:val="nl-NL"/>
        </w:rPr>
        <w:t>ADRES</w:t>
      </w:r>
      <w:r w:rsidRPr="00B96122">
        <w:rPr>
          <w:rFonts w:ascii="Arial" w:hAnsi="Arial" w:cs="Arial"/>
          <w:color w:val="000000" w:themeColor="text1"/>
          <w:szCs w:val="18"/>
          <w:lang w:val="nl-NL"/>
        </w:rPr>
        <w:t xml:space="preserve"> te </w:t>
      </w:r>
      <w:r w:rsidRPr="00B96122">
        <w:rPr>
          <w:rFonts w:ascii="Arial" w:hAnsi="Arial" w:cs="Arial"/>
          <w:color w:val="000000" w:themeColor="text1"/>
          <w:szCs w:val="18"/>
          <w:highlight w:val="yellow"/>
          <w:lang w:val="nl-NL"/>
        </w:rPr>
        <w:t>PLAATS</w:t>
      </w:r>
      <w:r w:rsidRPr="00B96122">
        <w:rPr>
          <w:rFonts w:ascii="Arial" w:hAnsi="Arial" w:cs="Arial"/>
          <w:color w:val="000000" w:themeColor="text1"/>
          <w:szCs w:val="18"/>
          <w:lang w:val="nl-NL"/>
        </w:rPr>
        <w:t xml:space="preserve">, ingeschreven bij de Kamer van Koophandel onder nummer </w:t>
      </w:r>
      <w:proofErr w:type="spellStart"/>
      <w:r w:rsidRPr="00B96122">
        <w:rPr>
          <w:rFonts w:ascii="Arial" w:hAnsi="Arial" w:cs="Arial"/>
          <w:color w:val="000000" w:themeColor="text1"/>
          <w:szCs w:val="18"/>
          <w:highlight w:val="yellow"/>
          <w:lang w:val="nl-NL"/>
        </w:rPr>
        <w:t>NUMMER</w:t>
      </w:r>
      <w:proofErr w:type="spellEnd"/>
      <w:r w:rsidRPr="00B96122">
        <w:rPr>
          <w:rFonts w:ascii="Arial" w:hAnsi="Arial" w:cs="Arial"/>
          <w:color w:val="000000" w:themeColor="text1"/>
          <w:szCs w:val="18"/>
          <w:lang w:val="nl-NL"/>
        </w:rPr>
        <w:t xml:space="preserve">, in deze rechtsgeldig vertegenwoordigd door </w:t>
      </w:r>
    </w:p>
    <w:p w14:paraId="55D777D0" w14:textId="7A906025" w:rsidR="00CB4370" w:rsidRPr="00B96122" w:rsidRDefault="00B96122" w:rsidP="00B96122">
      <w:pPr>
        <w:pStyle w:val="Lijstalinea"/>
        <w:spacing w:beforeLines="40" w:before="96" w:afterLines="20" w:after="48"/>
        <w:ind w:left="720" w:right="-144"/>
        <w:contextualSpacing/>
        <w:rPr>
          <w:rFonts w:ascii="Arial" w:hAnsi="Arial" w:cs="Arial"/>
          <w:color w:val="000000" w:themeColor="text1"/>
          <w:szCs w:val="18"/>
          <w:lang w:val="nl-NL"/>
        </w:rPr>
      </w:pPr>
      <w:r w:rsidRPr="00B96122">
        <w:rPr>
          <w:rFonts w:ascii="Arial" w:hAnsi="Arial" w:cs="Arial"/>
          <w:color w:val="000000" w:themeColor="text1"/>
          <w:szCs w:val="18"/>
          <w:highlight w:val="yellow"/>
          <w:lang w:val="nl-NL"/>
        </w:rPr>
        <w:t>DE</w:t>
      </w:r>
      <w:r w:rsidRPr="00B96122">
        <w:rPr>
          <w:rFonts w:ascii="Arial" w:hAnsi="Arial" w:cs="Arial"/>
          <w:color w:val="000000" w:themeColor="text1"/>
          <w:szCs w:val="18"/>
          <w:lang w:val="nl-NL"/>
        </w:rPr>
        <w:t xml:space="preserve"> </w:t>
      </w:r>
      <w:r w:rsidRPr="00B96122">
        <w:rPr>
          <w:rFonts w:ascii="Arial" w:hAnsi="Arial" w:cs="Arial"/>
          <w:color w:val="000000" w:themeColor="text1"/>
          <w:szCs w:val="18"/>
          <w:highlight w:val="yellow"/>
          <w:lang w:val="nl-NL"/>
        </w:rPr>
        <w:t>HEER/MEVROUW</w:t>
      </w:r>
      <w:r w:rsidRPr="00B96122">
        <w:rPr>
          <w:rFonts w:ascii="Arial" w:hAnsi="Arial" w:cs="Arial"/>
          <w:color w:val="000000" w:themeColor="text1"/>
          <w:szCs w:val="18"/>
          <w:lang w:val="nl-NL"/>
        </w:rPr>
        <w:t xml:space="preserve">, </w:t>
      </w:r>
      <w:r w:rsidRPr="00B96122">
        <w:rPr>
          <w:rFonts w:ascii="Arial" w:hAnsi="Arial" w:cs="Arial"/>
          <w:color w:val="000000" w:themeColor="text1"/>
          <w:szCs w:val="18"/>
          <w:highlight w:val="yellow"/>
          <w:lang w:val="nl-NL"/>
        </w:rPr>
        <w:t>FUNCTIE</w:t>
      </w:r>
      <w:r w:rsidRPr="00B96122">
        <w:rPr>
          <w:rFonts w:ascii="Arial" w:hAnsi="Arial" w:cs="Arial"/>
          <w:color w:val="000000" w:themeColor="text1"/>
          <w:szCs w:val="18"/>
          <w:lang w:val="nl-NL"/>
        </w:rPr>
        <w:t>.</w:t>
      </w:r>
      <w:r>
        <w:rPr>
          <w:rFonts w:ascii="Arial" w:hAnsi="Arial" w:cs="Arial"/>
          <w:color w:val="000000" w:themeColor="text1"/>
          <w:szCs w:val="18"/>
          <w:lang w:val="nl-NL"/>
        </w:rPr>
        <w:t xml:space="preserve"> </w:t>
      </w:r>
      <w:r w:rsidR="00CB4370" w:rsidRPr="00B96122">
        <w:rPr>
          <w:rFonts w:ascii="Arial" w:hAnsi="Arial" w:cs="Arial"/>
          <w:color w:val="000000" w:themeColor="text1"/>
          <w:szCs w:val="18"/>
          <w:lang w:val="nl-NL"/>
        </w:rPr>
        <w:t>hierna te noemen: “</w:t>
      </w:r>
      <w:r w:rsidR="003B6BA6" w:rsidRPr="00B96122">
        <w:rPr>
          <w:rFonts w:ascii="Arial" w:hAnsi="Arial" w:cs="Arial"/>
          <w:b/>
          <w:color w:val="000000" w:themeColor="text1"/>
          <w:szCs w:val="18"/>
          <w:lang w:val="nl-NL"/>
        </w:rPr>
        <w:t>Verwerker</w:t>
      </w:r>
      <w:r w:rsidR="00CB4370" w:rsidRPr="00B96122">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6491399B"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00233984">
        <w:rPr>
          <w:rFonts w:ascii="Arial" w:hAnsi="Arial" w:cs="Arial"/>
          <w:color w:val="000000" w:themeColor="text1"/>
          <w:szCs w:val="18"/>
          <w:lang w:val="nl-NL"/>
        </w:rPr>
        <w:t xml:space="preserve"> </w:t>
      </w:r>
      <w:r w:rsidR="00EE6360">
        <w:rPr>
          <w:rFonts w:ascii="Arial" w:hAnsi="Arial" w:cs="Arial"/>
          <w:color w:val="000000" w:themeColor="text1"/>
          <w:szCs w:val="18"/>
          <w:lang w:val="nl-NL"/>
        </w:rPr>
        <w:t>e-</w:t>
      </w:r>
      <w:proofErr w:type="spellStart"/>
      <w:r w:rsidR="00EE6360">
        <w:rPr>
          <w:rFonts w:ascii="Arial" w:hAnsi="Arial" w:cs="Arial"/>
          <w:color w:val="000000" w:themeColor="text1"/>
          <w:szCs w:val="18"/>
          <w:lang w:val="nl-NL"/>
        </w:rPr>
        <w:t>learning</w:t>
      </w:r>
      <w:proofErr w:type="spellEnd"/>
      <w:r w:rsidRPr="00A54909">
        <w:rPr>
          <w:rFonts w:ascii="Arial" w:hAnsi="Arial" w:cs="Arial"/>
          <w:color w:val="000000" w:themeColor="text1"/>
          <w:szCs w:val="18"/>
          <w:lang w:val="nl-NL"/>
        </w:rPr>
        <w:t xml:space="preserve"> </w:t>
      </w:r>
      <w:r w:rsidR="00A216F8">
        <w:rPr>
          <w:rFonts w:ascii="Arial" w:hAnsi="Arial" w:cs="Arial"/>
          <w:color w:val="000000" w:themeColor="text1"/>
          <w:szCs w:val="18"/>
          <w:lang w:val="nl-NL"/>
        </w:rPr>
        <w:t xml:space="preserve">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7058C6">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DF28AC">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28F68C63" w:rsidR="00983B66" w:rsidRPr="00127667" w:rsidRDefault="00983B66"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de instelling als bedoel</w:t>
      </w:r>
      <w:r w:rsidR="00613821">
        <w:rPr>
          <w:rFonts w:ascii="Arial" w:hAnsi="Arial" w:cs="Arial"/>
          <w:color w:val="000000" w:themeColor="text1"/>
          <w:szCs w:val="18"/>
          <w:lang w:val="nl-NL"/>
        </w:rPr>
        <w:t>d</w:t>
      </w:r>
      <w:r w:rsidR="0052775E" w:rsidRPr="00127667">
        <w:rPr>
          <w:rFonts w:ascii="Arial" w:hAnsi="Arial" w:cs="Arial"/>
          <w:color w:val="000000" w:themeColor="text1"/>
          <w:szCs w:val="18"/>
          <w:lang w:val="nl-NL"/>
        </w:rPr>
        <w:t xml:space="preserve">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lastRenderedPageBreak/>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500430">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1262A8">
      <w:pPr>
        <w:pStyle w:val="Geenafstand"/>
        <w:numPr>
          <w:ilvl w:val="0"/>
          <w:numId w:val="20"/>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A44AC5">
      <w:pPr>
        <w:pStyle w:val="Geenafstand"/>
        <w:numPr>
          <w:ilvl w:val="0"/>
          <w:numId w:val="25"/>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DE1C5D">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r w:rsidR="00111844" w:rsidRPr="00A54909">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hij kennis heeft genomen van dat Datalek</w:t>
      </w:r>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r w:rsidR="00111844" w:rsidRPr="00A54909">
        <w:rPr>
          <w:rFonts w:ascii="Arial" w:hAnsi="Arial" w:cs="Arial"/>
          <w:color w:val="000000" w:themeColor="text1"/>
          <w:szCs w:val="18"/>
          <w:lang w:val="nl-NL"/>
        </w:rPr>
        <w:t xml:space="preserve">Datalek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waaronder informatie over eventuele ontwikkelingen rond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Datalek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r w:rsidR="00111844" w:rsidRPr="00A54909">
        <w:rPr>
          <w:rFonts w:ascii="Arial" w:hAnsi="Arial" w:cs="Arial"/>
          <w:color w:val="000000" w:themeColor="text1"/>
          <w:szCs w:val="18"/>
          <w:lang w:val="nl-NL"/>
        </w:rPr>
        <w:t>Datalek</w:t>
      </w:r>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r w:rsidR="00111844" w:rsidRPr="00A54909">
        <w:rPr>
          <w:rFonts w:ascii="Arial" w:hAnsi="Arial" w:cs="Arial"/>
          <w:color w:val="000000" w:themeColor="text1"/>
          <w:szCs w:val="18"/>
          <w:lang w:val="nl-NL"/>
        </w:rPr>
        <w:t>Datalek</w:t>
      </w:r>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00111844" w:rsidRPr="00A54909">
        <w:rPr>
          <w:rFonts w:ascii="Arial" w:hAnsi="Arial" w:cs="Arial"/>
          <w:color w:val="000000" w:themeColor="text1"/>
          <w:szCs w:val="18"/>
          <w:lang w:val="nl-NL"/>
        </w:rPr>
        <w:t>Datalek</w:t>
      </w:r>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r w:rsidR="009451A2" w:rsidRPr="00A54909">
        <w:rPr>
          <w:rFonts w:ascii="Arial" w:hAnsi="Arial" w:cs="Arial"/>
          <w:color w:val="000000" w:themeColor="text1"/>
          <w:szCs w:val="18"/>
          <w:lang w:val="nl-NL"/>
        </w:rPr>
        <w:t>Datalek,</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A44AC5">
      <w:pPr>
        <w:pStyle w:val="Lijstalinea"/>
        <w:numPr>
          <w:ilvl w:val="0"/>
          <w:numId w:val="23"/>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7D0B96">
      <w:pPr>
        <w:pStyle w:val="Geenafstand"/>
        <w:numPr>
          <w:ilvl w:val="0"/>
          <w:numId w:val="19"/>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4C3B5B">
      <w:pPr>
        <w:pStyle w:val="Geenafstand"/>
        <w:numPr>
          <w:ilvl w:val="0"/>
          <w:numId w:val="5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terugleveren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terugleveren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7D0B96">
      <w:pPr>
        <w:pStyle w:val="Geenafstand"/>
        <w:numPr>
          <w:ilvl w:val="0"/>
          <w:numId w:val="2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2633D3">
      <w:pPr>
        <w:pStyle w:val="Geenafstand"/>
        <w:numPr>
          <w:ilvl w:val="0"/>
          <w:numId w:val="28"/>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3F3B92">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r w:rsidR="00371B0A">
        <w:rPr>
          <w:rFonts w:ascii="Arial" w:hAnsi="Arial" w:cs="Arial"/>
          <w:color w:val="000000" w:themeColor="text1"/>
          <w:szCs w:val="18"/>
          <w:lang w:val="nl-NL"/>
        </w:rPr>
        <w:t xml:space="preserve">teruggeleverd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4B5708BB"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00590448">
        <w:rPr>
          <w:rFonts w:ascii="Arial" w:hAnsi="Arial" w:cs="Arial"/>
          <w:color w:val="000000" w:themeColor="text1"/>
          <w:szCs w:val="18"/>
          <w:lang w:val="nl-NL"/>
        </w:rPr>
        <w:tab/>
      </w:r>
      <w:r w:rsidRPr="00A54909">
        <w:rPr>
          <w:rFonts w:ascii="Arial" w:hAnsi="Arial" w:cs="Arial"/>
          <w:color w:val="000000" w:themeColor="text1"/>
          <w:szCs w:val="18"/>
          <w:lang w:val="nl-NL"/>
        </w:rPr>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26A091C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00F3112F">
        <w:rPr>
          <w:rFonts w:ascii="Arial" w:hAnsi="Arial" w:cs="Arial"/>
          <w:color w:val="000000" w:themeColor="text1"/>
          <w:szCs w:val="18"/>
          <w:lang w:val="nl-NL"/>
        </w:rPr>
        <w:t xml:space="preserve">M. </w:t>
      </w:r>
      <w:proofErr w:type="spellStart"/>
      <w:r w:rsidR="00F3112F">
        <w:rPr>
          <w:rFonts w:ascii="Arial" w:hAnsi="Arial" w:cs="Arial"/>
          <w:color w:val="000000" w:themeColor="text1"/>
          <w:szCs w:val="18"/>
          <w:lang w:val="nl-NL"/>
        </w:rPr>
        <w:t>Bejas</w:t>
      </w:r>
      <w:proofErr w:type="spellEnd"/>
      <w:r w:rsidR="00F3112F">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21DED783"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00590448">
        <w:rPr>
          <w:rFonts w:ascii="Arial" w:hAnsi="Arial" w:cs="Arial"/>
          <w:color w:val="000000" w:themeColor="text1"/>
          <w:szCs w:val="18"/>
          <w:lang w:val="nl-NL"/>
        </w:rPr>
        <w:t xml:space="preserve"> Voorzitter College van Bestuur</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CFE8591"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00590448">
        <w:rPr>
          <w:rFonts w:ascii="Arial" w:hAnsi="Arial" w:cs="Arial"/>
          <w:color w:val="000000" w:themeColor="text1"/>
          <w:szCs w:val="18"/>
          <w:lang w:val="nl-NL"/>
        </w:rPr>
        <w:tab/>
      </w: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Pr="001C34BA"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sectPr w:rsidR="00391F90" w:rsidRPr="001C34BA" w:rsidSect="000C3363">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CB7C" w14:textId="77777777" w:rsidR="00546419" w:rsidRDefault="00546419" w:rsidP="000F22AF">
      <w:pPr>
        <w:spacing w:before="0" w:line="240" w:lineRule="auto"/>
      </w:pPr>
      <w:r>
        <w:separator/>
      </w:r>
    </w:p>
  </w:endnote>
  <w:endnote w:type="continuationSeparator" w:id="0">
    <w:p w14:paraId="05CCB612" w14:textId="77777777" w:rsidR="00546419" w:rsidRDefault="00546419" w:rsidP="000F22AF">
      <w:pPr>
        <w:spacing w:before="0" w:line="240" w:lineRule="auto"/>
      </w:pPr>
      <w:r>
        <w:continuationSeparator/>
      </w:r>
    </w:p>
  </w:endnote>
  <w:endnote w:type="continuationNotice" w:id="1">
    <w:p w14:paraId="3535645B" w14:textId="77777777" w:rsidR="00546419" w:rsidRDefault="0054641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8895" w14:textId="77777777" w:rsidR="00546419" w:rsidRDefault="00546419" w:rsidP="000F22AF">
      <w:pPr>
        <w:spacing w:before="0" w:line="240" w:lineRule="auto"/>
      </w:pPr>
      <w:r>
        <w:separator/>
      </w:r>
    </w:p>
  </w:footnote>
  <w:footnote w:type="continuationSeparator" w:id="0">
    <w:p w14:paraId="156EAFF7" w14:textId="77777777" w:rsidR="00546419" w:rsidRDefault="00546419" w:rsidP="000F22AF">
      <w:pPr>
        <w:spacing w:before="0" w:line="240" w:lineRule="auto"/>
      </w:pPr>
      <w:r>
        <w:continuationSeparator/>
      </w:r>
    </w:p>
  </w:footnote>
  <w:footnote w:type="continuationNotice" w:id="1">
    <w:p w14:paraId="7B70ED84" w14:textId="77777777" w:rsidR="00546419" w:rsidRDefault="00546419">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334719425">
    <w:abstractNumId w:val="11"/>
  </w:num>
  <w:num w:numId="2" w16cid:durableId="977606565">
    <w:abstractNumId w:val="32"/>
  </w:num>
  <w:num w:numId="3" w16cid:durableId="1621565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559136">
    <w:abstractNumId w:val="45"/>
  </w:num>
  <w:num w:numId="5" w16cid:durableId="1221482392">
    <w:abstractNumId w:val="0"/>
  </w:num>
  <w:num w:numId="6" w16cid:durableId="909121453">
    <w:abstractNumId w:val="2"/>
  </w:num>
  <w:num w:numId="7" w16cid:durableId="919368972">
    <w:abstractNumId w:val="37"/>
  </w:num>
  <w:num w:numId="8" w16cid:durableId="1619334809">
    <w:abstractNumId w:val="39"/>
  </w:num>
  <w:num w:numId="9" w16cid:durableId="197817050">
    <w:abstractNumId w:val="22"/>
  </w:num>
  <w:num w:numId="10" w16cid:durableId="412746604">
    <w:abstractNumId w:val="40"/>
  </w:num>
  <w:num w:numId="11" w16cid:durableId="471220361">
    <w:abstractNumId w:val="34"/>
  </w:num>
  <w:num w:numId="12" w16cid:durableId="1722438769">
    <w:abstractNumId w:val="38"/>
  </w:num>
  <w:num w:numId="13" w16cid:durableId="379398034">
    <w:abstractNumId w:val="20"/>
  </w:num>
  <w:num w:numId="14" w16cid:durableId="544408021">
    <w:abstractNumId w:val="7"/>
  </w:num>
  <w:num w:numId="15" w16cid:durableId="384960513">
    <w:abstractNumId w:val="8"/>
  </w:num>
  <w:num w:numId="16" w16cid:durableId="2116554622">
    <w:abstractNumId w:val="24"/>
  </w:num>
  <w:num w:numId="17" w16cid:durableId="1650401925">
    <w:abstractNumId w:val="16"/>
  </w:num>
  <w:num w:numId="18" w16cid:durableId="1830899319">
    <w:abstractNumId w:val="4"/>
  </w:num>
  <w:num w:numId="19" w16cid:durableId="774133002">
    <w:abstractNumId w:val="18"/>
  </w:num>
  <w:num w:numId="20" w16cid:durableId="1390154386">
    <w:abstractNumId w:val="35"/>
  </w:num>
  <w:num w:numId="21" w16cid:durableId="982807422">
    <w:abstractNumId w:val="12"/>
  </w:num>
  <w:num w:numId="22" w16cid:durableId="1101874831">
    <w:abstractNumId w:val="33"/>
  </w:num>
  <w:num w:numId="23" w16cid:durableId="575239914">
    <w:abstractNumId w:val="49"/>
  </w:num>
  <w:num w:numId="24" w16cid:durableId="443161407">
    <w:abstractNumId w:val="42"/>
  </w:num>
  <w:num w:numId="25" w16cid:durableId="578054218">
    <w:abstractNumId w:val="50"/>
  </w:num>
  <w:num w:numId="26" w16cid:durableId="924873695">
    <w:abstractNumId w:val="31"/>
  </w:num>
  <w:num w:numId="27" w16cid:durableId="1436711645">
    <w:abstractNumId w:val="10"/>
  </w:num>
  <w:num w:numId="28" w16cid:durableId="1621456834">
    <w:abstractNumId w:val="36"/>
  </w:num>
  <w:num w:numId="29" w16cid:durableId="839656758">
    <w:abstractNumId w:val="1"/>
  </w:num>
  <w:num w:numId="30" w16cid:durableId="1486051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8188989">
    <w:abstractNumId w:val="30"/>
  </w:num>
  <w:num w:numId="32" w16cid:durableId="683021574">
    <w:abstractNumId w:val="23"/>
  </w:num>
  <w:num w:numId="33" w16cid:durableId="1181622522">
    <w:abstractNumId w:val="21"/>
  </w:num>
  <w:num w:numId="34" w16cid:durableId="674648776">
    <w:abstractNumId w:val="5"/>
  </w:num>
  <w:num w:numId="35" w16cid:durableId="2056541772">
    <w:abstractNumId w:val="43"/>
  </w:num>
  <w:num w:numId="36" w16cid:durableId="2035224611">
    <w:abstractNumId w:val="14"/>
  </w:num>
  <w:num w:numId="37" w16cid:durableId="5982335">
    <w:abstractNumId w:val="14"/>
    <w:lvlOverride w:ilvl="0">
      <w:startOverride w:val="1"/>
    </w:lvlOverride>
  </w:num>
  <w:num w:numId="38" w16cid:durableId="1765614242">
    <w:abstractNumId w:val="47"/>
  </w:num>
  <w:num w:numId="39" w16cid:durableId="324213172">
    <w:abstractNumId w:val="47"/>
    <w:lvlOverride w:ilvl="0">
      <w:startOverride w:val="1"/>
    </w:lvlOverride>
  </w:num>
  <w:num w:numId="40" w16cid:durableId="994532183">
    <w:abstractNumId w:val="26"/>
  </w:num>
  <w:num w:numId="41" w16cid:durableId="912471131">
    <w:abstractNumId w:val="44"/>
  </w:num>
  <w:num w:numId="42" w16cid:durableId="2025470065">
    <w:abstractNumId w:val="17"/>
  </w:num>
  <w:num w:numId="43" w16cid:durableId="1543982558">
    <w:abstractNumId w:val="29"/>
  </w:num>
  <w:num w:numId="44" w16cid:durableId="453982890">
    <w:abstractNumId w:val="3"/>
  </w:num>
  <w:num w:numId="45" w16cid:durableId="1733500924">
    <w:abstractNumId w:val="13"/>
  </w:num>
  <w:num w:numId="46" w16cid:durableId="1330212501">
    <w:abstractNumId w:val="28"/>
  </w:num>
  <w:num w:numId="47" w16cid:durableId="12390937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162520">
    <w:abstractNumId w:val="46"/>
  </w:num>
  <w:num w:numId="49" w16cid:durableId="1759129021">
    <w:abstractNumId w:val="19"/>
  </w:num>
  <w:num w:numId="50" w16cid:durableId="1186407594">
    <w:abstractNumId w:val="15"/>
  </w:num>
  <w:num w:numId="51" w16cid:durableId="1507793476">
    <w:abstractNumId w:val="27"/>
  </w:num>
  <w:num w:numId="52" w16cid:durableId="601962291">
    <w:abstractNumId w:val="41"/>
  </w:num>
  <w:num w:numId="53" w16cid:durableId="15624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7350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17498823">
    <w:abstractNumId w:val="48"/>
  </w:num>
  <w:num w:numId="56" w16cid:durableId="565144075">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120"/>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576"/>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3CB"/>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98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2CAA"/>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30F"/>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419"/>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044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821"/>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363"/>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4CDD"/>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3CD"/>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3E3"/>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122"/>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07FB7"/>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837"/>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360"/>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12F"/>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020E3-4BB4-4009-831D-9328EC7C3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3.xml><?xml version="1.0" encoding="utf-8"?>
<ds:datastoreItem xmlns:ds="http://schemas.openxmlformats.org/officeDocument/2006/customXml" ds:itemID="{2C2BF393-56AB-4061-860D-37EF7F064469}">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4.xml><?xml version="1.0" encoding="utf-8"?>
<ds:datastoreItem xmlns:ds="http://schemas.openxmlformats.org/officeDocument/2006/customXml" ds:itemID="{97280600-B169-4E07-96CA-455C2CE90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5568</Words>
  <Characters>30627</Characters>
  <Application>Microsoft Office Word</Application>
  <DocSecurity>0</DocSecurity>
  <Lines>255</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2022-03-29T10:33:00Z</dcterms:created>
  <dcterms:modified xsi:type="dcterms:W3CDTF">2026-05-29T13:27:00Z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