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FC6F19">
      <w:pPr>
        <w:pStyle w:val="Kop1"/>
        <w:spacing w:before="0" w:after="0" w:line="276" w:lineRule="auto"/>
        <w:rPr>
          <w:color w:val="E1B129" w:themeColor="text2"/>
          <w:sz w:val="96"/>
          <w:szCs w:val="96"/>
        </w:rPr>
      </w:pPr>
      <w:r>
        <w:rPr>
          <w:noProof/>
        </w:rPr>
        <w:drawing>
          <wp:anchor distT="0" distB="0" distL="114300" distR="114300" simplePos="0" relativeHeight="251662343" behindDoc="1" locked="0" layoutInCell="1" allowOverlap="1" wp14:anchorId="6A364747" wp14:editId="43F0773A">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FC6F19">
      <w:pPr>
        <w:pStyle w:val="Titel"/>
        <w:spacing w:after="0" w:line="276" w:lineRule="auto"/>
        <w:rPr>
          <w:b/>
          <w:bCs/>
          <w:color w:val="E1B129" w:themeColor="text2"/>
          <w:sz w:val="96"/>
          <w:szCs w:val="96"/>
        </w:rPr>
      </w:pPr>
    </w:p>
    <w:p w14:paraId="32292BB9" w14:textId="29F82579" w:rsidR="00510017" w:rsidRPr="00AF1BAE" w:rsidRDefault="00403AD1" w:rsidP="00FC6F19">
      <w:pPr>
        <w:pStyle w:val="Titel"/>
        <w:spacing w:after="0" w:line="276" w:lineRule="auto"/>
        <w:rPr>
          <w:b/>
          <w:bCs/>
          <w:color w:val="E1B129" w:themeColor="text2"/>
          <w:lang w:val="nl-NL"/>
        </w:rPr>
      </w:pPr>
      <w:r w:rsidRPr="00AF1BAE">
        <w:rPr>
          <w:b/>
          <w:bCs/>
          <w:color w:val="E1B129" w:themeColor="text2"/>
          <w:lang w:val="nl-NL"/>
        </w:rPr>
        <w:t xml:space="preserve">Bijlage </w:t>
      </w:r>
      <w:r w:rsidR="005A34AA">
        <w:rPr>
          <w:b/>
          <w:bCs/>
          <w:color w:val="E1B129" w:themeColor="text2"/>
          <w:lang w:val="nl-NL"/>
        </w:rPr>
        <w:t>9</w:t>
      </w:r>
      <w:r w:rsidRPr="00AF1BAE">
        <w:rPr>
          <w:b/>
          <w:bCs/>
          <w:color w:val="E1B129" w:themeColor="text2"/>
          <w:lang w:val="nl-NL"/>
        </w:rPr>
        <w:t xml:space="preserve"> – </w:t>
      </w:r>
      <w:r w:rsidR="005A34AA">
        <w:rPr>
          <w:b/>
          <w:bCs/>
          <w:color w:val="E1B129" w:themeColor="text2"/>
          <w:lang w:val="nl-NL"/>
        </w:rPr>
        <w:t>Democasus</w:t>
      </w:r>
    </w:p>
    <w:p w14:paraId="04502032" w14:textId="5A079890" w:rsidR="002875E2" w:rsidRDefault="007E2F4D" w:rsidP="00FC6F19">
      <w:pPr>
        <w:spacing w:line="276" w:lineRule="auto"/>
        <w:rPr>
          <w:lang w:val="fr-FR"/>
        </w:rPr>
      </w:pPr>
      <w:r w:rsidRPr="007E2F4D">
        <w:rPr>
          <w:rFonts w:eastAsiaTheme="majorEastAsia" w:cstheme="majorBidi"/>
          <w:color w:val="FCFBFB" w:themeColor="background1"/>
          <w:spacing w:val="15"/>
          <w:kern w:val="2"/>
          <w:sz w:val="28"/>
          <w:szCs w:val="28"/>
          <w:lang w:val="nl-NL"/>
          <w14:ligatures w14:val="standardContextual"/>
        </w:rPr>
        <w:t>Levering, implementatie, hosting, beheer, onderhoud en doorontwikkeling van een nieuw zaaksysteem incl. financiële stroom rondom de zaak</w:t>
      </w:r>
    </w:p>
    <w:p w14:paraId="10EFC98D" w14:textId="77777777" w:rsidR="002875E2" w:rsidRDefault="002875E2" w:rsidP="00FC6F19">
      <w:pPr>
        <w:spacing w:line="276" w:lineRule="auto"/>
        <w:rPr>
          <w:lang w:val="fr-FR"/>
        </w:rPr>
      </w:pPr>
    </w:p>
    <w:p w14:paraId="5A13E037" w14:textId="77777777" w:rsidR="002875E2" w:rsidRDefault="002875E2" w:rsidP="00FC6F19">
      <w:pPr>
        <w:spacing w:line="276" w:lineRule="auto"/>
        <w:rPr>
          <w:lang w:val="fr-FR"/>
        </w:rPr>
      </w:pPr>
    </w:p>
    <w:p w14:paraId="478D8E73" w14:textId="77777777" w:rsidR="002875E2" w:rsidRDefault="002875E2" w:rsidP="00FC6F19">
      <w:pPr>
        <w:spacing w:line="276" w:lineRule="auto"/>
        <w:rPr>
          <w:lang w:val="fr-FR"/>
        </w:rPr>
      </w:pPr>
    </w:p>
    <w:p w14:paraId="1C9E9DE8" w14:textId="77777777" w:rsidR="002875E2" w:rsidRDefault="002875E2" w:rsidP="00FC6F19">
      <w:pPr>
        <w:spacing w:line="276" w:lineRule="auto"/>
        <w:rPr>
          <w:color w:val="FCFBFB" w:themeColor="background1"/>
          <w:lang w:val="nl-NL"/>
        </w:rPr>
      </w:pPr>
    </w:p>
    <w:p w14:paraId="0C1C95BE" w14:textId="77777777" w:rsidR="002875E2" w:rsidRDefault="002875E2" w:rsidP="00FC6F19">
      <w:pPr>
        <w:spacing w:line="276" w:lineRule="auto"/>
        <w:rPr>
          <w:color w:val="FCFBFB" w:themeColor="background1"/>
          <w:lang w:val="nl-NL"/>
        </w:rPr>
      </w:pPr>
    </w:p>
    <w:p w14:paraId="3FA93FF0" w14:textId="77777777" w:rsidR="002875E2" w:rsidRDefault="002875E2" w:rsidP="00FC6F19">
      <w:pPr>
        <w:spacing w:line="276" w:lineRule="auto"/>
        <w:rPr>
          <w:color w:val="FCFBFB" w:themeColor="background1"/>
          <w:lang w:val="nl-NL"/>
        </w:rPr>
      </w:pPr>
    </w:p>
    <w:p w14:paraId="5B06B094" w14:textId="77777777" w:rsidR="002875E2" w:rsidRDefault="002875E2" w:rsidP="00FC6F19">
      <w:pPr>
        <w:spacing w:line="276" w:lineRule="auto"/>
        <w:rPr>
          <w:color w:val="FCFBFB" w:themeColor="background1"/>
          <w:lang w:val="nl-NL"/>
        </w:rPr>
      </w:pPr>
    </w:p>
    <w:p w14:paraId="2AB1082A" w14:textId="77777777" w:rsidR="002875E2" w:rsidRDefault="002875E2" w:rsidP="00FC6F19">
      <w:pPr>
        <w:spacing w:line="276" w:lineRule="auto"/>
        <w:rPr>
          <w:color w:val="FCFBFB" w:themeColor="background1"/>
          <w:lang w:val="nl-NL"/>
        </w:rPr>
      </w:pPr>
    </w:p>
    <w:p w14:paraId="64930A66" w14:textId="77777777" w:rsidR="002875E2" w:rsidRDefault="002875E2" w:rsidP="00FC6F19">
      <w:pPr>
        <w:spacing w:line="276" w:lineRule="auto"/>
        <w:rPr>
          <w:color w:val="FCFBFB" w:themeColor="background1"/>
          <w:lang w:val="nl-NL"/>
        </w:rPr>
      </w:pPr>
    </w:p>
    <w:p w14:paraId="7802CE68" w14:textId="77777777" w:rsidR="002875E2" w:rsidRDefault="002875E2" w:rsidP="00FC6F19">
      <w:pPr>
        <w:spacing w:line="276" w:lineRule="auto"/>
        <w:rPr>
          <w:color w:val="FCFBFB" w:themeColor="background1"/>
          <w:lang w:val="nl-NL"/>
        </w:rPr>
      </w:pPr>
    </w:p>
    <w:p w14:paraId="1EB56671" w14:textId="77777777" w:rsidR="002875E2" w:rsidRDefault="002875E2" w:rsidP="00FC6F19">
      <w:pPr>
        <w:spacing w:line="276" w:lineRule="auto"/>
        <w:rPr>
          <w:color w:val="FCFBFB" w:themeColor="background1"/>
          <w:lang w:val="nl-NL"/>
        </w:rPr>
      </w:pPr>
    </w:p>
    <w:p w14:paraId="3027BDDD" w14:textId="77777777" w:rsidR="002875E2" w:rsidRDefault="002875E2" w:rsidP="00FC6F19">
      <w:pPr>
        <w:spacing w:line="276" w:lineRule="auto"/>
        <w:rPr>
          <w:color w:val="FCFBFB" w:themeColor="background1"/>
          <w:lang w:val="nl-NL"/>
        </w:rPr>
      </w:pPr>
    </w:p>
    <w:p w14:paraId="7FABA5B1" w14:textId="77777777" w:rsidR="002875E2" w:rsidRDefault="002875E2" w:rsidP="00FC6F19">
      <w:pPr>
        <w:spacing w:line="276" w:lineRule="auto"/>
        <w:rPr>
          <w:color w:val="FCFBFB" w:themeColor="background1"/>
          <w:lang w:val="nl-NL"/>
        </w:rPr>
      </w:pPr>
    </w:p>
    <w:p w14:paraId="77007268" w14:textId="77777777" w:rsidR="002875E2" w:rsidRDefault="002875E2" w:rsidP="00FC6F19">
      <w:pPr>
        <w:spacing w:line="276" w:lineRule="auto"/>
        <w:rPr>
          <w:color w:val="FCFBFB" w:themeColor="background1"/>
          <w:lang w:val="nl-NL"/>
        </w:rPr>
      </w:pPr>
    </w:p>
    <w:p w14:paraId="6731EA67" w14:textId="77777777" w:rsidR="002875E2" w:rsidRDefault="002875E2" w:rsidP="00FC6F19">
      <w:pPr>
        <w:spacing w:line="276" w:lineRule="auto"/>
        <w:rPr>
          <w:color w:val="FCFBFB" w:themeColor="background1"/>
          <w:lang w:val="nl-NL"/>
        </w:rPr>
      </w:pPr>
    </w:p>
    <w:p w14:paraId="00FA5D8B" w14:textId="77777777" w:rsidR="002875E2" w:rsidRDefault="002875E2" w:rsidP="00FC6F19">
      <w:pPr>
        <w:spacing w:line="276" w:lineRule="auto"/>
        <w:rPr>
          <w:color w:val="FCFBFB" w:themeColor="background1"/>
          <w:lang w:val="nl-NL"/>
        </w:rPr>
      </w:pPr>
    </w:p>
    <w:p w14:paraId="1FE35518" w14:textId="77777777" w:rsidR="002875E2" w:rsidRDefault="002875E2" w:rsidP="00FC6F19">
      <w:pPr>
        <w:spacing w:line="276" w:lineRule="auto"/>
        <w:rPr>
          <w:color w:val="FCFBFB" w:themeColor="background1"/>
          <w:lang w:val="nl-NL"/>
        </w:rPr>
      </w:pPr>
    </w:p>
    <w:p w14:paraId="6F444B04" w14:textId="77777777" w:rsidR="002875E2" w:rsidRDefault="002875E2" w:rsidP="00FC6F19">
      <w:pPr>
        <w:spacing w:line="276" w:lineRule="auto"/>
        <w:rPr>
          <w:color w:val="FCFBFB" w:themeColor="background1"/>
          <w:lang w:val="nl-NL"/>
        </w:rPr>
      </w:pPr>
    </w:p>
    <w:p w14:paraId="29FEC0DE" w14:textId="77777777" w:rsidR="002875E2" w:rsidRPr="00757243" w:rsidRDefault="002875E2" w:rsidP="00FC6F19">
      <w:pPr>
        <w:spacing w:line="276" w:lineRule="auto"/>
        <w:jc w:val="both"/>
        <w:rPr>
          <w:color w:val="FCFBFB" w:themeColor="background1"/>
          <w:lang w:val="nl-NL"/>
        </w:rPr>
      </w:pPr>
      <w:r w:rsidRPr="00757243">
        <w:rPr>
          <w:color w:val="FCFBFB" w:themeColor="background1"/>
          <w:lang w:val="nl-NL"/>
        </w:rPr>
        <w:t>Uitgevoerd door</w:t>
      </w:r>
      <w:r w:rsidRPr="00757243">
        <w:rPr>
          <w:lang w:val="nl-NL"/>
        </w:rPr>
        <w:tab/>
      </w:r>
      <w:r w:rsidRPr="00757243">
        <w:rPr>
          <w:lang w:val="nl-NL"/>
        </w:rPr>
        <w:tab/>
      </w:r>
      <w:r w:rsidRPr="00757243">
        <w:rPr>
          <w:color w:val="FCFBFB" w:themeColor="background1"/>
          <w:lang w:val="nl-NL"/>
        </w:rPr>
        <w:t>:</w:t>
      </w:r>
      <w:r w:rsidRPr="00757243">
        <w:rPr>
          <w:lang w:val="nl-NL"/>
        </w:rPr>
        <w:tab/>
      </w:r>
      <w:r w:rsidRPr="00757243">
        <w:rPr>
          <w:color w:val="FCFBFB" w:themeColor="background1"/>
          <w:lang w:val="nl-NL"/>
        </w:rPr>
        <w:t xml:space="preserve">EPSA Procurement, </w:t>
      </w:r>
      <w:r w:rsidRPr="00757243">
        <w:rPr>
          <w:rFonts w:cs="Assistant Light"/>
          <w:color w:val="FCFBFB" w:themeColor="background1"/>
          <w:szCs w:val="20"/>
          <w:lang w:val="nl-NL"/>
        </w:rPr>
        <w:t>Lieke Hekers en Mitchel Venmans</w:t>
      </w:r>
    </w:p>
    <w:p w14:paraId="2D39CFCE" w14:textId="77777777" w:rsidR="002875E2" w:rsidRPr="00757243" w:rsidRDefault="002875E2" w:rsidP="00FC6F19">
      <w:pPr>
        <w:spacing w:line="276" w:lineRule="auto"/>
        <w:jc w:val="both"/>
        <w:rPr>
          <w:color w:val="FCFBFB" w:themeColor="background1"/>
          <w:lang w:val="nl-NL"/>
        </w:rPr>
      </w:pPr>
      <w:r w:rsidRPr="00757243">
        <w:rPr>
          <w:color w:val="FCFBFB" w:themeColor="background1"/>
          <w:lang w:val="nl-NL"/>
        </w:rPr>
        <w:t>In opdracht van</w:t>
      </w:r>
      <w:r w:rsidRPr="00757243">
        <w:rPr>
          <w:color w:val="FCFBFB" w:themeColor="background1"/>
          <w:lang w:val="nl-NL"/>
        </w:rPr>
        <w:tab/>
      </w:r>
      <w:r w:rsidRPr="00757243">
        <w:rPr>
          <w:color w:val="FCFBFB" w:themeColor="background1"/>
          <w:lang w:val="nl-NL"/>
        </w:rPr>
        <w:tab/>
        <w:t>:</w:t>
      </w:r>
      <w:r w:rsidRPr="00757243">
        <w:rPr>
          <w:color w:val="FCFBFB" w:themeColor="background1"/>
          <w:lang w:val="nl-NL"/>
        </w:rPr>
        <w:tab/>
      </w:r>
      <w:r w:rsidRPr="00757243">
        <w:rPr>
          <w:rFonts w:cs="Assistant Light"/>
          <w:color w:val="FCFBFB" w:themeColor="background1"/>
          <w:szCs w:val="20"/>
          <w:lang w:val="nl-NL"/>
        </w:rPr>
        <w:t>LBIO Rotterdam</w:t>
      </w:r>
    </w:p>
    <w:p w14:paraId="1DE5CC6F" w14:textId="6AF367DD" w:rsidR="002875E2" w:rsidRPr="00757243" w:rsidRDefault="002875E2" w:rsidP="00FC6F19">
      <w:pPr>
        <w:spacing w:line="276" w:lineRule="auto"/>
        <w:jc w:val="both"/>
        <w:rPr>
          <w:color w:val="FCFBFB" w:themeColor="background1"/>
          <w:lang w:val="nl-NL"/>
        </w:rPr>
      </w:pPr>
      <w:r w:rsidRPr="00757243">
        <w:rPr>
          <w:color w:val="FCFBFB" w:themeColor="background1"/>
          <w:lang w:val="nl-NL"/>
        </w:rPr>
        <w:t>Datum</w:t>
      </w:r>
      <w:r w:rsidRPr="00757243">
        <w:rPr>
          <w:color w:val="FCFBFB" w:themeColor="background1"/>
          <w:lang w:val="nl-NL"/>
        </w:rPr>
        <w:tab/>
      </w:r>
      <w:r w:rsidRPr="00757243">
        <w:rPr>
          <w:color w:val="FCFBFB" w:themeColor="background1"/>
          <w:lang w:val="nl-NL"/>
        </w:rPr>
        <w:tab/>
      </w:r>
      <w:r w:rsidRPr="00757243">
        <w:rPr>
          <w:color w:val="FCFBFB" w:themeColor="background1"/>
          <w:lang w:val="nl-NL"/>
        </w:rPr>
        <w:tab/>
        <w:t>:</w:t>
      </w:r>
      <w:r w:rsidRPr="00757243">
        <w:rPr>
          <w:color w:val="FCFBFB" w:themeColor="background1"/>
          <w:lang w:val="nl-NL"/>
        </w:rPr>
        <w:tab/>
      </w:r>
      <w:r w:rsidR="007E2F4D">
        <w:rPr>
          <w:color w:val="FCFBFB" w:themeColor="background1"/>
          <w:lang w:val="nl-NL"/>
        </w:rPr>
        <w:t>29</w:t>
      </w:r>
      <w:r w:rsidRPr="00757243">
        <w:rPr>
          <w:color w:val="FCFBFB" w:themeColor="background1"/>
          <w:lang w:val="nl-NL"/>
        </w:rPr>
        <w:t xml:space="preserve"> </w:t>
      </w:r>
      <w:r w:rsidR="007E2F4D">
        <w:rPr>
          <w:color w:val="FCFBFB" w:themeColor="background1"/>
          <w:lang w:val="nl-NL"/>
        </w:rPr>
        <w:t>mei</w:t>
      </w:r>
      <w:r w:rsidRPr="00757243">
        <w:rPr>
          <w:color w:val="FCFBFB" w:themeColor="background1"/>
          <w:lang w:val="nl-NL"/>
        </w:rPr>
        <w:t xml:space="preserve"> 2026</w:t>
      </w:r>
    </w:p>
    <w:p w14:paraId="13E07374" w14:textId="77777777" w:rsidR="002875E2" w:rsidRPr="00757243" w:rsidRDefault="002875E2" w:rsidP="00FC6F19">
      <w:pPr>
        <w:spacing w:line="276" w:lineRule="auto"/>
        <w:jc w:val="both"/>
        <w:rPr>
          <w:color w:val="FCFBFB" w:themeColor="background1"/>
          <w:lang w:val="nl-NL"/>
        </w:rPr>
      </w:pPr>
      <w:r w:rsidRPr="00757243">
        <w:rPr>
          <w:color w:val="FCFBFB" w:themeColor="background1"/>
          <w:lang w:val="nl-NL"/>
        </w:rPr>
        <w:t>Versie</w:t>
      </w:r>
      <w:r w:rsidRPr="00757243">
        <w:rPr>
          <w:color w:val="FCFBFB" w:themeColor="background1"/>
          <w:lang w:val="nl-NL"/>
        </w:rPr>
        <w:tab/>
      </w:r>
      <w:r w:rsidRPr="00757243">
        <w:rPr>
          <w:color w:val="FCFBFB" w:themeColor="background1"/>
          <w:lang w:val="nl-NL"/>
        </w:rPr>
        <w:tab/>
      </w:r>
      <w:r w:rsidRPr="00757243">
        <w:rPr>
          <w:color w:val="FCFBFB" w:themeColor="background1"/>
          <w:lang w:val="nl-NL"/>
        </w:rPr>
        <w:tab/>
        <w:t>:</w:t>
      </w:r>
      <w:r w:rsidRPr="00757243">
        <w:rPr>
          <w:color w:val="FCFBFB" w:themeColor="background1"/>
          <w:lang w:val="nl-NL"/>
        </w:rPr>
        <w:tab/>
        <w:t>Versie 1.0</w:t>
      </w:r>
    </w:p>
    <w:p w14:paraId="073DD693" w14:textId="77777777" w:rsidR="00FC6F19" w:rsidRPr="00CC5B6F" w:rsidRDefault="00FC6F19">
      <w:pPr>
        <w:rPr>
          <w:lang w:val="nl-NL"/>
        </w:rPr>
      </w:pPr>
      <w:bookmarkStart w:id="0" w:name="Proces_demonstratie_Marktconsultatie_Det"/>
      <w:bookmarkEnd w:id="0"/>
      <w:r w:rsidRPr="00CC5B6F">
        <w:rPr>
          <w:lang w:val="nl-NL"/>
        </w:rPr>
        <w:br w:type="page"/>
      </w:r>
    </w:p>
    <w:p w14:paraId="3D3071DD" w14:textId="1DBC0051" w:rsidR="00CB0B10" w:rsidRDefault="00FC6F19" w:rsidP="00FC6F19">
      <w:pPr>
        <w:spacing w:line="276" w:lineRule="auto"/>
        <w:rPr>
          <w:lang w:val="nl-NL"/>
        </w:rPr>
      </w:pPr>
      <w:r w:rsidRPr="00FC6F19">
        <w:rPr>
          <w:rFonts w:hint="cs"/>
          <w:lang w:val="nl-NL"/>
        </w:rPr>
        <w:lastRenderedPageBreak/>
        <w:t xml:space="preserve">In </w:t>
      </w:r>
      <w:r>
        <w:rPr>
          <w:lang w:val="nl-NL"/>
        </w:rPr>
        <w:t>deze bijlage</w:t>
      </w:r>
      <w:r w:rsidRPr="00FC6F19">
        <w:rPr>
          <w:rFonts w:hint="cs"/>
          <w:lang w:val="nl-NL"/>
        </w:rPr>
        <w:t xml:space="preserve"> zijn de scenariostudies opgenomen welke inschrijver dient te tonen tijdens de demonstratie.</w:t>
      </w:r>
      <w:r>
        <w:rPr>
          <w:lang w:val="nl-NL"/>
        </w:rPr>
        <w:t xml:space="preserve"> </w:t>
      </w:r>
      <w:r w:rsidR="00CB0B10">
        <w:rPr>
          <w:lang w:val="nl-NL"/>
        </w:rPr>
        <w:t xml:space="preserve">In totaal kan er voor de SGC3. </w:t>
      </w:r>
      <w:r w:rsidR="00CB0B10" w:rsidRPr="00CB0B10">
        <w:rPr>
          <w:lang w:val="nl-NL"/>
        </w:rPr>
        <w:t>Demonstratie o.b.v. democasussen e</w:t>
      </w:r>
      <w:r w:rsidR="00CB0B10">
        <w:rPr>
          <w:lang w:val="nl-NL"/>
        </w:rPr>
        <w:t>en waardevermindering worden toegekend van €500.000,-.</w:t>
      </w:r>
      <w:r>
        <w:rPr>
          <w:lang w:val="nl-NL"/>
        </w:rPr>
        <w:t xml:space="preserve"> In onderstaande tabel wordt de maximale waardevermindering per demo weergegeven. </w:t>
      </w:r>
    </w:p>
    <w:tbl>
      <w:tblPr>
        <w:tblStyle w:val="Tabelraster"/>
        <w:tblW w:w="0" w:type="auto"/>
        <w:tblLook w:val="04A0" w:firstRow="1" w:lastRow="0" w:firstColumn="1" w:lastColumn="0" w:noHBand="0" w:noVBand="1"/>
      </w:tblPr>
      <w:tblGrid>
        <w:gridCol w:w="4530"/>
        <w:gridCol w:w="4530"/>
      </w:tblGrid>
      <w:tr w:rsidR="00CB0B10" w14:paraId="4D7909D9" w14:textId="77777777" w:rsidTr="007E5B0D">
        <w:tc>
          <w:tcPr>
            <w:tcW w:w="4530" w:type="dxa"/>
            <w:shd w:val="clear" w:color="auto" w:fill="435774" w:themeFill="accent2"/>
          </w:tcPr>
          <w:p w14:paraId="03938EA9" w14:textId="33397F77" w:rsidR="00CB0B10" w:rsidRPr="007E5B0D" w:rsidRDefault="00CB0B10" w:rsidP="00FC6F19">
            <w:pPr>
              <w:spacing w:line="276" w:lineRule="auto"/>
              <w:rPr>
                <w:b/>
                <w:bCs/>
                <w:color w:val="FCFBFB" w:themeColor="background1"/>
                <w:lang w:val="nl-NL"/>
              </w:rPr>
            </w:pPr>
            <w:r w:rsidRPr="007E5B0D">
              <w:rPr>
                <w:b/>
                <w:bCs/>
                <w:color w:val="FCFBFB" w:themeColor="background1"/>
                <w:lang w:val="nl-NL"/>
              </w:rPr>
              <w:t>Democasus</w:t>
            </w:r>
          </w:p>
        </w:tc>
        <w:tc>
          <w:tcPr>
            <w:tcW w:w="4530" w:type="dxa"/>
            <w:shd w:val="clear" w:color="auto" w:fill="435774" w:themeFill="accent2"/>
          </w:tcPr>
          <w:p w14:paraId="4ED49C32" w14:textId="114CAA7B" w:rsidR="00CB0B10" w:rsidRPr="007E5B0D" w:rsidRDefault="00CB0B10" w:rsidP="00FC6F19">
            <w:pPr>
              <w:spacing w:line="276" w:lineRule="auto"/>
              <w:rPr>
                <w:b/>
                <w:bCs/>
                <w:color w:val="FCFBFB" w:themeColor="background1"/>
                <w:lang w:val="nl-NL"/>
              </w:rPr>
            </w:pPr>
            <w:r w:rsidRPr="007E5B0D">
              <w:rPr>
                <w:b/>
                <w:bCs/>
                <w:color w:val="FCFBFB" w:themeColor="background1"/>
                <w:lang w:val="nl-NL"/>
              </w:rPr>
              <w:t>Maximale waardevermindering</w:t>
            </w:r>
          </w:p>
        </w:tc>
      </w:tr>
      <w:tr w:rsidR="009322CF" w14:paraId="3EBE8770" w14:textId="77777777" w:rsidTr="00CB0B10">
        <w:tc>
          <w:tcPr>
            <w:tcW w:w="4530" w:type="dxa"/>
          </w:tcPr>
          <w:p w14:paraId="377BA1F3" w14:textId="74B3D27C" w:rsidR="009322CF" w:rsidRDefault="009322CF" w:rsidP="00FC6F19">
            <w:pPr>
              <w:spacing w:line="276" w:lineRule="auto"/>
              <w:rPr>
                <w:lang w:val="nl-NL"/>
              </w:rPr>
            </w:pPr>
            <w:r w:rsidRPr="00CB0B10">
              <w:rPr>
                <w:lang w:val="nl-NL"/>
              </w:rPr>
              <w:t>Democasus 1 Interface</w:t>
            </w:r>
          </w:p>
        </w:tc>
        <w:tc>
          <w:tcPr>
            <w:tcW w:w="4530" w:type="dxa"/>
          </w:tcPr>
          <w:p w14:paraId="1D00B222" w14:textId="037847F4" w:rsidR="009322CF" w:rsidRDefault="009322CF" w:rsidP="00FC6F19">
            <w:pPr>
              <w:spacing w:line="276" w:lineRule="auto"/>
              <w:rPr>
                <w:lang w:val="nl-NL"/>
              </w:rPr>
            </w:pPr>
            <w:r w:rsidRPr="00942E4E">
              <w:t xml:space="preserve"> € 80.000,</w:t>
            </w:r>
            <w:r>
              <w:t>-</w:t>
            </w:r>
          </w:p>
        </w:tc>
      </w:tr>
      <w:tr w:rsidR="009322CF" w14:paraId="70BCC863" w14:textId="77777777" w:rsidTr="00CB0B10">
        <w:tc>
          <w:tcPr>
            <w:tcW w:w="4530" w:type="dxa"/>
          </w:tcPr>
          <w:p w14:paraId="2E5E994C" w14:textId="6BAA2935" w:rsidR="009322CF" w:rsidRDefault="009322CF" w:rsidP="00FC6F19">
            <w:pPr>
              <w:spacing w:line="276" w:lineRule="auto"/>
              <w:rPr>
                <w:lang w:val="nl-NL"/>
              </w:rPr>
            </w:pPr>
            <w:r w:rsidRPr="00CB0B10">
              <w:rPr>
                <w:lang w:val="nl-NL"/>
              </w:rPr>
              <w:t>Democasus 2 Start aanvraag</w:t>
            </w:r>
          </w:p>
        </w:tc>
        <w:tc>
          <w:tcPr>
            <w:tcW w:w="4530" w:type="dxa"/>
          </w:tcPr>
          <w:p w14:paraId="7E2BC8A1" w14:textId="60DCD528" w:rsidR="009322CF" w:rsidRDefault="009322CF" w:rsidP="00FC6F19">
            <w:pPr>
              <w:spacing w:line="276" w:lineRule="auto"/>
              <w:rPr>
                <w:lang w:val="nl-NL"/>
              </w:rPr>
            </w:pPr>
            <w:r w:rsidRPr="00942E4E">
              <w:t xml:space="preserve"> € 60.000,</w:t>
            </w:r>
            <w:r>
              <w:t>-</w:t>
            </w:r>
          </w:p>
        </w:tc>
      </w:tr>
      <w:tr w:rsidR="009322CF" w14:paraId="1DA27803" w14:textId="77777777" w:rsidTr="00CB0B10">
        <w:tc>
          <w:tcPr>
            <w:tcW w:w="4530" w:type="dxa"/>
          </w:tcPr>
          <w:p w14:paraId="15608091" w14:textId="76D8B690" w:rsidR="009322CF" w:rsidRDefault="009322CF" w:rsidP="00FC6F19">
            <w:pPr>
              <w:spacing w:line="276" w:lineRule="auto"/>
              <w:rPr>
                <w:lang w:val="nl-NL"/>
              </w:rPr>
            </w:pPr>
            <w:r w:rsidRPr="00CB0B10">
              <w:rPr>
                <w:lang w:val="nl-NL"/>
              </w:rPr>
              <w:t>Democasus 3 Beoordeling aanvraag</w:t>
            </w:r>
          </w:p>
        </w:tc>
        <w:tc>
          <w:tcPr>
            <w:tcW w:w="4530" w:type="dxa"/>
          </w:tcPr>
          <w:p w14:paraId="3231053B" w14:textId="3E8860A2" w:rsidR="009322CF" w:rsidRDefault="009322CF" w:rsidP="00FC6F19">
            <w:pPr>
              <w:spacing w:line="276" w:lineRule="auto"/>
              <w:rPr>
                <w:lang w:val="nl-NL"/>
              </w:rPr>
            </w:pPr>
            <w:r w:rsidRPr="00942E4E">
              <w:t xml:space="preserve"> € 100.000,</w:t>
            </w:r>
            <w:r>
              <w:t>-</w:t>
            </w:r>
            <w:r w:rsidRPr="00942E4E">
              <w:t xml:space="preserve"> </w:t>
            </w:r>
          </w:p>
        </w:tc>
      </w:tr>
      <w:tr w:rsidR="009322CF" w14:paraId="43FB8B30" w14:textId="77777777" w:rsidTr="00CB0B10">
        <w:tc>
          <w:tcPr>
            <w:tcW w:w="4530" w:type="dxa"/>
          </w:tcPr>
          <w:p w14:paraId="7CE2BAD1" w14:textId="3148BFC9" w:rsidR="009322CF" w:rsidRDefault="009322CF" w:rsidP="00FC6F19">
            <w:pPr>
              <w:spacing w:line="276" w:lineRule="auto"/>
              <w:rPr>
                <w:lang w:val="nl-NL"/>
              </w:rPr>
            </w:pPr>
            <w:r w:rsidRPr="00CB0B10">
              <w:rPr>
                <w:lang w:val="nl-NL"/>
              </w:rPr>
              <w:t>Democasus 4 Doorzetten aanvraag</w:t>
            </w:r>
          </w:p>
        </w:tc>
        <w:tc>
          <w:tcPr>
            <w:tcW w:w="4530" w:type="dxa"/>
          </w:tcPr>
          <w:p w14:paraId="2125D8D1" w14:textId="408C8992" w:rsidR="009322CF" w:rsidRDefault="009322CF" w:rsidP="00FC6F19">
            <w:pPr>
              <w:spacing w:line="276" w:lineRule="auto"/>
              <w:rPr>
                <w:lang w:val="nl-NL"/>
              </w:rPr>
            </w:pPr>
            <w:r w:rsidRPr="00942E4E">
              <w:t xml:space="preserve"> € 60.000,</w:t>
            </w:r>
            <w:r>
              <w:t>-</w:t>
            </w:r>
            <w:r w:rsidRPr="00942E4E">
              <w:t xml:space="preserve"> </w:t>
            </w:r>
          </w:p>
        </w:tc>
      </w:tr>
      <w:tr w:rsidR="009322CF" w14:paraId="32CDCBEC" w14:textId="77777777" w:rsidTr="00CB0B10">
        <w:tc>
          <w:tcPr>
            <w:tcW w:w="4530" w:type="dxa"/>
          </w:tcPr>
          <w:p w14:paraId="2417924C" w14:textId="139777FB" w:rsidR="009322CF" w:rsidRDefault="009322CF" w:rsidP="00FC6F19">
            <w:pPr>
              <w:spacing w:line="276" w:lineRule="auto"/>
              <w:rPr>
                <w:lang w:val="nl-NL"/>
              </w:rPr>
            </w:pPr>
            <w:r w:rsidRPr="00CB0B10">
              <w:rPr>
                <w:lang w:val="nl-NL"/>
              </w:rPr>
              <w:t>Democasus 5 Facturatie</w:t>
            </w:r>
          </w:p>
        </w:tc>
        <w:tc>
          <w:tcPr>
            <w:tcW w:w="4530" w:type="dxa"/>
          </w:tcPr>
          <w:p w14:paraId="375429A1" w14:textId="3D1D2429" w:rsidR="009322CF" w:rsidRDefault="009322CF" w:rsidP="00FC6F19">
            <w:pPr>
              <w:spacing w:line="276" w:lineRule="auto"/>
              <w:rPr>
                <w:lang w:val="nl-NL"/>
              </w:rPr>
            </w:pPr>
            <w:r w:rsidRPr="00942E4E">
              <w:t xml:space="preserve"> € 60.000,</w:t>
            </w:r>
            <w:r>
              <w:t>-</w:t>
            </w:r>
            <w:r w:rsidRPr="00942E4E">
              <w:t xml:space="preserve"> </w:t>
            </w:r>
          </w:p>
        </w:tc>
      </w:tr>
      <w:tr w:rsidR="009322CF" w14:paraId="5998953D" w14:textId="77777777" w:rsidTr="00CB0B10">
        <w:tc>
          <w:tcPr>
            <w:tcW w:w="4530" w:type="dxa"/>
          </w:tcPr>
          <w:p w14:paraId="576B10C3" w14:textId="07CEF6BD" w:rsidR="009322CF" w:rsidRPr="00CB0B10" w:rsidRDefault="009322CF" w:rsidP="00FC6F19">
            <w:pPr>
              <w:spacing w:line="276" w:lineRule="auto"/>
              <w:rPr>
                <w:lang w:val="nl-NL"/>
              </w:rPr>
            </w:pPr>
            <w:r w:rsidRPr="00CB0B10">
              <w:rPr>
                <w:lang w:val="nl-NL"/>
              </w:rPr>
              <w:t>Democasus 6 Documentcreatie</w:t>
            </w:r>
          </w:p>
        </w:tc>
        <w:tc>
          <w:tcPr>
            <w:tcW w:w="4530" w:type="dxa"/>
          </w:tcPr>
          <w:p w14:paraId="416EFACE" w14:textId="04214E8E" w:rsidR="009322CF" w:rsidRDefault="009322CF" w:rsidP="00FC6F19">
            <w:pPr>
              <w:spacing w:line="276" w:lineRule="auto"/>
              <w:rPr>
                <w:lang w:val="nl-NL"/>
              </w:rPr>
            </w:pPr>
            <w:r w:rsidRPr="00942E4E">
              <w:t xml:space="preserve"> € 60.000,</w:t>
            </w:r>
            <w:r>
              <w:t>-</w:t>
            </w:r>
            <w:r w:rsidRPr="00942E4E">
              <w:t xml:space="preserve"> </w:t>
            </w:r>
          </w:p>
        </w:tc>
      </w:tr>
      <w:tr w:rsidR="009322CF" w14:paraId="1AE2FB3A" w14:textId="77777777" w:rsidTr="00CB0B10">
        <w:tc>
          <w:tcPr>
            <w:tcW w:w="4530" w:type="dxa"/>
          </w:tcPr>
          <w:p w14:paraId="76884F05" w14:textId="7F921F15" w:rsidR="009322CF" w:rsidRPr="00CB0B10" w:rsidRDefault="009322CF" w:rsidP="00FC6F19">
            <w:pPr>
              <w:spacing w:line="276" w:lineRule="auto"/>
              <w:rPr>
                <w:lang w:val="nl-NL"/>
              </w:rPr>
            </w:pPr>
            <w:r w:rsidRPr="00CB0B10">
              <w:rPr>
                <w:lang w:val="nl-NL"/>
              </w:rPr>
              <w:t>Democasus 7 Beheer</w:t>
            </w:r>
          </w:p>
        </w:tc>
        <w:tc>
          <w:tcPr>
            <w:tcW w:w="4530" w:type="dxa"/>
          </w:tcPr>
          <w:p w14:paraId="664C5EF0" w14:textId="540A7DC8" w:rsidR="009322CF" w:rsidRDefault="009322CF" w:rsidP="00FC6F19">
            <w:pPr>
              <w:spacing w:line="276" w:lineRule="auto"/>
              <w:rPr>
                <w:lang w:val="nl-NL"/>
              </w:rPr>
            </w:pPr>
            <w:r w:rsidRPr="00942E4E">
              <w:t xml:space="preserve"> € 80.000,</w:t>
            </w:r>
            <w:r>
              <w:t>-</w:t>
            </w:r>
            <w:r w:rsidRPr="00942E4E">
              <w:t xml:space="preserve"> </w:t>
            </w:r>
          </w:p>
        </w:tc>
      </w:tr>
      <w:tr w:rsidR="00CB0B10" w14:paraId="630344F3" w14:textId="77777777" w:rsidTr="00CB0B10">
        <w:tc>
          <w:tcPr>
            <w:tcW w:w="4530" w:type="dxa"/>
          </w:tcPr>
          <w:p w14:paraId="17168589" w14:textId="5BF3DE59" w:rsidR="00CB0B10" w:rsidRPr="00CB0B10" w:rsidRDefault="00CB0B10" w:rsidP="00FC6F19">
            <w:pPr>
              <w:spacing w:line="276" w:lineRule="auto"/>
              <w:rPr>
                <w:lang w:val="nl-NL"/>
              </w:rPr>
            </w:pPr>
            <w:r>
              <w:rPr>
                <w:lang w:val="nl-NL"/>
              </w:rPr>
              <w:t>Totaal</w:t>
            </w:r>
          </w:p>
        </w:tc>
        <w:tc>
          <w:tcPr>
            <w:tcW w:w="4530" w:type="dxa"/>
          </w:tcPr>
          <w:p w14:paraId="560D9B14" w14:textId="0039DDD8" w:rsidR="00CB0B10" w:rsidRDefault="00CB0B10" w:rsidP="00FC6F19">
            <w:pPr>
              <w:spacing w:line="276" w:lineRule="auto"/>
              <w:rPr>
                <w:lang w:val="nl-NL"/>
              </w:rPr>
            </w:pPr>
            <w:r>
              <w:rPr>
                <w:lang w:val="nl-NL"/>
              </w:rPr>
              <w:t>€ 500.000,-</w:t>
            </w:r>
          </w:p>
        </w:tc>
      </w:tr>
    </w:tbl>
    <w:p w14:paraId="525F51ED" w14:textId="3FAD5322" w:rsidR="00CB0B10" w:rsidRDefault="0018097D" w:rsidP="00FC6F19">
      <w:pPr>
        <w:spacing w:line="276" w:lineRule="auto"/>
        <w:rPr>
          <w:lang w:val="nl-NL"/>
        </w:rPr>
      </w:pPr>
      <w:r>
        <w:rPr>
          <w:lang w:val="nl-NL"/>
        </w:rPr>
        <w:t xml:space="preserve"> </w:t>
      </w:r>
    </w:p>
    <w:p w14:paraId="7F240479" w14:textId="3CF9AA5E" w:rsidR="0018097D" w:rsidRDefault="0018097D" w:rsidP="00FC6F19">
      <w:pPr>
        <w:spacing w:line="276" w:lineRule="auto"/>
        <w:rPr>
          <w:lang w:val="nl-NL"/>
        </w:rPr>
      </w:pPr>
      <w:r>
        <w:rPr>
          <w:lang w:val="nl-NL"/>
        </w:rPr>
        <w:t>De democasussen worden beoordeeld op basis van:</w:t>
      </w:r>
    </w:p>
    <w:p w14:paraId="5BDA4FBB" w14:textId="77777777" w:rsidR="0018097D" w:rsidRPr="00757243" w:rsidRDefault="0018097D" w:rsidP="00B2693E">
      <w:pPr>
        <w:pStyle w:val="Geenafstand"/>
        <w:numPr>
          <w:ilvl w:val="0"/>
          <w:numId w:val="9"/>
        </w:numPr>
        <w:jc w:val="both"/>
      </w:pPr>
      <w:r w:rsidRPr="00757243">
        <w:rPr>
          <w:rFonts w:hint="cs"/>
        </w:rPr>
        <w:t>Gebruiksvriendelijkheid – de mate waarin de oplossing gebruiksvriendelijk is;</w:t>
      </w:r>
    </w:p>
    <w:p w14:paraId="6131A341" w14:textId="65A30EEF" w:rsidR="0018097D" w:rsidRPr="00757243" w:rsidRDefault="0018097D" w:rsidP="00B2693E">
      <w:pPr>
        <w:pStyle w:val="Geenafstand"/>
        <w:numPr>
          <w:ilvl w:val="0"/>
          <w:numId w:val="9"/>
        </w:numPr>
        <w:jc w:val="both"/>
      </w:pPr>
      <w:r w:rsidRPr="00757243">
        <w:rPr>
          <w:rFonts w:hint="cs"/>
        </w:rPr>
        <w:t>Intuïtiviteit – de mate waarin de uit te voeren handelingen logisch en intuïtief zijn</w:t>
      </w:r>
      <w:r>
        <w:t xml:space="preserve">. </w:t>
      </w:r>
      <w:r w:rsidRPr="00C7337A">
        <w:t xml:space="preserve">Het systeem is </w:t>
      </w:r>
      <w:r w:rsidR="001B5313" w:rsidRPr="00C7337A">
        <w:t>intuïtief</w:t>
      </w:r>
      <w:r w:rsidRPr="00C7337A">
        <w:t xml:space="preserve"> wat blijkt uit dat de gebruiker gemakkelijk door het systeem navigeert en snel de juiste schermen weet te vinden</w:t>
      </w:r>
      <w:r w:rsidRPr="00757243">
        <w:rPr>
          <w:rFonts w:hint="cs"/>
        </w:rPr>
        <w:t>;</w:t>
      </w:r>
    </w:p>
    <w:p w14:paraId="4850EB26" w14:textId="77777777" w:rsidR="0018097D" w:rsidRPr="00757243" w:rsidRDefault="0018097D" w:rsidP="00B2693E">
      <w:pPr>
        <w:pStyle w:val="Geenafstand"/>
        <w:numPr>
          <w:ilvl w:val="0"/>
          <w:numId w:val="9"/>
        </w:numPr>
        <w:jc w:val="both"/>
      </w:pPr>
      <w:r w:rsidRPr="00757243">
        <w:rPr>
          <w:rFonts w:hint="cs"/>
        </w:rPr>
        <w:t>Efficiëntie – de hoeveelheid handelingen die nodig is om het gewenste resultaat te bereiken/de mate waarin de functionaliteit de processen ondersteunt;</w:t>
      </w:r>
    </w:p>
    <w:p w14:paraId="6359F847" w14:textId="77777777" w:rsidR="0018097D" w:rsidRPr="00757243" w:rsidRDefault="0018097D" w:rsidP="00B2693E">
      <w:pPr>
        <w:pStyle w:val="Geenafstand"/>
        <w:numPr>
          <w:ilvl w:val="0"/>
          <w:numId w:val="9"/>
        </w:numPr>
        <w:jc w:val="both"/>
      </w:pPr>
      <w:r w:rsidRPr="00757243">
        <w:rPr>
          <w:rFonts w:hint="cs"/>
        </w:rPr>
        <w:t>Effectiviteit – de mate waarin het aangeboden systeem over functionaliteit beschikt die van toegevoegde waarde is voor de gebruiker(s).</w:t>
      </w:r>
    </w:p>
    <w:p w14:paraId="0D96B614" w14:textId="77777777" w:rsidR="0018097D" w:rsidRPr="00757243" w:rsidRDefault="0018097D" w:rsidP="0018097D">
      <w:pPr>
        <w:pStyle w:val="Geenafstand"/>
        <w:numPr>
          <w:ilvl w:val="0"/>
          <w:numId w:val="0"/>
        </w:numPr>
        <w:ind w:left="720" w:hanging="360"/>
      </w:pPr>
    </w:p>
    <w:p w14:paraId="69D3E186" w14:textId="77777777" w:rsidR="0018097D" w:rsidRPr="00757243" w:rsidRDefault="0018097D" w:rsidP="0018097D">
      <w:pPr>
        <w:pStyle w:val="Geenafstand"/>
        <w:numPr>
          <w:ilvl w:val="0"/>
          <w:numId w:val="0"/>
        </w:numPr>
        <w:ind w:left="426" w:hanging="360"/>
      </w:pPr>
      <w:r w:rsidRPr="00757243">
        <w:rPr>
          <w:rFonts w:hint="cs"/>
        </w:rPr>
        <w:t>Indien tijdens de demonstratie blijkt dat het systeem en/ of de getoonde functionaliteiten niet voldoet/voldoen aan één of meerdere minimale Eisen, wordt de inschrijver uitgesloten van verdere deelname.</w:t>
      </w:r>
    </w:p>
    <w:p w14:paraId="7A885964" w14:textId="77777777" w:rsidR="0018097D" w:rsidRDefault="0018097D" w:rsidP="00FC6F19">
      <w:pPr>
        <w:spacing w:line="276" w:lineRule="auto"/>
        <w:rPr>
          <w:lang w:val="nl-NL"/>
        </w:rPr>
      </w:pPr>
    </w:p>
    <w:p w14:paraId="41F6EFEE" w14:textId="77777777" w:rsidR="0018097D" w:rsidRPr="00CB0B10" w:rsidRDefault="0018097D" w:rsidP="00FC6F19">
      <w:pPr>
        <w:spacing w:line="276" w:lineRule="auto"/>
        <w:rPr>
          <w:lang w:val="nl-NL"/>
        </w:rPr>
      </w:pPr>
    </w:p>
    <w:p w14:paraId="4F4B7850" w14:textId="22B14998" w:rsidR="00EB18B6" w:rsidRPr="0018097D" w:rsidRDefault="00300B93" w:rsidP="00FC6F19">
      <w:pPr>
        <w:pStyle w:val="Kop2"/>
        <w:spacing w:before="0" w:after="0" w:line="276" w:lineRule="auto"/>
        <w:rPr>
          <w:lang w:val="nl-NL"/>
        </w:rPr>
      </w:pPr>
      <w:r w:rsidRPr="0018097D">
        <w:rPr>
          <w:lang w:val="nl-NL"/>
        </w:rPr>
        <w:t>Demo</w:t>
      </w:r>
      <w:r w:rsidR="00DC303B" w:rsidRPr="0018097D">
        <w:rPr>
          <w:lang w:val="nl-NL"/>
        </w:rPr>
        <w:t>casus</w:t>
      </w:r>
      <w:r w:rsidRPr="0018097D">
        <w:rPr>
          <w:lang w:val="nl-NL"/>
        </w:rPr>
        <w:t xml:space="preserve"> 1 </w:t>
      </w:r>
      <w:r w:rsidR="007822EA" w:rsidRPr="0018097D">
        <w:rPr>
          <w:lang w:val="nl-NL"/>
        </w:rPr>
        <w:t>Interface</w:t>
      </w:r>
    </w:p>
    <w:p w14:paraId="48436CFD" w14:textId="77777777" w:rsidR="007822EA" w:rsidRPr="007822EA" w:rsidRDefault="007822EA" w:rsidP="00B2693E">
      <w:pPr>
        <w:numPr>
          <w:ilvl w:val="0"/>
          <w:numId w:val="6"/>
        </w:numPr>
        <w:spacing w:line="276" w:lineRule="auto"/>
        <w:textAlignment w:val="baseline"/>
        <w:rPr>
          <w:rFonts w:cs="Calibri"/>
          <w:lang w:val="nl-NL"/>
        </w:rPr>
      </w:pPr>
      <w:r w:rsidRPr="007822EA">
        <w:rPr>
          <w:rFonts w:cs="Calibri"/>
          <w:lang w:val="nl-NL"/>
        </w:rPr>
        <w:t>Geef een korte uitleg over de schermindeling, knoppen en navigatie van het zaaksysteem.  </w:t>
      </w:r>
    </w:p>
    <w:p w14:paraId="5DB90465" w14:textId="225B8012" w:rsidR="007822EA" w:rsidRPr="00537465" w:rsidRDefault="007822EA" w:rsidP="00B2693E">
      <w:pPr>
        <w:numPr>
          <w:ilvl w:val="0"/>
          <w:numId w:val="6"/>
        </w:numPr>
        <w:spacing w:line="276" w:lineRule="auto"/>
        <w:textAlignment w:val="baseline"/>
        <w:rPr>
          <w:rFonts w:cs="Calibri"/>
        </w:rPr>
      </w:pPr>
      <w:r w:rsidRPr="007822EA">
        <w:rPr>
          <w:rFonts w:cs="Calibri"/>
          <w:lang w:val="nl-NL"/>
        </w:rPr>
        <w:t xml:space="preserve">Toon de werkvoorraad </w:t>
      </w:r>
      <w:r w:rsidR="00FD04E3">
        <w:rPr>
          <w:rFonts w:cs="Calibri"/>
          <w:lang w:val="nl-NL"/>
        </w:rPr>
        <w:t xml:space="preserve">van zaakverantwoordelijke medewerker </w:t>
      </w:r>
      <w:r w:rsidRPr="007822EA">
        <w:rPr>
          <w:rFonts w:cs="Calibri"/>
          <w:lang w:val="nl-NL"/>
        </w:rPr>
        <w:t>en leg uit hoe deze gebruikt kan worden tijdens de werkzaamheden</w:t>
      </w:r>
      <w:r w:rsidR="00FD04E3">
        <w:rPr>
          <w:rFonts w:cs="Calibri"/>
          <w:lang w:val="nl-NL"/>
        </w:rPr>
        <w:t>.</w:t>
      </w:r>
      <w:r w:rsidRPr="007822EA">
        <w:rPr>
          <w:rFonts w:cs="Calibri"/>
          <w:lang w:val="nl-NL"/>
        </w:rPr>
        <w:t xml:space="preserve"> </w:t>
      </w:r>
      <w:r w:rsidRPr="00537465">
        <w:rPr>
          <w:rFonts w:cs="Calibri"/>
        </w:rPr>
        <w:t>Ga hierbij in op:  </w:t>
      </w:r>
    </w:p>
    <w:p w14:paraId="1DEA7268" w14:textId="762BEBFB" w:rsidR="007822EA" w:rsidRPr="007822EA" w:rsidRDefault="007822EA" w:rsidP="00B2693E">
      <w:pPr>
        <w:numPr>
          <w:ilvl w:val="1"/>
          <w:numId w:val="6"/>
        </w:numPr>
        <w:spacing w:line="276" w:lineRule="auto"/>
        <w:textAlignment w:val="baseline"/>
        <w:rPr>
          <w:rFonts w:cs="Calibri"/>
          <w:lang w:val="nl-NL"/>
        </w:rPr>
      </w:pPr>
      <w:r w:rsidRPr="007822EA">
        <w:rPr>
          <w:rFonts w:cs="Calibri"/>
          <w:lang w:val="nl-NL"/>
        </w:rPr>
        <w:t xml:space="preserve">In hoeverre </w:t>
      </w:r>
      <w:r w:rsidR="00735EF8">
        <w:rPr>
          <w:rFonts w:cs="Calibri"/>
          <w:lang w:val="nl-NL"/>
        </w:rPr>
        <w:t xml:space="preserve">medewerkers </w:t>
      </w:r>
      <w:r w:rsidRPr="007822EA">
        <w:rPr>
          <w:rFonts w:cs="Calibri"/>
          <w:lang w:val="nl-NL"/>
        </w:rPr>
        <w:t>aanpassingen in de interface kunnen configureren, personaliseren en opslaan;  </w:t>
      </w:r>
    </w:p>
    <w:p w14:paraId="4633BFD8" w14:textId="5B4CC39E" w:rsidR="007822EA" w:rsidRPr="007822EA" w:rsidRDefault="007822EA" w:rsidP="00B2693E">
      <w:pPr>
        <w:numPr>
          <w:ilvl w:val="1"/>
          <w:numId w:val="6"/>
        </w:numPr>
        <w:spacing w:line="276" w:lineRule="auto"/>
        <w:textAlignment w:val="baseline"/>
        <w:rPr>
          <w:rFonts w:cs="Calibri"/>
          <w:lang w:val="nl-NL"/>
        </w:rPr>
      </w:pPr>
      <w:r w:rsidRPr="007822EA">
        <w:rPr>
          <w:rFonts w:cs="Calibri"/>
          <w:lang w:val="nl-NL"/>
        </w:rPr>
        <w:t xml:space="preserve">Op welke wijze het zaaksysteem voor een </w:t>
      </w:r>
      <w:r w:rsidR="00735EF8">
        <w:rPr>
          <w:rFonts w:cs="Calibri"/>
          <w:lang w:val="nl-NL"/>
        </w:rPr>
        <w:t xml:space="preserve">medewerkers </w:t>
      </w:r>
      <w:r w:rsidRPr="007822EA">
        <w:rPr>
          <w:rFonts w:cs="Calibri"/>
          <w:lang w:val="nl-NL"/>
        </w:rPr>
        <w:t>onnodige knoppen en/of achterliggende functionaliteit verbergt;  </w:t>
      </w:r>
    </w:p>
    <w:p w14:paraId="4A53A6EC" w14:textId="21C24074" w:rsidR="007822EA" w:rsidRPr="007822EA" w:rsidRDefault="007822EA" w:rsidP="00B2693E">
      <w:pPr>
        <w:numPr>
          <w:ilvl w:val="1"/>
          <w:numId w:val="6"/>
        </w:numPr>
        <w:spacing w:line="276" w:lineRule="auto"/>
        <w:textAlignment w:val="baseline"/>
        <w:rPr>
          <w:rFonts w:cs="Calibri"/>
          <w:lang w:val="nl-NL"/>
        </w:rPr>
      </w:pPr>
      <w:r w:rsidRPr="007822EA">
        <w:rPr>
          <w:rFonts w:cs="Calibri"/>
          <w:lang w:val="nl-NL"/>
        </w:rPr>
        <w:t xml:space="preserve">Attenderingen / notificaties op zaakmutaties, hoe deze zijn in te stellen en hoe deze de </w:t>
      </w:r>
      <w:r w:rsidR="00DB7291">
        <w:rPr>
          <w:rFonts w:cs="Calibri"/>
          <w:lang w:val="nl-NL"/>
        </w:rPr>
        <w:t>medewerker</w:t>
      </w:r>
      <w:r w:rsidR="00DB7291" w:rsidRPr="007822EA">
        <w:rPr>
          <w:rFonts w:cs="Calibri"/>
          <w:lang w:val="nl-NL"/>
        </w:rPr>
        <w:t xml:space="preserve"> </w:t>
      </w:r>
      <w:r w:rsidRPr="007822EA">
        <w:rPr>
          <w:rFonts w:cs="Calibri"/>
          <w:lang w:val="nl-NL"/>
        </w:rPr>
        <w:t>attenderen;  </w:t>
      </w:r>
    </w:p>
    <w:p w14:paraId="06378354" w14:textId="77777777" w:rsidR="007822EA" w:rsidRPr="007822EA" w:rsidRDefault="007822EA" w:rsidP="00B2693E">
      <w:pPr>
        <w:numPr>
          <w:ilvl w:val="1"/>
          <w:numId w:val="6"/>
        </w:numPr>
        <w:spacing w:line="276" w:lineRule="auto"/>
        <w:textAlignment w:val="baseline"/>
        <w:rPr>
          <w:rFonts w:cs="Calibri"/>
          <w:lang w:val="nl-NL"/>
        </w:rPr>
      </w:pPr>
      <w:r w:rsidRPr="007822EA">
        <w:rPr>
          <w:rFonts w:cs="Calibri"/>
          <w:lang w:val="nl-NL"/>
        </w:rPr>
        <w:t>De zoek-, sorteer, groepeer en filtermogelijkheden binnen de werkvoorraad op (combinaties van) zaakattributen en/of zaakeigenschappen;  </w:t>
      </w:r>
    </w:p>
    <w:p w14:paraId="1AB5EDF5" w14:textId="7F242CDD" w:rsidR="007822EA" w:rsidRPr="007822EA" w:rsidRDefault="007822EA" w:rsidP="00B2693E">
      <w:pPr>
        <w:numPr>
          <w:ilvl w:val="1"/>
          <w:numId w:val="6"/>
        </w:numPr>
        <w:spacing w:line="276" w:lineRule="auto"/>
        <w:textAlignment w:val="baseline"/>
        <w:rPr>
          <w:rFonts w:cs="Calibri"/>
          <w:lang w:val="nl-NL"/>
        </w:rPr>
      </w:pPr>
      <w:r w:rsidRPr="007822EA">
        <w:rPr>
          <w:rFonts w:cs="Calibri"/>
          <w:lang w:val="nl-NL"/>
        </w:rPr>
        <w:t>De toegankelijkheid (wie mag er lezen, schrijven)</w:t>
      </w:r>
      <w:r w:rsidR="00735EF8">
        <w:rPr>
          <w:rFonts w:cs="Calibri"/>
          <w:lang w:val="nl-NL"/>
        </w:rPr>
        <w:t xml:space="preserve"> m.b.v. autorisatieprofielen o.i.d. </w:t>
      </w:r>
      <w:r w:rsidRPr="007822EA">
        <w:rPr>
          <w:rFonts w:cs="Calibri"/>
          <w:lang w:val="nl-NL"/>
        </w:rPr>
        <w:t>; </w:t>
      </w:r>
    </w:p>
    <w:p w14:paraId="05AC9100" w14:textId="3B1439DA" w:rsidR="0018097D" w:rsidRDefault="007822EA" w:rsidP="00B2693E">
      <w:pPr>
        <w:pStyle w:val="Lijstalinea"/>
        <w:numPr>
          <w:ilvl w:val="1"/>
          <w:numId w:val="6"/>
        </w:numPr>
        <w:spacing w:after="0" w:line="276" w:lineRule="auto"/>
        <w:rPr>
          <w:rFonts w:ascii="Calibri" w:eastAsia="Effra-Light" w:hAnsi="Calibri" w:cs="Calibri"/>
          <w:kern w:val="0"/>
          <w:sz w:val="20"/>
          <w:szCs w:val="22"/>
          <w:lang w:val="nl-NL"/>
          <w14:ligatures w14:val="none"/>
        </w:rPr>
      </w:pPr>
      <w:r w:rsidRPr="007822EA">
        <w:rPr>
          <w:rFonts w:ascii="Calibri" w:eastAsia="Effra-Light" w:hAnsi="Calibri" w:cs="Calibri"/>
          <w:kern w:val="0"/>
          <w:sz w:val="20"/>
          <w:szCs w:val="22"/>
          <w:lang w:val="nl-NL"/>
          <w14:ligatures w14:val="none"/>
        </w:rPr>
        <w:t>Is er een mogelijkheid om zaken in een wachtstand</w:t>
      </w:r>
      <w:r w:rsidR="002943D4">
        <w:rPr>
          <w:rFonts w:ascii="Calibri" w:eastAsia="Effra-Light" w:hAnsi="Calibri" w:cs="Calibri"/>
          <w:kern w:val="0"/>
          <w:sz w:val="20"/>
          <w:szCs w:val="22"/>
          <w:lang w:val="nl-NL"/>
          <w14:ligatures w14:val="none"/>
        </w:rPr>
        <w:t xml:space="preserve"> (agenderen) </w:t>
      </w:r>
      <w:r w:rsidRPr="007822EA">
        <w:rPr>
          <w:rFonts w:ascii="Calibri" w:eastAsia="Effra-Light" w:hAnsi="Calibri" w:cs="Calibri"/>
          <w:kern w:val="0"/>
          <w:sz w:val="20"/>
          <w:szCs w:val="22"/>
          <w:lang w:val="nl-NL"/>
          <w14:ligatures w14:val="none"/>
        </w:rPr>
        <w:t>te zetten, zaken die in afwachting zijn van een reactie van derden</w:t>
      </w:r>
      <w:r>
        <w:rPr>
          <w:rFonts w:ascii="Calibri" w:eastAsia="Effra-Light" w:hAnsi="Calibri" w:cs="Calibri"/>
          <w:kern w:val="0"/>
          <w:sz w:val="20"/>
          <w:szCs w:val="22"/>
          <w:lang w:val="nl-NL"/>
          <w14:ligatures w14:val="none"/>
        </w:rPr>
        <w:t>.</w:t>
      </w:r>
    </w:p>
    <w:p w14:paraId="0E4FE729" w14:textId="07CC6D5C" w:rsidR="00DB7291" w:rsidRDefault="00DB7291" w:rsidP="00B2693E">
      <w:pPr>
        <w:pStyle w:val="Lijstalinea"/>
        <w:numPr>
          <w:ilvl w:val="1"/>
          <w:numId w:val="6"/>
        </w:numPr>
        <w:spacing w:after="0" w:line="276" w:lineRule="auto"/>
        <w:rPr>
          <w:rFonts w:ascii="Calibri" w:eastAsia="Effra-Light" w:hAnsi="Calibri" w:cs="Calibri"/>
          <w:kern w:val="0"/>
          <w:sz w:val="20"/>
          <w:szCs w:val="22"/>
          <w:lang w:val="nl-NL"/>
          <w14:ligatures w14:val="none"/>
        </w:rPr>
      </w:pPr>
      <w:r>
        <w:rPr>
          <w:rFonts w:ascii="Calibri" w:eastAsia="Effra-Light" w:hAnsi="Calibri" w:cs="Calibri"/>
          <w:kern w:val="0"/>
          <w:sz w:val="20"/>
          <w:szCs w:val="22"/>
          <w:lang w:val="nl-NL"/>
          <w14:ligatures w14:val="none"/>
        </w:rPr>
        <w:t>reactietijd van handeling</w:t>
      </w:r>
    </w:p>
    <w:p w14:paraId="6EDA44EA" w14:textId="77777777" w:rsidR="0018097D" w:rsidRDefault="0018097D">
      <w:pPr>
        <w:rPr>
          <w:rFonts w:cs="Calibri"/>
          <w:lang w:val="nl-NL"/>
        </w:rPr>
      </w:pPr>
      <w:r>
        <w:rPr>
          <w:rFonts w:cs="Calibri"/>
          <w:lang w:val="nl-NL"/>
        </w:rPr>
        <w:br w:type="page"/>
      </w:r>
    </w:p>
    <w:p w14:paraId="7833BDB4" w14:textId="5BA5AD04" w:rsidR="00435E4C" w:rsidRDefault="007822EA" w:rsidP="00FC6F19">
      <w:pPr>
        <w:pStyle w:val="Kop2"/>
        <w:spacing w:before="0" w:after="0" w:line="276" w:lineRule="auto"/>
      </w:pPr>
      <w:r>
        <w:lastRenderedPageBreak/>
        <w:t>Demo</w:t>
      </w:r>
      <w:r w:rsidR="00DC303B">
        <w:t>casus</w:t>
      </w:r>
      <w:r>
        <w:t xml:space="preserve"> 2 </w:t>
      </w:r>
      <w:r w:rsidR="003767A4">
        <w:t>Start aanvraag</w:t>
      </w:r>
      <w:r w:rsidR="00435E4C">
        <w:t xml:space="preserve"> </w:t>
      </w:r>
    </w:p>
    <w:p w14:paraId="7B0BF2F8" w14:textId="7B5F507B" w:rsidR="008F13F5" w:rsidRDefault="008F13F5" w:rsidP="00FC6F19">
      <w:pPr>
        <w:spacing w:line="276" w:lineRule="auto"/>
        <w:rPr>
          <w:lang w:val="nl-NL"/>
        </w:rPr>
      </w:pPr>
      <w:r>
        <w:rPr>
          <w:lang w:val="nl-NL"/>
        </w:rPr>
        <w:t>Proces van aanvraag</w:t>
      </w:r>
    </w:p>
    <w:p w14:paraId="04852303" w14:textId="6AB24D5E" w:rsidR="003767A4" w:rsidRDefault="008F13F5" w:rsidP="00B2693E">
      <w:pPr>
        <w:pStyle w:val="Geenafstand"/>
        <w:numPr>
          <w:ilvl w:val="0"/>
          <w:numId w:val="2"/>
        </w:numPr>
      </w:pPr>
      <w:r>
        <w:t xml:space="preserve">Start een proces van aanvraag op aan de hand van een </w:t>
      </w:r>
      <w:r w:rsidR="00593F1D">
        <w:t>Web (</w:t>
      </w:r>
      <w:r>
        <w:t>aanvraag</w:t>
      </w:r>
      <w:r w:rsidR="00593F1D">
        <w:t>)</w:t>
      </w:r>
      <w:r>
        <w:t xml:space="preserve">formulier. </w:t>
      </w:r>
      <w:bookmarkStart w:id="1" w:name="Page12/1000"/>
      <w:bookmarkEnd w:id="1"/>
      <w:r>
        <w:t xml:space="preserve">In </w:t>
      </w:r>
      <w:r w:rsidR="005313F6">
        <w:t>dit formulier vult de betrokkene zijn/haar gegevens in van zichzelf, van de “tegenpartij” en de gegevens van zijn/haar kind(eren).</w:t>
      </w:r>
    </w:p>
    <w:p w14:paraId="4F729CAA" w14:textId="71DC896B" w:rsidR="002943D4" w:rsidRDefault="00593F1D" w:rsidP="00B2693E">
      <w:pPr>
        <w:pStyle w:val="Geenafstand"/>
        <w:numPr>
          <w:ilvl w:val="0"/>
          <w:numId w:val="2"/>
        </w:numPr>
      </w:pPr>
      <w:r>
        <w:t>Koppeling met DigiD t.b.v. ondertekenen webformulier</w:t>
      </w:r>
    </w:p>
    <w:p w14:paraId="6A359625" w14:textId="77777777" w:rsidR="0018097D" w:rsidRDefault="0018097D" w:rsidP="0018097D">
      <w:pPr>
        <w:pStyle w:val="Geenafstand"/>
        <w:numPr>
          <w:ilvl w:val="0"/>
          <w:numId w:val="0"/>
        </w:numPr>
        <w:ind w:left="720" w:hanging="360"/>
      </w:pPr>
    </w:p>
    <w:p w14:paraId="259FEBF3" w14:textId="35B9487B" w:rsidR="003767A4" w:rsidRDefault="003767A4" w:rsidP="00FC6F19">
      <w:pPr>
        <w:pStyle w:val="Kop2"/>
        <w:spacing w:before="0" w:after="0" w:line="276" w:lineRule="auto"/>
      </w:pPr>
      <w:r>
        <w:t>Demo</w:t>
      </w:r>
      <w:r w:rsidR="00DC303B">
        <w:t>casus</w:t>
      </w:r>
      <w:r>
        <w:t xml:space="preserve"> </w:t>
      </w:r>
      <w:r w:rsidR="008B611A">
        <w:t>3</w:t>
      </w:r>
      <w:r>
        <w:t xml:space="preserve"> Beoordeling aanvraag </w:t>
      </w:r>
    </w:p>
    <w:p w14:paraId="65689EFC" w14:textId="05E14133" w:rsidR="008F13F5" w:rsidRDefault="008F13F5" w:rsidP="00FC6F19">
      <w:pPr>
        <w:pStyle w:val="Geenafstand"/>
      </w:pPr>
      <w:r>
        <w:t xml:space="preserve">Laat zien hoe de aanvraag in het systeem binnenkomt, zodat de aanvraag beoordeeld kan worden. De beoordeling is nodig om te bepalen of het verzoek aangenomen kan worden (het wordt dan een zaak) of dat deze niet kan worden aangenomen. Laat hierbij tevens de verschillende workflows zien. </w:t>
      </w:r>
    </w:p>
    <w:p w14:paraId="0A8563D8" w14:textId="0A5388A1" w:rsidR="003E4047" w:rsidRDefault="004D7A2D" w:rsidP="00FC6F19">
      <w:pPr>
        <w:pStyle w:val="Geenafstand"/>
      </w:pPr>
      <w:r>
        <w:t>Laat zien hoe de beoordeling “aanvraag kan niet worden behandeld” wordt vastgelegd en hoe kan worden teruggekoppeld naar de aanvrager. De aanvraag wordt direct gesloten.</w:t>
      </w:r>
    </w:p>
    <w:p w14:paraId="7DCDF6E4" w14:textId="0A7662D7" w:rsidR="00A80005" w:rsidRDefault="00A80005" w:rsidP="00B2693E">
      <w:pPr>
        <w:pStyle w:val="Geenafstand"/>
        <w:numPr>
          <w:ilvl w:val="1"/>
          <w:numId w:val="3"/>
        </w:numPr>
      </w:pPr>
      <w:r>
        <w:t>Laat zien hoe de aanvraag zichtbaar blijft voor medewerkers.</w:t>
      </w:r>
    </w:p>
    <w:p w14:paraId="7ABA984F" w14:textId="158EBEE8" w:rsidR="00285E57" w:rsidRDefault="00285E57" w:rsidP="00B2693E">
      <w:pPr>
        <w:pStyle w:val="Geenafstand"/>
        <w:numPr>
          <w:ilvl w:val="1"/>
          <w:numId w:val="3"/>
        </w:numPr>
      </w:pPr>
      <w:r>
        <w:t>Laat zien hoe de aanvraag inclusief persoonsgegevens na een bepaalde termijn gearchiveerd wordt.</w:t>
      </w:r>
    </w:p>
    <w:p w14:paraId="4CF5433E" w14:textId="77777777" w:rsidR="00251426" w:rsidRDefault="00251426" w:rsidP="00FC6F19">
      <w:pPr>
        <w:pStyle w:val="Geenafstand"/>
      </w:pPr>
      <w:r>
        <w:t xml:space="preserve">De klant belt tussentijds. Laat zien hoe dit klantcontact wordt geregistreerd in de zaak. </w:t>
      </w:r>
    </w:p>
    <w:p w14:paraId="7286FFC4" w14:textId="63B81E92" w:rsidR="004D7A2D" w:rsidRDefault="004D7A2D" w:rsidP="00FC6F19">
      <w:pPr>
        <w:pStyle w:val="Geenafstand"/>
      </w:pPr>
      <w:r>
        <w:t xml:space="preserve">Laat zien hoe de aanvraag </w:t>
      </w:r>
      <w:r w:rsidR="00F605CE">
        <w:t>wordt</w:t>
      </w:r>
      <w:r>
        <w:t xml:space="preserve"> omgezet naar een dossier</w:t>
      </w:r>
      <w:r w:rsidR="006407DD">
        <w:t xml:space="preserve"> en een zaak aangemaakt wordt. De betrokkene wordt aangemaakt/gekoppeld aan de zaak. </w:t>
      </w:r>
    </w:p>
    <w:p w14:paraId="249C9529" w14:textId="77777777" w:rsidR="00C65FBF" w:rsidRDefault="00F605CE" w:rsidP="00FC6F19">
      <w:pPr>
        <w:pStyle w:val="Geenafstand"/>
      </w:pPr>
      <w:r>
        <w:t xml:space="preserve">Laat zien hoe de aanvrager op de hoogte wordt gebracht dat een zaak is aangemaakt en de aanvrager een ‘klant’ kan worden. </w:t>
      </w:r>
    </w:p>
    <w:p w14:paraId="1F813B30" w14:textId="3CD860C2" w:rsidR="006A08F1" w:rsidRDefault="00765237" w:rsidP="00FC6F19">
      <w:pPr>
        <w:pStyle w:val="Geenafstand"/>
      </w:pPr>
      <w:r>
        <w:t xml:space="preserve">Laat zien hoe de ‘klant’ wordt gevraagd om </w:t>
      </w:r>
      <w:r w:rsidR="00B57D21">
        <w:t xml:space="preserve">aanvullende gegevens aan te leveren en de opdracht te bevestigen </w:t>
      </w:r>
      <w:r w:rsidR="00262D9F">
        <w:t xml:space="preserve">(middels handtekening) </w:t>
      </w:r>
      <w:r w:rsidR="00B57D21">
        <w:t xml:space="preserve">zodat de aanvragen een ‘klant’ wordt. </w:t>
      </w:r>
    </w:p>
    <w:p w14:paraId="5404C19A" w14:textId="49B2CF43" w:rsidR="00972539" w:rsidRDefault="00972539" w:rsidP="00FC6F19">
      <w:pPr>
        <w:pStyle w:val="Geenafstand"/>
      </w:pPr>
      <w:r>
        <w:t>Laat zien hoe een inkomend document vastgelegd wordt in de zaak (email of fysieke post).</w:t>
      </w:r>
    </w:p>
    <w:p w14:paraId="0A24308A" w14:textId="6868A2AD" w:rsidR="00307665" w:rsidRDefault="00307665" w:rsidP="00FC6F19">
      <w:pPr>
        <w:pStyle w:val="Geenafstand"/>
      </w:pPr>
      <w:r>
        <w:t>Laat zien hoe de ‘klant’ kan worden herinnerd op het aanleveren van de gevraagde gegevens</w:t>
      </w:r>
      <w:r w:rsidR="00262D9F">
        <w:t xml:space="preserve"> incl. handtekening</w:t>
      </w:r>
      <w:r>
        <w:t xml:space="preserve">. </w:t>
      </w:r>
    </w:p>
    <w:p w14:paraId="67E1E752" w14:textId="77777777" w:rsidR="003767A4" w:rsidRDefault="003767A4" w:rsidP="00FC6F19">
      <w:pPr>
        <w:pStyle w:val="Geenafstand"/>
        <w:numPr>
          <w:ilvl w:val="0"/>
          <w:numId w:val="0"/>
        </w:numPr>
        <w:ind w:left="720"/>
      </w:pPr>
    </w:p>
    <w:p w14:paraId="142E6601" w14:textId="2A99F9AE" w:rsidR="003767A4" w:rsidRDefault="003767A4" w:rsidP="00FC6F19">
      <w:pPr>
        <w:pStyle w:val="Kop2"/>
        <w:spacing w:before="0" w:after="0" w:line="276" w:lineRule="auto"/>
      </w:pPr>
      <w:r>
        <w:t>Demo</w:t>
      </w:r>
      <w:r w:rsidR="00DC303B">
        <w:t>casus</w:t>
      </w:r>
      <w:r>
        <w:t xml:space="preserve"> </w:t>
      </w:r>
      <w:r w:rsidR="008B611A">
        <w:t>4</w:t>
      </w:r>
      <w:r>
        <w:t xml:space="preserve"> Doorzetten aanvraag </w:t>
      </w:r>
    </w:p>
    <w:p w14:paraId="5C5262D4" w14:textId="499665F2" w:rsidR="00E2158B" w:rsidRDefault="00E2158B" w:rsidP="00B2693E">
      <w:pPr>
        <w:pStyle w:val="Geenafstand"/>
        <w:numPr>
          <w:ilvl w:val="0"/>
          <w:numId w:val="4"/>
        </w:numPr>
      </w:pPr>
      <w:r>
        <w:t xml:space="preserve">De </w:t>
      </w:r>
      <w:r w:rsidR="00B32D34">
        <w:t>‘klant’ heeft zijn/haar handtekening gezet en alle benodigde gegevens aangevuld. De zaak kan intern worden overgedragen naar de volgende afdeling. Laat zien hoe dit werkt</w:t>
      </w:r>
      <w:r w:rsidR="009243E9">
        <w:t xml:space="preserve"> middels werklastverdeling</w:t>
      </w:r>
      <w:r w:rsidR="00B32D34">
        <w:t xml:space="preserve">. </w:t>
      </w:r>
    </w:p>
    <w:p w14:paraId="29D1C5D7" w14:textId="2706E032" w:rsidR="009243E9" w:rsidRDefault="009243E9" w:rsidP="00B2693E">
      <w:pPr>
        <w:pStyle w:val="Geenafstand"/>
        <w:numPr>
          <w:ilvl w:val="0"/>
          <w:numId w:val="4"/>
        </w:numPr>
      </w:pPr>
      <w:r>
        <w:t>Laat zien hoe de achterstand gegevens worden vastgelegd</w:t>
      </w:r>
    </w:p>
    <w:p w14:paraId="23D960C2" w14:textId="7F77070C" w:rsidR="00FA7691" w:rsidRDefault="00235FCB" w:rsidP="00FC6F19">
      <w:pPr>
        <w:pStyle w:val="Geenafstand"/>
      </w:pPr>
      <w:r>
        <w:t>Laat zien hoe de ‘klant’ op de hoogte wordt gesteld</w:t>
      </w:r>
      <w:r w:rsidR="004816CD">
        <w:t>/een update krijgt</w:t>
      </w:r>
      <w:r>
        <w:t>.</w:t>
      </w:r>
    </w:p>
    <w:p w14:paraId="1456474E" w14:textId="75852B16" w:rsidR="009243E9" w:rsidRDefault="009243E9" w:rsidP="00FC6F19">
      <w:pPr>
        <w:pStyle w:val="Geenafstand"/>
      </w:pPr>
      <w:r>
        <w:t>Laat zien hoe de gegevens van de grosse (uitspraak) kan worden ingevoerd.</w:t>
      </w:r>
    </w:p>
    <w:p w14:paraId="10D2F2EA" w14:textId="67DE1DD6" w:rsidR="003F3B45" w:rsidRDefault="003F3B45" w:rsidP="00FC6F19">
      <w:pPr>
        <w:pStyle w:val="Geenafstand"/>
      </w:pPr>
      <w:r>
        <w:t>Laat zien hoe vervolgens de zaak wordt overdragen naar de volgende afdeling (werklastverdeling)</w:t>
      </w:r>
    </w:p>
    <w:p w14:paraId="2F5AD376" w14:textId="77777777" w:rsidR="004D7A2D" w:rsidRDefault="004D7A2D" w:rsidP="00FC6F19">
      <w:pPr>
        <w:pStyle w:val="Geenafstand"/>
        <w:numPr>
          <w:ilvl w:val="0"/>
          <w:numId w:val="0"/>
        </w:numPr>
        <w:ind w:left="720"/>
      </w:pPr>
    </w:p>
    <w:p w14:paraId="7CCE3426" w14:textId="4FA28744" w:rsidR="005B5B0E" w:rsidRDefault="005B5B0E" w:rsidP="00FC6F19">
      <w:pPr>
        <w:pStyle w:val="Kop2"/>
        <w:spacing w:before="0" w:after="0" w:line="276" w:lineRule="auto"/>
      </w:pPr>
      <w:r>
        <w:t>Demo</w:t>
      </w:r>
      <w:r w:rsidR="00DC303B">
        <w:t>casus</w:t>
      </w:r>
      <w:r>
        <w:t xml:space="preserve"> </w:t>
      </w:r>
      <w:r w:rsidR="008B611A">
        <w:t>5</w:t>
      </w:r>
      <w:r>
        <w:t xml:space="preserve"> Facturatie</w:t>
      </w:r>
      <w:r w:rsidR="00553CB2">
        <w:t xml:space="preserve"> (financiele administratie)</w:t>
      </w:r>
    </w:p>
    <w:p w14:paraId="3A8FE3B9" w14:textId="7668532D" w:rsidR="00FC2E23" w:rsidRDefault="00FC2E23" w:rsidP="00B2693E">
      <w:pPr>
        <w:pStyle w:val="Geenafstand"/>
        <w:numPr>
          <w:ilvl w:val="0"/>
          <w:numId w:val="5"/>
        </w:numPr>
      </w:pPr>
      <w:r w:rsidRPr="00FC2E23">
        <w:t>La</w:t>
      </w:r>
      <w:r>
        <w:t xml:space="preserve">at zien hoe </w:t>
      </w:r>
      <w:r w:rsidR="00553CB2">
        <w:t>de maandelijkse vordering van</w:t>
      </w:r>
      <w:r w:rsidR="005E7D0E">
        <w:t xml:space="preserve"> </w:t>
      </w:r>
      <w:r>
        <w:t xml:space="preserve">de </w:t>
      </w:r>
      <w:r w:rsidR="005E7D0E">
        <w:t>betalingsplichtige</w:t>
      </w:r>
      <w:r>
        <w:t xml:space="preserve"> word</w:t>
      </w:r>
      <w:r w:rsidR="00553CB2">
        <w:t>t</w:t>
      </w:r>
      <w:r>
        <w:t xml:space="preserve"> </w:t>
      </w:r>
      <w:r w:rsidR="00553CB2">
        <w:t xml:space="preserve">vastgelegd </w:t>
      </w:r>
      <w:r>
        <w:t xml:space="preserve">op basis van de overgenomen gegevens uit de Grosse. </w:t>
      </w:r>
    </w:p>
    <w:p w14:paraId="30CF3395" w14:textId="4B3CA68F" w:rsidR="00553CB2" w:rsidRDefault="00553CB2" w:rsidP="00B2693E">
      <w:pPr>
        <w:pStyle w:val="Geenafstand"/>
        <w:numPr>
          <w:ilvl w:val="0"/>
          <w:numId w:val="5"/>
        </w:numPr>
      </w:pPr>
      <w:r>
        <w:t>Laat zien hoe de schulden t.g.v. alimentatiegerechtigde wordt berekend en vastgelegd.</w:t>
      </w:r>
    </w:p>
    <w:p w14:paraId="25C58631" w14:textId="0BC6F06F" w:rsidR="00553CB2" w:rsidRDefault="00FC2E23" w:rsidP="00B2693E">
      <w:pPr>
        <w:pStyle w:val="Geenafstand"/>
        <w:numPr>
          <w:ilvl w:val="0"/>
          <w:numId w:val="5"/>
        </w:numPr>
      </w:pPr>
      <w:r>
        <w:t xml:space="preserve">Laat zien </w:t>
      </w:r>
      <w:r w:rsidR="00553CB2">
        <w:t xml:space="preserve">hoe </w:t>
      </w:r>
      <w:r>
        <w:t xml:space="preserve">de betaling </w:t>
      </w:r>
      <w:r w:rsidR="00553CB2">
        <w:t xml:space="preserve"> binnenkomt en wordt toegewezen aan de zaak.</w:t>
      </w:r>
    </w:p>
    <w:p w14:paraId="5D100A0D" w14:textId="702EC0F5" w:rsidR="00553CB2" w:rsidRDefault="00553CB2" w:rsidP="00B2693E">
      <w:pPr>
        <w:pStyle w:val="Geenafstand"/>
        <w:numPr>
          <w:ilvl w:val="0"/>
          <w:numId w:val="5"/>
        </w:numPr>
      </w:pPr>
      <w:r>
        <w:t>Laat zien hoe de doorbetaling plaatsvindt.</w:t>
      </w:r>
    </w:p>
    <w:p w14:paraId="1B3BEE20" w14:textId="72B62BCF" w:rsidR="00FC2E23" w:rsidRDefault="00553CB2" w:rsidP="00B2693E">
      <w:pPr>
        <w:pStyle w:val="Geenafstand"/>
        <w:numPr>
          <w:ilvl w:val="0"/>
          <w:numId w:val="5"/>
        </w:numPr>
      </w:pPr>
      <w:r>
        <w:t>Laat zien hoe je een</w:t>
      </w:r>
      <w:r w:rsidR="005E7D0E">
        <w:t xml:space="preserve"> </w:t>
      </w:r>
      <w:r w:rsidR="00FC2E23">
        <w:t xml:space="preserve">zaak </w:t>
      </w:r>
      <w:r>
        <w:t>kan afsluiten</w:t>
      </w:r>
      <w:r w:rsidR="00FC2E23">
        <w:t>.</w:t>
      </w:r>
    </w:p>
    <w:p w14:paraId="6267A7B0" w14:textId="4AAA4EF9" w:rsidR="00435E4C" w:rsidRDefault="00D16080" w:rsidP="00FC6F19">
      <w:pPr>
        <w:pStyle w:val="Geenafstand"/>
      </w:pPr>
      <w:r>
        <w:t>Laat zien hoe de ‘klant’ op de hoogte wordt gesteld/een update krijgt.</w:t>
      </w:r>
    </w:p>
    <w:p w14:paraId="7B28B724" w14:textId="77777777" w:rsidR="00564A9C" w:rsidRDefault="00564A9C" w:rsidP="00FC6F19">
      <w:pPr>
        <w:pStyle w:val="Geenafstand"/>
        <w:numPr>
          <w:ilvl w:val="0"/>
          <w:numId w:val="0"/>
        </w:numPr>
      </w:pPr>
    </w:p>
    <w:p w14:paraId="1FA6156B" w14:textId="3475678D" w:rsidR="008B611A" w:rsidRPr="00B22BC6" w:rsidRDefault="008B611A" w:rsidP="00FC6F19">
      <w:pPr>
        <w:pStyle w:val="Kop2"/>
        <w:spacing w:before="0" w:after="0" w:line="276" w:lineRule="auto"/>
        <w:rPr>
          <w:lang w:val="nl-NL"/>
        </w:rPr>
      </w:pPr>
      <w:r w:rsidRPr="00B22BC6">
        <w:rPr>
          <w:lang w:val="nl-NL"/>
        </w:rPr>
        <w:lastRenderedPageBreak/>
        <w:t>Demo</w:t>
      </w:r>
      <w:r w:rsidR="00DC303B">
        <w:rPr>
          <w:lang w:val="nl-NL"/>
        </w:rPr>
        <w:t>casus</w:t>
      </w:r>
      <w:r w:rsidRPr="00B22BC6">
        <w:rPr>
          <w:lang w:val="nl-NL"/>
        </w:rPr>
        <w:t xml:space="preserve"> 6 </w:t>
      </w:r>
      <w:r w:rsidR="00F3379A" w:rsidRPr="00B22BC6">
        <w:rPr>
          <w:lang w:val="nl-NL"/>
        </w:rPr>
        <w:t>Documentcreatie</w:t>
      </w:r>
    </w:p>
    <w:p w14:paraId="00087485" w14:textId="77777777" w:rsidR="00B22BC6" w:rsidRDefault="00B22BC6" w:rsidP="00B2693E">
      <w:pPr>
        <w:pStyle w:val="Geenafstand"/>
        <w:numPr>
          <w:ilvl w:val="0"/>
          <w:numId w:val="7"/>
        </w:numPr>
      </w:pPr>
      <w:r>
        <w:t xml:space="preserve">Toon de functionaliteit om documenten vanuit een zaak te genereren en op te slaan (incl. e-mails) op basis van sjablonen met daarin velden die automatisch kunnen worden gevuld met zaakattributen en zaakeigenschappen.  </w:t>
      </w:r>
    </w:p>
    <w:p w14:paraId="5F6AB3CF" w14:textId="77777777" w:rsidR="00B22BC6" w:rsidRDefault="00B22BC6" w:rsidP="00FC6F19">
      <w:pPr>
        <w:pStyle w:val="Geenafstand"/>
      </w:pPr>
      <w:r>
        <w:t xml:space="preserve">Toon hoe het aanmaken van documenten (middels sjablonen) werkt met een eventuele interne documentcreatietool.  </w:t>
      </w:r>
    </w:p>
    <w:p w14:paraId="398B35A0" w14:textId="14D2AF6A" w:rsidR="007B6FCA" w:rsidRDefault="00B22BC6" w:rsidP="00FC6F19">
      <w:pPr>
        <w:pStyle w:val="Geenafstand"/>
      </w:pPr>
      <w:r>
        <w:t xml:space="preserve">Toon hoe deze gegenereerde documenten worden opgeslagen in </w:t>
      </w:r>
      <w:r w:rsidR="00871541">
        <w:t>de</w:t>
      </w:r>
      <w:r>
        <w:t xml:space="preserve"> zaak.</w:t>
      </w:r>
    </w:p>
    <w:p w14:paraId="1B80ED76" w14:textId="20F78913" w:rsidR="00B22BC6" w:rsidRDefault="007B6FCA" w:rsidP="00FC6F19">
      <w:pPr>
        <w:pStyle w:val="Geenafstand"/>
      </w:pPr>
      <w:r>
        <w:t>Toon hoe de documenten geprint (intern en/of extern) kunnen worden.</w:t>
      </w:r>
      <w:r w:rsidR="00B22BC6">
        <w:t xml:space="preserve">  </w:t>
      </w:r>
    </w:p>
    <w:p w14:paraId="4D75A3C7" w14:textId="77777777" w:rsidR="00F3379A" w:rsidRDefault="00F3379A" w:rsidP="00FC6F19">
      <w:pPr>
        <w:pStyle w:val="Geenafstand"/>
        <w:numPr>
          <w:ilvl w:val="0"/>
          <w:numId w:val="0"/>
        </w:numPr>
        <w:ind w:left="720"/>
      </w:pPr>
    </w:p>
    <w:p w14:paraId="64A27A33" w14:textId="3AB7D772" w:rsidR="00F3379A" w:rsidRDefault="00F3379A" w:rsidP="00FC6F19">
      <w:pPr>
        <w:pStyle w:val="Kop2"/>
        <w:spacing w:before="0" w:after="0" w:line="276" w:lineRule="auto"/>
      </w:pPr>
      <w:r>
        <w:t>Demo</w:t>
      </w:r>
      <w:r w:rsidR="00DC303B">
        <w:t>casus</w:t>
      </w:r>
      <w:r>
        <w:t xml:space="preserve"> </w:t>
      </w:r>
      <w:r w:rsidR="0083152F">
        <w:t>7</w:t>
      </w:r>
      <w:r>
        <w:t xml:space="preserve"> Beheer</w:t>
      </w:r>
    </w:p>
    <w:p w14:paraId="753BE5A4" w14:textId="2C0417EC" w:rsidR="00540CE3" w:rsidRDefault="00540CE3" w:rsidP="00B2693E">
      <w:pPr>
        <w:pStyle w:val="Geenafstand"/>
        <w:numPr>
          <w:ilvl w:val="0"/>
          <w:numId w:val="8"/>
        </w:numPr>
      </w:pPr>
      <w:r>
        <w:t xml:space="preserve">Afgehandelde zaken worden automatisch, conform de archiefkenmerken (metadata) van het betreffende zaaktype, gearchiveerd. Het is te allen tijde mogelijk (voor geautoriseerde gebruikers) om de archiefkenmerken van een zaak handmatig aan te passen.   </w:t>
      </w:r>
    </w:p>
    <w:p w14:paraId="1BD2BB26" w14:textId="07885719" w:rsidR="00540CE3" w:rsidRDefault="00540CE3" w:rsidP="00B2693E">
      <w:pPr>
        <w:pStyle w:val="Geenafstand"/>
        <w:numPr>
          <w:ilvl w:val="1"/>
          <w:numId w:val="8"/>
        </w:numPr>
      </w:pPr>
      <w:r>
        <w:t>Toon hoe de zaak wordt geaccepteerd</w:t>
      </w:r>
      <w:r w:rsidR="00547347">
        <w:t xml:space="preserve"> voor archivering</w:t>
      </w:r>
      <w:r>
        <w:t xml:space="preserve">. </w:t>
      </w:r>
    </w:p>
    <w:p w14:paraId="029D615A" w14:textId="77777777" w:rsidR="00547347" w:rsidRDefault="00540CE3" w:rsidP="00B2693E">
      <w:pPr>
        <w:pStyle w:val="Geenafstand"/>
        <w:numPr>
          <w:ilvl w:val="1"/>
          <w:numId w:val="8"/>
        </w:numPr>
      </w:pPr>
      <w:r>
        <w:t>Laat zien hoe de archivering van zaken en documenten plaatsvindt en ga hierbij o.a. in op:</w:t>
      </w:r>
    </w:p>
    <w:p w14:paraId="7E625421" w14:textId="58653BC2" w:rsidR="00540CE3" w:rsidRDefault="00540CE3" w:rsidP="00547347">
      <w:pPr>
        <w:pStyle w:val="Geenafstand"/>
        <w:numPr>
          <w:ilvl w:val="2"/>
          <w:numId w:val="8"/>
        </w:numPr>
      </w:pPr>
      <w:r>
        <w:t xml:space="preserve">Metadata toekenning (MDTO)  </w:t>
      </w:r>
    </w:p>
    <w:p w14:paraId="1D426017" w14:textId="77777777" w:rsidR="00540CE3" w:rsidRDefault="00540CE3" w:rsidP="00B2693E">
      <w:pPr>
        <w:pStyle w:val="Geenafstand"/>
        <w:numPr>
          <w:ilvl w:val="2"/>
          <w:numId w:val="8"/>
        </w:numPr>
      </w:pPr>
      <w:r>
        <w:t xml:space="preserve">Vernietigingsprocedure  </w:t>
      </w:r>
    </w:p>
    <w:p w14:paraId="166D0DA0" w14:textId="77777777" w:rsidR="00540CE3" w:rsidRDefault="00540CE3" w:rsidP="00B2693E">
      <w:pPr>
        <w:pStyle w:val="Geenafstand"/>
        <w:numPr>
          <w:ilvl w:val="2"/>
          <w:numId w:val="8"/>
        </w:numPr>
      </w:pPr>
      <w:r>
        <w:t xml:space="preserve">Aanpassen van zaaktype en/of resultaat  </w:t>
      </w:r>
    </w:p>
    <w:p w14:paraId="70B08099" w14:textId="77777777" w:rsidR="00540CE3" w:rsidRDefault="00540CE3" w:rsidP="00B2693E">
      <w:pPr>
        <w:pStyle w:val="Geenafstand"/>
        <w:numPr>
          <w:ilvl w:val="2"/>
          <w:numId w:val="8"/>
        </w:numPr>
      </w:pPr>
      <w:r>
        <w:t xml:space="preserve">Toevoegen van documenten  </w:t>
      </w:r>
    </w:p>
    <w:p w14:paraId="3E4266BE" w14:textId="77777777" w:rsidR="00540CE3" w:rsidRDefault="00540CE3" w:rsidP="00B2693E">
      <w:pPr>
        <w:pStyle w:val="Geenafstand"/>
        <w:numPr>
          <w:ilvl w:val="2"/>
          <w:numId w:val="8"/>
        </w:numPr>
      </w:pPr>
      <w:r>
        <w:t xml:space="preserve">Opschoonfunctionaliteit  </w:t>
      </w:r>
    </w:p>
    <w:p w14:paraId="1B2922D7" w14:textId="77777777" w:rsidR="00540CE3" w:rsidRDefault="00540CE3" w:rsidP="00B2693E">
      <w:pPr>
        <w:pStyle w:val="Geenafstand"/>
        <w:numPr>
          <w:ilvl w:val="2"/>
          <w:numId w:val="8"/>
        </w:numPr>
      </w:pPr>
      <w:r>
        <w:t xml:space="preserve">Laat zien hoe het zaaksysteem omgaat met uitzonderingen </w:t>
      </w:r>
    </w:p>
    <w:p w14:paraId="622D7A40" w14:textId="1176E97B" w:rsidR="00540CE3" w:rsidRDefault="00540CE3" w:rsidP="00B2693E">
      <w:pPr>
        <w:pStyle w:val="Geenafstand"/>
        <w:numPr>
          <w:ilvl w:val="1"/>
          <w:numId w:val="8"/>
        </w:numPr>
      </w:pPr>
      <w:r>
        <w:t xml:space="preserve">Toon de afhandeling van uitzonderingen, zoals het herstellen van per ongeluk gearchiveerde zaken, het beheren van beperkte toegang tot bepaalde archiefstukken en het behandelen van fouten tijdens het archiveringsproces. </w:t>
      </w:r>
    </w:p>
    <w:p w14:paraId="7D47B3C2" w14:textId="5E07242B" w:rsidR="00540CE3" w:rsidRDefault="00540CE3" w:rsidP="00B2693E">
      <w:pPr>
        <w:pStyle w:val="Geenafstand"/>
        <w:numPr>
          <w:ilvl w:val="0"/>
          <w:numId w:val="8"/>
        </w:numPr>
      </w:pPr>
      <w:r>
        <w:t>Toon op welke wijze functioneel</w:t>
      </w:r>
      <w:r w:rsidR="00D2778C">
        <w:t>- en technisch</w:t>
      </w:r>
      <w:r>
        <w:t xml:space="preserve"> beheerders inzicht hebben op de werking en status van koppelingen, stamgegevens en systeemtaken (services). </w:t>
      </w:r>
    </w:p>
    <w:p w14:paraId="1BF15741" w14:textId="60765BCB" w:rsidR="006C1D93" w:rsidRDefault="00540CE3" w:rsidP="00B2693E">
      <w:pPr>
        <w:pStyle w:val="Geenafstand"/>
        <w:numPr>
          <w:ilvl w:val="0"/>
          <w:numId w:val="8"/>
        </w:numPr>
      </w:pPr>
      <w:r>
        <w:t xml:space="preserve">Toon de mogelijkheid om </w:t>
      </w:r>
      <w:r w:rsidR="00D2778C">
        <w:t>parameters</w:t>
      </w:r>
      <w:r>
        <w:t xml:space="preserve"> zoals gegevens van zaken, documenten en locaties snel en gemakkelijk in te zien en te bewerken. </w:t>
      </w:r>
    </w:p>
    <w:p w14:paraId="052EF690" w14:textId="2DE7E735" w:rsidR="00D2778C" w:rsidRDefault="00D2778C" w:rsidP="00B2693E">
      <w:pPr>
        <w:pStyle w:val="Geenafstand"/>
        <w:numPr>
          <w:ilvl w:val="0"/>
          <w:numId w:val="8"/>
        </w:numPr>
      </w:pPr>
      <w:r>
        <w:t>Toon op welke wijze beheerders rapportages</w:t>
      </w:r>
      <w:r w:rsidR="00F76AAF">
        <w:t xml:space="preserve"> (o.a. FI en documenten)</w:t>
      </w:r>
      <w:r>
        <w:t xml:space="preserve"> kunnen genereren, presenteren en delen</w:t>
      </w:r>
      <w:r w:rsidR="001E0773">
        <w:t xml:space="preserve"> i.v.m. rapportage verplichting richting MvJ</w:t>
      </w:r>
      <w:r>
        <w:t>.</w:t>
      </w:r>
    </w:p>
    <w:p w14:paraId="2D8AB0A2" w14:textId="79E33190" w:rsidR="00540CE3" w:rsidRDefault="00540CE3" w:rsidP="00B2693E">
      <w:pPr>
        <w:pStyle w:val="Geenafstand"/>
        <w:numPr>
          <w:ilvl w:val="0"/>
          <w:numId w:val="8"/>
        </w:numPr>
      </w:pPr>
      <w:r>
        <w:t xml:space="preserve">Toon op welke wijze autorisaties worden beheerd.  </w:t>
      </w:r>
    </w:p>
    <w:p w14:paraId="3CA701A1" w14:textId="77777777" w:rsidR="00540CE3" w:rsidRDefault="00540CE3" w:rsidP="00B2693E">
      <w:pPr>
        <w:pStyle w:val="Geenafstand"/>
        <w:numPr>
          <w:ilvl w:val="1"/>
          <w:numId w:val="8"/>
        </w:numPr>
      </w:pPr>
      <w:r>
        <w:t xml:space="preserve">Laat zien op welke wijze het zaaksysteem de mogelijkheid biedt om op verschillende niveaus (rollen en functies) te autoriseren.  </w:t>
      </w:r>
    </w:p>
    <w:p w14:paraId="6DF661F7" w14:textId="77777777" w:rsidR="00540CE3" w:rsidRDefault="00540CE3" w:rsidP="00B2693E">
      <w:pPr>
        <w:pStyle w:val="Geenafstand"/>
        <w:numPr>
          <w:ilvl w:val="1"/>
          <w:numId w:val="8"/>
        </w:numPr>
      </w:pPr>
      <w:r>
        <w:t xml:space="preserve">Toon het koppelen van autorisaties aan specifieke zaaktypen of modules. </w:t>
      </w:r>
    </w:p>
    <w:p w14:paraId="201930D3" w14:textId="77777777" w:rsidR="00540CE3" w:rsidRDefault="00540CE3" w:rsidP="00B2693E">
      <w:pPr>
        <w:pStyle w:val="Geenafstand"/>
        <w:numPr>
          <w:ilvl w:val="1"/>
          <w:numId w:val="8"/>
        </w:numPr>
      </w:pPr>
      <w:r>
        <w:t xml:space="preserve">Toon de rol van de Active Directory met betrekking tot autorisatie. </w:t>
      </w:r>
    </w:p>
    <w:p w14:paraId="2B92849E" w14:textId="1C641886" w:rsidR="00564A9C" w:rsidRDefault="00540CE3" w:rsidP="00B2693E">
      <w:pPr>
        <w:pStyle w:val="Geenafstand"/>
        <w:numPr>
          <w:ilvl w:val="1"/>
          <w:numId w:val="8"/>
        </w:numPr>
      </w:pPr>
      <w:r>
        <w:t xml:space="preserve">Toon de audit trails die functioneel beheerders kunnen raadplegen. </w:t>
      </w:r>
    </w:p>
    <w:p w14:paraId="1A683DCB" w14:textId="77777777" w:rsidR="00564A9C" w:rsidRDefault="00564A9C" w:rsidP="00FC6F19">
      <w:pPr>
        <w:pStyle w:val="Geenafstand"/>
        <w:numPr>
          <w:ilvl w:val="0"/>
          <w:numId w:val="0"/>
        </w:numPr>
        <w:ind w:left="720"/>
      </w:pPr>
    </w:p>
    <w:p w14:paraId="2B525F79" w14:textId="77777777" w:rsidR="00D57448" w:rsidRDefault="00D57448" w:rsidP="00FC6F19">
      <w:pPr>
        <w:pStyle w:val="Kop1"/>
        <w:spacing w:before="0" w:after="0" w:line="276" w:lineRule="auto"/>
      </w:pPr>
      <w:r>
        <w:lastRenderedPageBreak/>
        <w:t xml:space="preserve">Overzicht - Proces demonstratie </w:t>
      </w:r>
    </w:p>
    <w:p w14:paraId="122569D2" w14:textId="77777777" w:rsidR="00D57448" w:rsidRDefault="00D57448" w:rsidP="00FC6F19">
      <w:pPr>
        <w:keepNext/>
        <w:spacing w:line="276" w:lineRule="auto"/>
      </w:pPr>
    </w:p>
    <w:p w14:paraId="40594DFE" w14:textId="77777777" w:rsidR="00D57448" w:rsidRDefault="00D57448" w:rsidP="00FC6F19">
      <w:pPr>
        <w:spacing w:line="276" w:lineRule="auto"/>
        <w:ind w:left="360"/>
      </w:pPr>
      <w:r>
        <w:rPr>
          <w:noProof/>
        </w:rPr>
        <w:drawing>
          <wp:inline distT="0" distB="0" distL="0" distR="0" wp14:anchorId="72A45CCF" wp14:editId="268957EE">
            <wp:extent cx="4617223" cy="7329054"/>
            <wp:effectExtent l="0" t="0" r="0" b="5715"/>
            <wp:docPr id="1" name="Page12" title="Proces demonstratie Marktconsul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2.Emf"/>
                    <pic:cNvPicPr/>
                  </pic:nvPicPr>
                  <pic:blipFill>
                    <a:blip r:embed="rId12" cstate="print">
                      <a:extLst>
                        <a:ext uri="0bf4be5d-d629-4206-85bd-69c5d271d446"/>
                      </a:extLst>
                    </a:blip>
                    <a:stretch>
                      <a:fillRect/>
                    </a:stretch>
                  </pic:blipFill>
                  <pic:spPr>
                    <a:xfrm>
                      <a:off x="0" y="0"/>
                      <a:ext cx="4656421" cy="7391273"/>
                    </a:xfrm>
                    <a:prstGeom prst="rect">
                      <a:avLst/>
                    </a:prstGeom>
                  </pic:spPr>
                </pic:pic>
              </a:graphicData>
            </a:graphic>
          </wp:inline>
        </w:drawing>
      </w:r>
    </w:p>
    <w:p w14:paraId="3D11E5A9" w14:textId="77777777" w:rsidR="00D57448" w:rsidRDefault="00D57448" w:rsidP="00FC6F19">
      <w:pPr>
        <w:spacing w:line="276" w:lineRule="auto"/>
      </w:pPr>
    </w:p>
    <w:p w14:paraId="1343CE69" w14:textId="77777777" w:rsidR="005335E9" w:rsidRPr="007E71F1" w:rsidRDefault="005335E9" w:rsidP="00FC6F19">
      <w:pPr>
        <w:pStyle w:val="Geenafstand"/>
        <w:numPr>
          <w:ilvl w:val="0"/>
          <w:numId w:val="0"/>
        </w:numPr>
        <w:ind w:left="720"/>
      </w:pPr>
    </w:p>
    <w:sectPr w:rsidR="005335E9" w:rsidRPr="007E71F1" w:rsidSect="00F1650B">
      <w:headerReference w:type="default" r:id="rId13"/>
      <w:footerReference w:type="default" r:id="rId14"/>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650F" w14:textId="77777777" w:rsidR="006E52FC" w:rsidRDefault="006E52FC" w:rsidP="00B623D0">
      <w:r>
        <w:separator/>
      </w:r>
    </w:p>
    <w:p w14:paraId="3E1EC8DD" w14:textId="77777777" w:rsidR="006E52FC" w:rsidRDefault="006E52FC"/>
  </w:endnote>
  <w:endnote w:type="continuationSeparator" w:id="0">
    <w:p w14:paraId="0756270E" w14:textId="77777777" w:rsidR="006E52FC" w:rsidRDefault="006E52FC" w:rsidP="00B623D0">
      <w:r>
        <w:continuationSeparator/>
      </w:r>
    </w:p>
    <w:p w14:paraId="0F250B32" w14:textId="77777777" w:rsidR="006E52FC" w:rsidRDefault="006E52FC"/>
  </w:endnote>
  <w:endnote w:type="continuationNotice" w:id="1">
    <w:p w14:paraId="65209C4A" w14:textId="77777777" w:rsidR="006E52FC" w:rsidRDefault="006E52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Voettekst"/>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0542DEB9" w:rsidR="00B623D0" w:rsidRPr="00BE2121" w:rsidRDefault="00F00E49" w:rsidP="00BE2121">
    <w:pPr>
      <w:pStyle w:val="Voettekst"/>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5A34AA">
      <w:rPr>
        <w:rFonts w:cs="Assistant Light"/>
        <w:color w:val="auto"/>
        <w:sz w:val="16"/>
        <w:szCs w:val="16"/>
        <w:lang w:val="nl-NL"/>
      </w:rPr>
      <w:t>9</w:t>
    </w:r>
    <w:r w:rsidR="001A28F6">
      <w:rPr>
        <w:rFonts w:cs="Assistant Light"/>
        <w:color w:val="auto"/>
        <w:sz w:val="16"/>
        <w:szCs w:val="16"/>
        <w:lang w:val="nl-NL"/>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r w:rsidR="005A34AA">
      <w:rPr>
        <w:rFonts w:cs="Assistant Light"/>
        <w:color w:val="auto"/>
        <w:sz w:val="16"/>
        <w:szCs w:val="16"/>
        <w:lang w:val="nl-NL"/>
      </w:rPr>
      <w:t>Democasus</w:t>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A2D6" w14:textId="77777777" w:rsidR="006E52FC" w:rsidRDefault="006E52FC" w:rsidP="00B623D0">
      <w:r>
        <w:separator/>
      </w:r>
    </w:p>
    <w:p w14:paraId="12ACC7FB" w14:textId="77777777" w:rsidR="006E52FC" w:rsidRDefault="006E52FC"/>
  </w:footnote>
  <w:footnote w:type="continuationSeparator" w:id="0">
    <w:p w14:paraId="2952EC5D" w14:textId="77777777" w:rsidR="006E52FC" w:rsidRDefault="006E52FC" w:rsidP="00B623D0">
      <w:r>
        <w:continuationSeparator/>
      </w:r>
    </w:p>
    <w:p w14:paraId="6D4285FF" w14:textId="77777777" w:rsidR="006E52FC" w:rsidRDefault="006E52FC"/>
  </w:footnote>
  <w:footnote w:type="continuationNotice" w:id="1">
    <w:p w14:paraId="3576A907" w14:textId="77777777" w:rsidR="006E52FC" w:rsidRDefault="006E52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Koptekst"/>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B91415"/>
    <w:multiLevelType w:val="hybridMultilevel"/>
    <w:tmpl w:val="59B85732"/>
    <w:lvl w:ilvl="0" w:tplc="04130019">
      <w:start w:val="1"/>
      <w:numFmt w:val="lowerLetter"/>
      <w:lvlText w:val="%1."/>
      <w:lvlJc w:val="left"/>
      <w:pPr>
        <w:ind w:left="720" w:hanging="360"/>
      </w:pPr>
    </w:lvl>
    <w:lvl w:ilvl="1" w:tplc="04130019">
      <w:start w:val="1"/>
      <w:numFmt w:val="lowerLetter"/>
      <w:lvlText w:val="%2."/>
      <w:lvlJc w:val="left"/>
      <w:pPr>
        <w:ind w:left="786"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C530F2"/>
    <w:multiLevelType w:val="hybridMultilevel"/>
    <w:tmpl w:val="4546FE20"/>
    <w:lvl w:ilvl="0" w:tplc="A75AD6BA">
      <w:start w:val="1"/>
      <w:numFmt w:val="bullet"/>
      <w:lvlText w:val="-"/>
      <w:lvlJc w:val="left"/>
      <w:pPr>
        <w:ind w:left="720" w:hanging="360"/>
      </w:pPr>
      <w:rPr>
        <w:rFonts w:ascii="Calibri" w:eastAsia="Effra-Light"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A728EB"/>
    <w:multiLevelType w:val="hybridMultilevel"/>
    <w:tmpl w:val="04F0B1C4"/>
    <w:lvl w:ilvl="0" w:tplc="4FEC8BB6">
      <w:start w:val="1"/>
      <w:numFmt w:val="lowerLetter"/>
      <w:pStyle w:val="Geenafstand"/>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005344"/>
    <w:multiLevelType w:val="hybridMultilevel"/>
    <w:tmpl w:val="3118C9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6405283">
    <w:abstractNumId w:val="0"/>
  </w:num>
  <w:num w:numId="2" w16cid:durableId="1459108158">
    <w:abstractNumId w:val="1"/>
  </w:num>
  <w:num w:numId="3" w16cid:durableId="1660503768">
    <w:abstractNumId w:val="3"/>
  </w:num>
  <w:num w:numId="4" w16cid:durableId="2066223185">
    <w:abstractNumId w:val="3"/>
    <w:lvlOverride w:ilvl="0">
      <w:startOverride w:val="1"/>
    </w:lvlOverride>
  </w:num>
  <w:num w:numId="5" w16cid:durableId="1921909088">
    <w:abstractNumId w:val="3"/>
    <w:lvlOverride w:ilvl="0">
      <w:startOverride w:val="1"/>
    </w:lvlOverride>
  </w:num>
  <w:num w:numId="6" w16cid:durableId="2037806353">
    <w:abstractNumId w:val="4"/>
  </w:num>
  <w:num w:numId="7" w16cid:durableId="613366235">
    <w:abstractNumId w:val="3"/>
    <w:lvlOverride w:ilvl="0">
      <w:startOverride w:val="1"/>
    </w:lvlOverride>
  </w:num>
  <w:num w:numId="8" w16cid:durableId="965358157">
    <w:abstractNumId w:val="3"/>
    <w:lvlOverride w:ilvl="0">
      <w:startOverride w:val="1"/>
    </w:lvlOverride>
  </w:num>
  <w:num w:numId="9" w16cid:durableId="123096385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1857"/>
    <w:rsid w:val="00002728"/>
    <w:rsid w:val="00002A7B"/>
    <w:rsid w:val="0001097B"/>
    <w:rsid w:val="000122C1"/>
    <w:rsid w:val="00012827"/>
    <w:rsid w:val="00015867"/>
    <w:rsid w:val="0002257D"/>
    <w:rsid w:val="00023325"/>
    <w:rsid w:val="00023364"/>
    <w:rsid w:val="00027E12"/>
    <w:rsid w:val="00035B0A"/>
    <w:rsid w:val="00040B37"/>
    <w:rsid w:val="0004113F"/>
    <w:rsid w:val="000428B2"/>
    <w:rsid w:val="00043757"/>
    <w:rsid w:val="00055FB0"/>
    <w:rsid w:val="0006198A"/>
    <w:rsid w:val="00064269"/>
    <w:rsid w:val="0006518D"/>
    <w:rsid w:val="000654B5"/>
    <w:rsid w:val="0007066E"/>
    <w:rsid w:val="00072A1F"/>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245C"/>
    <w:rsid w:val="000E707B"/>
    <w:rsid w:val="000F2A53"/>
    <w:rsid w:val="000F2BD5"/>
    <w:rsid w:val="000F2F3C"/>
    <w:rsid w:val="000F3D42"/>
    <w:rsid w:val="000F7C59"/>
    <w:rsid w:val="00100DA4"/>
    <w:rsid w:val="00101AAA"/>
    <w:rsid w:val="00103279"/>
    <w:rsid w:val="00111F38"/>
    <w:rsid w:val="001123FE"/>
    <w:rsid w:val="0011520F"/>
    <w:rsid w:val="001244FF"/>
    <w:rsid w:val="00126878"/>
    <w:rsid w:val="00131E0F"/>
    <w:rsid w:val="0013468B"/>
    <w:rsid w:val="00134A64"/>
    <w:rsid w:val="00134BF7"/>
    <w:rsid w:val="00137D4A"/>
    <w:rsid w:val="00144148"/>
    <w:rsid w:val="00145973"/>
    <w:rsid w:val="00147554"/>
    <w:rsid w:val="00150FBB"/>
    <w:rsid w:val="00151CA4"/>
    <w:rsid w:val="00153745"/>
    <w:rsid w:val="00160B34"/>
    <w:rsid w:val="0016165B"/>
    <w:rsid w:val="00162033"/>
    <w:rsid w:val="00166011"/>
    <w:rsid w:val="0017087B"/>
    <w:rsid w:val="00171DA5"/>
    <w:rsid w:val="0018097D"/>
    <w:rsid w:val="00191E1F"/>
    <w:rsid w:val="00192E5C"/>
    <w:rsid w:val="001A243B"/>
    <w:rsid w:val="001A254A"/>
    <w:rsid w:val="001A28F6"/>
    <w:rsid w:val="001B0C5B"/>
    <w:rsid w:val="001B50A5"/>
    <w:rsid w:val="001B5313"/>
    <w:rsid w:val="001B7E02"/>
    <w:rsid w:val="001C1017"/>
    <w:rsid w:val="001C232D"/>
    <w:rsid w:val="001C37BF"/>
    <w:rsid w:val="001C3E27"/>
    <w:rsid w:val="001D1E1B"/>
    <w:rsid w:val="001E0773"/>
    <w:rsid w:val="001E0E72"/>
    <w:rsid w:val="001F53B9"/>
    <w:rsid w:val="00200C12"/>
    <w:rsid w:val="002013A2"/>
    <w:rsid w:val="0020604B"/>
    <w:rsid w:val="00212791"/>
    <w:rsid w:val="00212C68"/>
    <w:rsid w:val="00214856"/>
    <w:rsid w:val="0021585F"/>
    <w:rsid w:val="00216071"/>
    <w:rsid w:val="00217B8F"/>
    <w:rsid w:val="00220AE5"/>
    <w:rsid w:val="00226AFD"/>
    <w:rsid w:val="002304C9"/>
    <w:rsid w:val="00231263"/>
    <w:rsid w:val="00235B09"/>
    <w:rsid w:val="00235FCB"/>
    <w:rsid w:val="00241241"/>
    <w:rsid w:val="00251426"/>
    <w:rsid w:val="002549C3"/>
    <w:rsid w:val="00262D9F"/>
    <w:rsid w:val="00270893"/>
    <w:rsid w:val="00280753"/>
    <w:rsid w:val="002836BC"/>
    <w:rsid w:val="00284236"/>
    <w:rsid w:val="00285AAE"/>
    <w:rsid w:val="00285E57"/>
    <w:rsid w:val="00286477"/>
    <w:rsid w:val="002875E2"/>
    <w:rsid w:val="00292E8E"/>
    <w:rsid w:val="00293F27"/>
    <w:rsid w:val="002943D4"/>
    <w:rsid w:val="00295A10"/>
    <w:rsid w:val="00295AC6"/>
    <w:rsid w:val="002A4576"/>
    <w:rsid w:val="002A7F8A"/>
    <w:rsid w:val="002B0E54"/>
    <w:rsid w:val="002B44F4"/>
    <w:rsid w:val="002B75E6"/>
    <w:rsid w:val="002C32BD"/>
    <w:rsid w:val="002C6B98"/>
    <w:rsid w:val="002C7026"/>
    <w:rsid w:val="002D2BA1"/>
    <w:rsid w:val="002D71E3"/>
    <w:rsid w:val="002E01EB"/>
    <w:rsid w:val="002E1FB8"/>
    <w:rsid w:val="002E2116"/>
    <w:rsid w:val="002E2600"/>
    <w:rsid w:val="002E29BD"/>
    <w:rsid w:val="002E2D67"/>
    <w:rsid w:val="002E4302"/>
    <w:rsid w:val="002E5FFC"/>
    <w:rsid w:val="002E76BD"/>
    <w:rsid w:val="002E7B0E"/>
    <w:rsid w:val="002F0D73"/>
    <w:rsid w:val="002F5267"/>
    <w:rsid w:val="002F6B2A"/>
    <w:rsid w:val="00300B93"/>
    <w:rsid w:val="003027C8"/>
    <w:rsid w:val="0030354A"/>
    <w:rsid w:val="00305E31"/>
    <w:rsid w:val="00307665"/>
    <w:rsid w:val="0031144D"/>
    <w:rsid w:val="00312931"/>
    <w:rsid w:val="00314F9F"/>
    <w:rsid w:val="003150C6"/>
    <w:rsid w:val="00315648"/>
    <w:rsid w:val="00317123"/>
    <w:rsid w:val="0032169E"/>
    <w:rsid w:val="00323DB7"/>
    <w:rsid w:val="00323F17"/>
    <w:rsid w:val="003254E8"/>
    <w:rsid w:val="00330216"/>
    <w:rsid w:val="00334A92"/>
    <w:rsid w:val="00337630"/>
    <w:rsid w:val="00337B91"/>
    <w:rsid w:val="00343453"/>
    <w:rsid w:val="00343527"/>
    <w:rsid w:val="00346833"/>
    <w:rsid w:val="0035096D"/>
    <w:rsid w:val="003518F1"/>
    <w:rsid w:val="003554E9"/>
    <w:rsid w:val="00361025"/>
    <w:rsid w:val="00361E0D"/>
    <w:rsid w:val="00362169"/>
    <w:rsid w:val="003650C7"/>
    <w:rsid w:val="00375095"/>
    <w:rsid w:val="003767A4"/>
    <w:rsid w:val="00382269"/>
    <w:rsid w:val="00384895"/>
    <w:rsid w:val="00384C93"/>
    <w:rsid w:val="00387462"/>
    <w:rsid w:val="003926E8"/>
    <w:rsid w:val="00393BB2"/>
    <w:rsid w:val="0039448B"/>
    <w:rsid w:val="003A0C18"/>
    <w:rsid w:val="003A2018"/>
    <w:rsid w:val="003A4CA8"/>
    <w:rsid w:val="003A5A4B"/>
    <w:rsid w:val="003B73A4"/>
    <w:rsid w:val="003C1B24"/>
    <w:rsid w:val="003C4267"/>
    <w:rsid w:val="003C5DE0"/>
    <w:rsid w:val="003D0B1E"/>
    <w:rsid w:val="003D0C98"/>
    <w:rsid w:val="003D2C62"/>
    <w:rsid w:val="003D3873"/>
    <w:rsid w:val="003D3D90"/>
    <w:rsid w:val="003D62F5"/>
    <w:rsid w:val="003D7178"/>
    <w:rsid w:val="003D7FD1"/>
    <w:rsid w:val="003E3B8D"/>
    <w:rsid w:val="003E4047"/>
    <w:rsid w:val="003F0DFB"/>
    <w:rsid w:val="003F3B45"/>
    <w:rsid w:val="003F44D4"/>
    <w:rsid w:val="003F465A"/>
    <w:rsid w:val="00400F15"/>
    <w:rsid w:val="00402AFC"/>
    <w:rsid w:val="00403AD1"/>
    <w:rsid w:val="00406A0E"/>
    <w:rsid w:val="00407A3F"/>
    <w:rsid w:val="0041163C"/>
    <w:rsid w:val="0041167F"/>
    <w:rsid w:val="004119A2"/>
    <w:rsid w:val="0042038C"/>
    <w:rsid w:val="004231A6"/>
    <w:rsid w:val="00424A58"/>
    <w:rsid w:val="00426C6A"/>
    <w:rsid w:val="00427D3E"/>
    <w:rsid w:val="00427DF9"/>
    <w:rsid w:val="004301E5"/>
    <w:rsid w:val="00432EB8"/>
    <w:rsid w:val="0043413D"/>
    <w:rsid w:val="00435E4C"/>
    <w:rsid w:val="00441FC5"/>
    <w:rsid w:val="00443A0A"/>
    <w:rsid w:val="00444412"/>
    <w:rsid w:val="00445571"/>
    <w:rsid w:val="0045634B"/>
    <w:rsid w:val="00460EA6"/>
    <w:rsid w:val="00461C58"/>
    <w:rsid w:val="0046243F"/>
    <w:rsid w:val="00462CE9"/>
    <w:rsid w:val="00465CB5"/>
    <w:rsid w:val="00472551"/>
    <w:rsid w:val="0047297C"/>
    <w:rsid w:val="0047558B"/>
    <w:rsid w:val="00477A01"/>
    <w:rsid w:val="00480CF3"/>
    <w:rsid w:val="004816CD"/>
    <w:rsid w:val="0048221F"/>
    <w:rsid w:val="00484A67"/>
    <w:rsid w:val="0048637A"/>
    <w:rsid w:val="0049077C"/>
    <w:rsid w:val="00490FA5"/>
    <w:rsid w:val="00491CD9"/>
    <w:rsid w:val="00491DD1"/>
    <w:rsid w:val="00494F58"/>
    <w:rsid w:val="004A169A"/>
    <w:rsid w:val="004A41E0"/>
    <w:rsid w:val="004A4D53"/>
    <w:rsid w:val="004A67C4"/>
    <w:rsid w:val="004B076E"/>
    <w:rsid w:val="004B4D70"/>
    <w:rsid w:val="004B5A69"/>
    <w:rsid w:val="004C5D7B"/>
    <w:rsid w:val="004C6D79"/>
    <w:rsid w:val="004D54D5"/>
    <w:rsid w:val="004D6151"/>
    <w:rsid w:val="004D7A2D"/>
    <w:rsid w:val="004F0C2B"/>
    <w:rsid w:val="004F12BD"/>
    <w:rsid w:val="004F1FC5"/>
    <w:rsid w:val="004F39B1"/>
    <w:rsid w:val="004F699B"/>
    <w:rsid w:val="00501EEA"/>
    <w:rsid w:val="0050578F"/>
    <w:rsid w:val="00505DC2"/>
    <w:rsid w:val="00505F37"/>
    <w:rsid w:val="00507397"/>
    <w:rsid w:val="00510017"/>
    <w:rsid w:val="00517516"/>
    <w:rsid w:val="00520E92"/>
    <w:rsid w:val="00524B0B"/>
    <w:rsid w:val="005259C0"/>
    <w:rsid w:val="0053027A"/>
    <w:rsid w:val="005313F6"/>
    <w:rsid w:val="005335E9"/>
    <w:rsid w:val="005364C6"/>
    <w:rsid w:val="00540034"/>
    <w:rsid w:val="00540CE3"/>
    <w:rsid w:val="00543EFA"/>
    <w:rsid w:val="005444E7"/>
    <w:rsid w:val="00547347"/>
    <w:rsid w:val="005510B3"/>
    <w:rsid w:val="0055142C"/>
    <w:rsid w:val="00553CB2"/>
    <w:rsid w:val="005550BE"/>
    <w:rsid w:val="00557140"/>
    <w:rsid w:val="00561A31"/>
    <w:rsid w:val="005621C1"/>
    <w:rsid w:val="00564A9C"/>
    <w:rsid w:val="005652B2"/>
    <w:rsid w:val="005706C3"/>
    <w:rsid w:val="00577B63"/>
    <w:rsid w:val="00577FBA"/>
    <w:rsid w:val="005910F9"/>
    <w:rsid w:val="00593F1D"/>
    <w:rsid w:val="0059435E"/>
    <w:rsid w:val="005956B2"/>
    <w:rsid w:val="005A0EBC"/>
    <w:rsid w:val="005A23EF"/>
    <w:rsid w:val="005A2621"/>
    <w:rsid w:val="005A34AA"/>
    <w:rsid w:val="005A3958"/>
    <w:rsid w:val="005A7D7E"/>
    <w:rsid w:val="005B0CA0"/>
    <w:rsid w:val="005B119E"/>
    <w:rsid w:val="005B3700"/>
    <w:rsid w:val="005B4DD3"/>
    <w:rsid w:val="005B51EA"/>
    <w:rsid w:val="005B5B0E"/>
    <w:rsid w:val="005B645E"/>
    <w:rsid w:val="005B6BA2"/>
    <w:rsid w:val="005B7450"/>
    <w:rsid w:val="005C11E3"/>
    <w:rsid w:val="005C5576"/>
    <w:rsid w:val="005D1D2D"/>
    <w:rsid w:val="005D5BD2"/>
    <w:rsid w:val="005D7E36"/>
    <w:rsid w:val="005E1EC3"/>
    <w:rsid w:val="005E583F"/>
    <w:rsid w:val="005E7D0E"/>
    <w:rsid w:val="005E7DC6"/>
    <w:rsid w:val="005F0873"/>
    <w:rsid w:val="005F1C31"/>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7DD"/>
    <w:rsid w:val="00640D6B"/>
    <w:rsid w:val="00641623"/>
    <w:rsid w:val="00643928"/>
    <w:rsid w:val="00645217"/>
    <w:rsid w:val="00645E1C"/>
    <w:rsid w:val="00650B54"/>
    <w:rsid w:val="00653C6F"/>
    <w:rsid w:val="00656E8D"/>
    <w:rsid w:val="00661160"/>
    <w:rsid w:val="0066116F"/>
    <w:rsid w:val="00665156"/>
    <w:rsid w:val="006671CC"/>
    <w:rsid w:val="00667996"/>
    <w:rsid w:val="00670279"/>
    <w:rsid w:val="006836B7"/>
    <w:rsid w:val="006837A0"/>
    <w:rsid w:val="00691829"/>
    <w:rsid w:val="00693364"/>
    <w:rsid w:val="00696CF2"/>
    <w:rsid w:val="006A08F1"/>
    <w:rsid w:val="006A2286"/>
    <w:rsid w:val="006A328A"/>
    <w:rsid w:val="006A333F"/>
    <w:rsid w:val="006A4103"/>
    <w:rsid w:val="006B4597"/>
    <w:rsid w:val="006B492B"/>
    <w:rsid w:val="006B59B6"/>
    <w:rsid w:val="006B6FEB"/>
    <w:rsid w:val="006C1D93"/>
    <w:rsid w:val="006C50F5"/>
    <w:rsid w:val="006C7068"/>
    <w:rsid w:val="006D0617"/>
    <w:rsid w:val="006D100C"/>
    <w:rsid w:val="006D1451"/>
    <w:rsid w:val="006D1DA8"/>
    <w:rsid w:val="006E35F4"/>
    <w:rsid w:val="006E4552"/>
    <w:rsid w:val="006E52FC"/>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35EF8"/>
    <w:rsid w:val="0074013A"/>
    <w:rsid w:val="00740217"/>
    <w:rsid w:val="00742653"/>
    <w:rsid w:val="00742829"/>
    <w:rsid w:val="00744BE9"/>
    <w:rsid w:val="00745B07"/>
    <w:rsid w:val="00745B88"/>
    <w:rsid w:val="0074635D"/>
    <w:rsid w:val="0075211D"/>
    <w:rsid w:val="00752554"/>
    <w:rsid w:val="007534DA"/>
    <w:rsid w:val="0075427D"/>
    <w:rsid w:val="007610FD"/>
    <w:rsid w:val="00762A16"/>
    <w:rsid w:val="007641B2"/>
    <w:rsid w:val="00765237"/>
    <w:rsid w:val="0076647B"/>
    <w:rsid w:val="00767909"/>
    <w:rsid w:val="00770D81"/>
    <w:rsid w:val="007712C6"/>
    <w:rsid w:val="00775E00"/>
    <w:rsid w:val="007762BA"/>
    <w:rsid w:val="00776BEA"/>
    <w:rsid w:val="0077734E"/>
    <w:rsid w:val="0078106E"/>
    <w:rsid w:val="007822EA"/>
    <w:rsid w:val="00782917"/>
    <w:rsid w:val="00783A67"/>
    <w:rsid w:val="00791327"/>
    <w:rsid w:val="00794EA7"/>
    <w:rsid w:val="00794F10"/>
    <w:rsid w:val="00797108"/>
    <w:rsid w:val="007A2E95"/>
    <w:rsid w:val="007A67E7"/>
    <w:rsid w:val="007B326A"/>
    <w:rsid w:val="007B40DE"/>
    <w:rsid w:val="007B5F5F"/>
    <w:rsid w:val="007B6FCA"/>
    <w:rsid w:val="007C07DD"/>
    <w:rsid w:val="007C168B"/>
    <w:rsid w:val="007C1806"/>
    <w:rsid w:val="007C2C35"/>
    <w:rsid w:val="007D4E76"/>
    <w:rsid w:val="007D500D"/>
    <w:rsid w:val="007D5F10"/>
    <w:rsid w:val="007D5F6A"/>
    <w:rsid w:val="007E2F4D"/>
    <w:rsid w:val="007E3C8D"/>
    <w:rsid w:val="007E45CD"/>
    <w:rsid w:val="007E5A81"/>
    <w:rsid w:val="007E5B0D"/>
    <w:rsid w:val="007E6BA2"/>
    <w:rsid w:val="007E6EEC"/>
    <w:rsid w:val="007E71F1"/>
    <w:rsid w:val="007F75C0"/>
    <w:rsid w:val="0080154D"/>
    <w:rsid w:val="008040F4"/>
    <w:rsid w:val="0080709E"/>
    <w:rsid w:val="0081194A"/>
    <w:rsid w:val="00815848"/>
    <w:rsid w:val="0081639A"/>
    <w:rsid w:val="00817AE7"/>
    <w:rsid w:val="008218BB"/>
    <w:rsid w:val="00827C89"/>
    <w:rsid w:val="0083152F"/>
    <w:rsid w:val="00831CE5"/>
    <w:rsid w:val="00834D89"/>
    <w:rsid w:val="00836938"/>
    <w:rsid w:val="00841414"/>
    <w:rsid w:val="008470A4"/>
    <w:rsid w:val="0085410F"/>
    <w:rsid w:val="00854B13"/>
    <w:rsid w:val="008608A9"/>
    <w:rsid w:val="00860CCD"/>
    <w:rsid w:val="008625CE"/>
    <w:rsid w:val="00864982"/>
    <w:rsid w:val="0086517F"/>
    <w:rsid w:val="00871541"/>
    <w:rsid w:val="0087447A"/>
    <w:rsid w:val="008842CA"/>
    <w:rsid w:val="00886370"/>
    <w:rsid w:val="008871CD"/>
    <w:rsid w:val="00893F56"/>
    <w:rsid w:val="00896BB2"/>
    <w:rsid w:val="008A1787"/>
    <w:rsid w:val="008A718F"/>
    <w:rsid w:val="008B1002"/>
    <w:rsid w:val="008B58DD"/>
    <w:rsid w:val="008B611A"/>
    <w:rsid w:val="008C59C1"/>
    <w:rsid w:val="008C75E3"/>
    <w:rsid w:val="008C7705"/>
    <w:rsid w:val="008C7D56"/>
    <w:rsid w:val="008D290D"/>
    <w:rsid w:val="008D604D"/>
    <w:rsid w:val="008D7D7E"/>
    <w:rsid w:val="008E31F0"/>
    <w:rsid w:val="008F13F5"/>
    <w:rsid w:val="008F14D8"/>
    <w:rsid w:val="008F1662"/>
    <w:rsid w:val="008F3111"/>
    <w:rsid w:val="008F34DC"/>
    <w:rsid w:val="008F558A"/>
    <w:rsid w:val="009003AE"/>
    <w:rsid w:val="0090397D"/>
    <w:rsid w:val="00906DE6"/>
    <w:rsid w:val="00910D61"/>
    <w:rsid w:val="009128C3"/>
    <w:rsid w:val="009167AC"/>
    <w:rsid w:val="00922436"/>
    <w:rsid w:val="0092316D"/>
    <w:rsid w:val="009234C1"/>
    <w:rsid w:val="00924260"/>
    <w:rsid w:val="009243E9"/>
    <w:rsid w:val="00925E18"/>
    <w:rsid w:val="00926A15"/>
    <w:rsid w:val="00927A2A"/>
    <w:rsid w:val="009322CF"/>
    <w:rsid w:val="00936A89"/>
    <w:rsid w:val="00937CCF"/>
    <w:rsid w:val="00941167"/>
    <w:rsid w:val="009415DF"/>
    <w:rsid w:val="009423A6"/>
    <w:rsid w:val="0094434C"/>
    <w:rsid w:val="00944CE8"/>
    <w:rsid w:val="009450B7"/>
    <w:rsid w:val="00956D3E"/>
    <w:rsid w:val="00961331"/>
    <w:rsid w:val="009653C9"/>
    <w:rsid w:val="00965CE9"/>
    <w:rsid w:val="009672DA"/>
    <w:rsid w:val="00972539"/>
    <w:rsid w:val="00972C57"/>
    <w:rsid w:val="00973ADD"/>
    <w:rsid w:val="009767C1"/>
    <w:rsid w:val="00977150"/>
    <w:rsid w:val="009839A2"/>
    <w:rsid w:val="00984905"/>
    <w:rsid w:val="00986CDD"/>
    <w:rsid w:val="0098794D"/>
    <w:rsid w:val="0099082B"/>
    <w:rsid w:val="00992C57"/>
    <w:rsid w:val="009939B2"/>
    <w:rsid w:val="00995279"/>
    <w:rsid w:val="00995FBD"/>
    <w:rsid w:val="00996A59"/>
    <w:rsid w:val="009A061D"/>
    <w:rsid w:val="009A0848"/>
    <w:rsid w:val="009A31B3"/>
    <w:rsid w:val="009A40DD"/>
    <w:rsid w:val="009A4565"/>
    <w:rsid w:val="009A6B4D"/>
    <w:rsid w:val="009A700F"/>
    <w:rsid w:val="009B12AE"/>
    <w:rsid w:val="009B431B"/>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7161F"/>
    <w:rsid w:val="00A767C4"/>
    <w:rsid w:val="00A80005"/>
    <w:rsid w:val="00A857F1"/>
    <w:rsid w:val="00A85FAB"/>
    <w:rsid w:val="00A87907"/>
    <w:rsid w:val="00A90D03"/>
    <w:rsid w:val="00A9222A"/>
    <w:rsid w:val="00A94C7E"/>
    <w:rsid w:val="00A95DEC"/>
    <w:rsid w:val="00AA10CF"/>
    <w:rsid w:val="00AA7A65"/>
    <w:rsid w:val="00AA7DF5"/>
    <w:rsid w:val="00AB2571"/>
    <w:rsid w:val="00AB2EAF"/>
    <w:rsid w:val="00AC04CE"/>
    <w:rsid w:val="00AC2E28"/>
    <w:rsid w:val="00AC2EDA"/>
    <w:rsid w:val="00AC46C1"/>
    <w:rsid w:val="00AC6E73"/>
    <w:rsid w:val="00AD165A"/>
    <w:rsid w:val="00AD2C27"/>
    <w:rsid w:val="00AD340D"/>
    <w:rsid w:val="00AD64D6"/>
    <w:rsid w:val="00AE0164"/>
    <w:rsid w:val="00AE0C48"/>
    <w:rsid w:val="00AF1BAE"/>
    <w:rsid w:val="00AF5C86"/>
    <w:rsid w:val="00B00859"/>
    <w:rsid w:val="00B04434"/>
    <w:rsid w:val="00B148AD"/>
    <w:rsid w:val="00B1788E"/>
    <w:rsid w:val="00B21E88"/>
    <w:rsid w:val="00B2224B"/>
    <w:rsid w:val="00B22BC6"/>
    <w:rsid w:val="00B22E03"/>
    <w:rsid w:val="00B23525"/>
    <w:rsid w:val="00B2693E"/>
    <w:rsid w:val="00B26E88"/>
    <w:rsid w:val="00B32D34"/>
    <w:rsid w:val="00B36223"/>
    <w:rsid w:val="00B439A2"/>
    <w:rsid w:val="00B50C09"/>
    <w:rsid w:val="00B512AB"/>
    <w:rsid w:val="00B52A1C"/>
    <w:rsid w:val="00B55130"/>
    <w:rsid w:val="00B5558D"/>
    <w:rsid w:val="00B56737"/>
    <w:rsid w:val="00B57D21"/>
    <w:rsid w:val="00B623D0"/>
    <w:rsid w:val="00B65EB3"/>
    <w:rsid w:val="00B77C0C"/>
    <w:rsid w:val="00B77F92"/>
    <w:rsid w:val="00B85093"/>
    <w:rsid w:val="00B8652A"/>
    <w:rsid w:val="00B8657C"/>
    <w:rsid w:val="00B959F3"/>
    <w:rsid w:val="00BA491B"/>
    <w:rsid w:val="00BA5A22"/>
    <w:rsid w:val="00BB2250"/>
    <w:rsid w:val="00BD0E04"/>
    <w:rsid w:val="00BD2261"/>
    <w:rsid w:val="00BD5AD2"/>
    <w:rsid w:val="00BE0236"/>
    <w:rsid w:val="00BE0F0C"/>
    <w:rsid w:val="00BE0F8F"/>
    <w:rsid w:val="00BE15EB"/>
    <w:rsid w:val="00BE2121"/>
    <w:rsid w:val="00BE3FD9"/>
    <w:rsid w:val="00BE5CC4"/>
    <w:rsid w:val="00BF2C88"/>
    <w:rsid w:val="00BF3B8F"/>
    <w:rsid w:val="00BF4DCD"/>
    <w:rsid w:val="00C06347"/>
    <w:rsid w:val="00C112C7"/>
    <w:rsid w:val="00C133F9"/>
    <w:rsid w:val="00C16B5B"/>
    <w:rsid w:val="00C16E99"/>
    <w:rsid w:val="00C176F6"/>
    <w:rsid w:val="00C25244"/>
    <w:rsid w:val="00C343C9"/>
    <w:rsid w:val="00C34BD5"/>
    <w:rsid w:val="00C36471"/>
    <w:rsid w:val="00C40401"/>
    <w:rsid w:val="00C417E0"/>
    <w:rsid w:val="00C41E05"/>
    <w:rsid w:val="00C45353"/>
    <w:rsid w:val="00C45517"/>
    <w:rsid w:val="00C51DC7"/>
    <w:rsid w:val="00C53E49"/>
    <w:rsid w:val="00C553FE"/>
    <w:rsid w:val="00C55EA9"/>
    <w:rsid w:val="00C56512"/>
    <w:rsid w:val="00C56FF7"/>
    <w:rsid w:val="00C606DA"/>
    <w:rsid w:val="00C60F79"/>
    <w:rsid w:val="00C6163B"/>
    <w:rsid w:val="00C65FBF"/>
    <w:rsid w:val="00C7062A"/>
    <w:rsid w:val="00C76F2F"/>
    <w:rsid w:val="00C817D8"/>
    <w:rsid w:val="00C86B4A"/>
    <w:rsid w:val="00C87429"/>
    <w:rsid w:val="00C90032"/>
    <w:rsid w:val="00C91F59"/>
    <w:rsid w:val="00C965DD"/>
    <w:rsid w:val="00CA3D8F"/>
    <w:rsid w:val="00CA4C50"/>
    <w:rsid w:val="00CA4EC1"/>
    <w:rsid w:val="00CA51D1"/>
    <w:rsid w:val="00CB0B10"/>
    <w:rsid w:val="00CB2191"/>
    <w:rsid w:val="00CB21A7"/>
    <w:rsid w:val="00CB229F"/>
    <w:rsid w:val="00CB3044"/>
    <w:rsid w:val="00CB7329"/>
    <w:rsid w:val="00CC3012"/>
    <w:rsid w:val="00CC36DE"/>
    <w:rsid w:val="00CC4760"/>
    <w:rsid w:val="00CC4ED6"/>
    <w:rsid w:val="00CC5B6F"/>
    <w:rsid w:val="00CD109E"/>
    <w:rsid w:val="00CD4E35"/>
    <w:rsid w:val="00CE0520"/>
    <w:rsid w:val="00CE2FE5"/>
    <w:rsid w:val="00CE4262"/>
    <w:rsid w:val="00CE621A"/>
    <w:rsid w:val="00CE6D28"/>
    <w:rsid w:val="00CE7A12"/>
    <w:rsid w:val="00CF2DD6"/>
    <w:rsid w:val="00CF3B92"/>
    <w:rsid w:val="00CF3BF3"/>
    <w:rsid w:val="00CF41AB"/>
    <w:rsid w:val="00CF77F3"/>
    <w:rsid w:val="00D015DA"/>
    <w:rsid w:val="00D037DA"/>
    <w:rsid w:val="00D1000E"/>
    <w:rsid w:val="00D107DC"/>
    <w:rsid w:val="00D12BF3"/>
    <w:rsid w:val="00D15933"/>
    <w:rsid w:val="00D16080"/>
    <w:rsid w:val="00D177B4"/>
    <w:rsid w:val="00D20858"/>
    <w:rsid w:val="00D266EC"/>
    <w:rsid w:val="00D2778C"/>
    <w:rsid w:val="00D3052E"/>
    <w:rsid w:val="00D32412"/>
    <w:rsid w:val="00D35AFA"/>
    <w:rsid w:val="00D3689A"/>
    <w:rsid w:val="00D41063"/>
    <w:rsid w:val="00D45B79"/>
    <w:rsid w:val="00D472DB"/>
    <w:rsid w:val="00D500A6"/>
    <w:rsid w:val="00D545E7"/>
    <w:rsid w:val="00D57448"/>
    <w:rsid w:val="00D64E4E"/>
    <w:rsid w:val="00D65366"/>
    <w:rsid w:val="00D70552"/>
    <w:rsid w:val="00D73DED"/>
    <w:rsid w:val="00D8032D"/>
    <w:rsid w:val="00D80E1B"/>
    <w:rsid w:val="00D81E07"/>
    <w:rsid w:val="00D8382B"/>
    <w:rsid w:val="00D83BA5"/>
    <w:rsid w:val="00D84503"/>
    <w:rsid w:val="00D84F5D"/>
    <w:rsid w:val="00D8727E"/>
    <w:rsid w:val="00D97779"/>
    <w:rsid w:val="00DA13E1"/>
    <w:rsid w:val="00DA1E26"/>
    <w:rsid w:val="00DA30C7"/>
    <w:rsid w:val="00DA3A6D"/>
    <w:rsid w:val="00DB21D9"/>
    <w:rsid w:val="00DB30DA"/>
    <w:rsid w:val="00DB700F"/>
    <w:rsid w:val="00DB704C"/>
    <w:rsid w:val="00DB7291"/>
    <w:rsid w:val="00DC0326"/>
    <w:rsid w:val="00DC225A"/>
    <w:rsid w:val="00DC303B"/>
    <w:rsid w:val="00DC3FFE"/>
    <w:rsid w:val="00DD0CFB"/>
    <w:rsid w:val="00DD489A"/>
    <w:rsid w:val="00DD6C83"/>
    <w:rsid w:val="00DE0BAC"/>
    <w:rsid w:val="00DE10F6"/>
    <w:rsid w:val="00DE1766"/>
    <w:rsid w:val="00DE4108"/>
    <w:rsid w:val="00DE4EB3"/>
    <w:rsid w:val="00DE59A9"/>
    <w:rsid w:val="00DE69DC"/>
    <w:rsid w:val="00DE6E00"/>
    <w:rsid w:val="00DE7DE2"/>
    <w:rsid w:val="00DF3B47"/>
    <w:rsid w:val="00DF58F2"/>
    <w:rsid w:val="00E006D7"/>
    <w:rsid w:val="00E00E8B"/>
    <w:rsid w:val="00E05005"/>
    <w:rsid w:val="00E05EB4"/>
    <w:rsid w:val="00E07CA8"/>
    <w:rsid w:val="00E10C45"/>
    <w:rsid w:val="00E11A00"/>
    <w:rsid w:val="00E1230D"/>
    <w:rsid w:val="00E152C4"/>
    <w:rsid w:val="00E1609A"/>
    <w:rsid w:val="00E2158B"/>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2D29"/>
    <w:rsid w:val="00E756CF"/>
    <w:rsid w:val="00E7728F"/>
    <w:rsid w:val="00E91625"/>
    <w:rsid w:val="00E92398"/>
    <w:rsid w:val="00E97148"/>
    <w:rsid w:val="00E97424"/>
    <w:rsid w:val="00EA0025"/>
    <w:rsid w:val="00EA0F20"/>
    <w:rsid w:val="00EA1340"/>
    <w:rsid w:val="00EA19D6"/>
    <w:rsid w:val="00EA27C5"/>
    <w:rsid w:val="00EA4405"/>
    <w:rsid w:val="00EB18B6"/>
    <w:rsid w:val="00EB45F4"/>
    <w:rsid w:val="00EC0F65"/>
    <w:rsid w:val="00EC3A55"/>
    <w:rsid w:val="00EC3E43"/>
    <w:rsid w:val="00ED0D74"/>
    <w:rsid w:val="00ED466A"/>
    <w:rsid w:val="00EE15A9"/>
    <w:rsid w:val="00EE3CF9"/>
    <w:rsid w:val="00EE6BF5"/>
    <w:rsid w:val="00EE75A9"/>
    <w:rsid w:val="00EF26B4"/>
    <w:rsid w:val="00F00E49"/>
    <w:rsid w:val="00F01DD4"/>
    <w:rsid w:val="00F040DB"/>
    <w:rsid w:val="00F047E2"/>
    <w:rsid w:val="00F054AC"/>
    <w:rsid w:val="00F138C4"/>
    <w:rsid w:val="00F140F3"/>
    <w:rsid w:val="00F153A4"/>
    <w:rsid w:val="00F1650B"/>
    <w:rsid w:val="00F176E7"/>
    <w:rsid w:val="00F21076"/>
    <w:rsid w:val="00F21E1B"/>
    <w:rsid w:val="00F23EDE"/>
    <w:rsid w:val="00F248B8"/>
    <w:rsid w:val="00F2578E"/>
    <w:rsid w:val="00F3023F"/>
    <w:rsid w:val="00F33077"/>
    <w:rsid w:val="00F3379A"/>
    <w:rsid w:val="00F33F03"/>
    <w:rsid w:val="00F360EC"/>
    <w:rsid w:val="00F37CA9"/>
    <w:rsid w:val="00F40F6A"/>
    <w:rsid w:val="00F50E34"/>
    <w:rsid w:val="00F5521B"/>
    <w:rsid w:val="00F56BF0"/>
    <w:rsid w:val="00F60332"/>
    <w:rsid w:val="00F605CE"/>
    <w:rsid w:val="00F60C86"/>
    <w:rsid w:val="00F610E9"/>
    <w:rsid w:val="00F62F95"/>
    <w:rsid w:val="00F637F9"/>
    <w:rsid w:val="00F66B1E"/>
    <w:rsid w:val="00F6752B"/>
    <w:rsid w:val="00F67C47"/>
    <w:rsid w:val="00F70C97"/>
    <w:rsid w:val="00F72723"/>
    <w:rsid w:val="00F76AAF"/>
    <w:rsid w:val="00F824B6"/>
    <w:rsid w:val="00F83BA1"/>
    <w:rsid w:val="00F8466C"/>
    <w:rsid w:val="00F84C06"/>
    <w:rsid w:val="00F86936"/>
    <w:rsid w:val="00F86ADD"/>
    <w:rsid w:val="00F86BF2"/>
    <w:rsid w:val="00F86CCA"/>
    <w:rsid w:val="00F909F9"/>
    <w:rsid w:val="00F97439"/>
    <w:rsid w:val="00FA008E"/>
    <w:rsid w:val="00FA5D0D"/>
    <w:rsid w:val="00FA6BC6"/>
    <w:rsid w:val="00FA7691"/>
    <w:rsid w:val="00FB2EA6"/>
    <w:rsid w:val="00FB3710"/>
    <w:rsid w:val="00FC2E23"/>
    <w:rsid w:val="00FC4794"/>
    <w:rsid w:val="00FC6F19"/>
    <w:rsid w:val="00FC75F2"/>
    <w:rsid w:val="00FD04E3"/>
    <w:rsid w:val="00FD5D05"/>
    <w:rsid w:val="00FE1469"/>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00F"/>
    <w:rPr>
      <w:rFonts w:ascii="Calibri" w:eastAsia="Effra-Light" w:hAnsi="Calibri" w:cs="Effra-Light"/>
      <w:color w:val="293647" w:themeColor="text1"/>
      <w:kern w:val="0"/>
      <w:sz w:val="20"/>
      <w:szCs w:val="22"/>
      <w:lang w:val="en-GB"/>
      <w14:ligatures w14:val="none"/>
    </w:rPr>
  </w:style>
  <w:style w:type="paragraph" w:styleId="Kop1">
    <w:name w:val="heading 1"/>
    <w:basedOn w:val="Standaard"/>
    <w:next w:val="Standaard"/>
    <w:link w:val="Kop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Kop2">
    <w:name w:val="heading 2"/>
    <w:basedOn w:val="Standaard"/>
    <w:next w:val="Standaard"/>
    <w:link w:val="Kop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Kop3">
    <w:name w:val="heading 3"/>
    <w:basedOn w:val="Standaard"/>
    <w:next w:val="Standaard"/>
    <w:link w:val="Kop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Kop4">
    <w:name w:val="heading 4"/>
    <w:basedOn w:val="Standaard"/>
    <w:next w:val="Standaard"/>
    <w:link w:val="Kop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Kop5">
    <w:name w:val="heading 5"/>
    <w:basedOn w:val="Standaard"/>
    <w:next w:val="Standaard"/>
    <w:link w:val="Kop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Kop6">
    <w:name w:val="heading 6"/>
    <w:basedOn w:val="Standaard"/>
    <w:next w:val="Standaard"/>
    <w:link w:val="Kop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Kop7">
    <w:name w:val="heading 7"/>
    <w:basedOn w:val="Standaard"/>
    <w:next w:val="Standaard"/>
    <w:link w:val="Kop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Kop8">
    <w:name w:val="heading 8"/>
    <w:basedOn w:val="Standaard"/>
    <w:next w:val="Standaard"/>
    <w:link w:val="Kop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Kop9">
    <w:name w:val="heading 9"/>
    <w:basedOn w:val="Standaard"/>
    <w:next w:val="Standaard"/>
    <w:link w:val="Kop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5E7"/>
    <w:rPr>
      <w:rFonts w:ascii="Calibri" w:eastAsiaTheme="majorEastAsia" w:hAnsi="Calibri" w:cstheme="majorBidi"/>
      <w:b/>
      <w:bCs/>
      <w:color w:val="E1B127"/>
      <w:sz w:val="40"/>
      <w:szCs w:val="40"/>
      <w:lang w:val="nl-NL"/>
    </w:rPr>
  </w:style>
  <w:style w:type="character" w:customStyle="1" w:styleId="Kop2Char">
    <w:name w:val="Kop 2 Char"/>
    <w:basedOn w:val="Standaardalinea-lettertype"/>
    <w:link w:val="Kop2"/>
    <w:uiPriority w:val="9"/>
    <w:rsid w:val="00D545E7"/>
    <w:rPr>
      <w:rFonts w:ascii="Calibri" w:eastAsiaTheme="majorEastAsia" w:hAnsi="Calibri" w:cstheme="majorBidi"/>
      <w:b/>
      <w:bCs/>
      <w:color w:val="E1B127"/>
      <w:sz w:val="32"/>
      <w:szCs w:val="32"/>
      <w:lang w:val="en-US"/>
    </w:rPr>
  </w:style>
  <w:style w:type="character" w:customStyle="1" w:styleId="Kop3Char">
    <w:name w:val="Kop 3 Char"/>
    <w:basedOn w:val="Standaardalinea-lettertype"/>
    <w:link w:val="Kop3"/>
    <w:uiPriority w:val="9"/>
    <w:rsid w:val="00D545E7"/>
    <w:rPr>
      <w:rFonts w:ascii="Calibri" w:eastAsiaTheme="majorEastAsia" w:hAnsi="Calibri" w:cstheme="majorBidi"/>
      <w:b/>
      <w:bCs/>
      <w:color w:val="E1B127"/>
      <w:sz w:val="28"/>
      <w:szCs w:val="28"/>
      <w:lang w:val="nl-NL"/>
    </w:rPr>
  </w:style>
  <w:style w:type="character" w:customStyle="1" w:styleId="Kop4Char">
    <w:name w:val="Kop 4 Char"/>
    <w:basedOn w:val="Standaardalinea-lettertype"/>
    <w:link w:val="Kop4"/>
    <w:uiPriority w:val="9"/>
    <w:rsid w:val="00D545E7"/>
    <w:rPr>
      <w:rFonts w:ascii="Calibri" w:eastAsiaTheme="majorEastAsia" w:hAnsi="Calibri" w:cstheme="majorBidi"/>
      <w:b/>
      <w:bCs/>
      <w:color w:val="E1B127"/>
      <w:sz w:val="28"/>
      <w:szCs w:val="28"/>
      <w:lang w:val="en-US"/>
    </w:rPr>
  </w:style>
  <w:style w:type="character" w:customStyle="1" w:styleId="Kop5Char">
    <w:name w:val="Kop 5 Char"/>
    <w:basedOn w:val="Standaardalinea-lettertype"/>
    <w:link w:val="Kop5"/>
    <w:uiPriority w:val="9"/>
    <w:semiHidden/>
    <w:rsid w:val="00D545E7"/>
    <w:rPr>
      <w:rFonts w:ascii="Calibri" w:eastAsiaTheme="majorEastAsia" w:hAnsi="Calibri" w:cstheme="majorBidi"/>
      <w:color w:val="576781" w:themeColor="accent1" w:themeShade="BF"/>
    </w:rPr>
  </w:style>
  <w:style w:type="character" w:customStyle="1" w:styleId="Kop6Char">
    <w:name w:val="Kop 6 Char"/>
    <w:basedOn w:val="Standaardalinea-lettertype"/>
    <w:link w:val="Kop6"/>
    <w:uiPriority w:val="9"/>
    <w:semiHidden/>
    <w:rsid w:val="00B623D0"/>
    <w:rPr>
      <w:rFonts w:eastAsiaTheme="majorEastAsia" w:cstheme="majorBidi"/>
      <w:i/>
      <w:iCs/>
      <w:color w:val="5B789E" w:themeColor="text1" w:themeTint="A6"/>
    </w:rPr>
  </w:style>
  <w:style w:type="character" w:customStyle="1" w:styleId="Kop7Char">
    <w:name w:val="Kop 7 Char"/>
    <w:basedOn w:val="Standaardalinea-lettertype"/>
    <w:link w:val="Kop7"/>
    <w:uiPriority w:val="9"/>
    <w:semiHidden/>
    <w:rsid w:val="00B623D0"/>
    <w:rPr>
      <w:rFonts w:eastAsiaTheme="majorEastAsia" w:cstheme="majorBidi"/>
      <w:color w:val="5B789E" w:themeColor="text1" w:themeTint="A6"/>
    </w:rPr>
  </w:style>
  <w:style w:type="character" w:customStyle="1" w:styleId="Kop8Char">
    <w:name w:val="Kop 8 Char"/>
    <w:basedOn w:val="Standaardalinea-lettertype"/>
    <w:link w:val="Kop8"/>
    <w:uiPriority w:val="9"/>
    <w:semiHidden/>
    <w:rsid w:val="00B623D0"/>
    <w:rPr>
      <w:rFonts w:eastAsiaTheme="majorEastAsia" w:cstheme="majorBidi"/>
      <w:i/>
      <w:iCs/>
      <w:color w:val="3F536D" w:themeColor="text1" w:themeTint="D8"/>
    </w:rPr>
  </w:style>
  <w:style w:type="character" w:customStyle="1" w:styleId="Kop9Char">
    <w:name w:val="Kop 9 Char"/>
    <w:basedOn w:val="Standaardalinea-lettertype"/>
    <w:link w:val="Kop9"/>
    <w:uiPriority w:val="9"/>
    <w:semiHidden/>
    <w:rsid w:val="00B623D0"/>
    <w:rPr>
      <w:rFonts w:eastAsiaTheme="majorEastAsia" w:cstheme="majorBidi"/>
      <w:color w:val="3F536D" w:themeColor="text1" w:themeTint="D8"/>
    </w:rPr>
  </w:style>
  <w:style w:type="paragraph" w:styleId="Titel">
    <w:name w:val="Title"/>
    <w:basedOn w:val="Standaard"/>
    <w:next w:val="Standaard"/>
    <w:link w:val="Titel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elChar">
    <w:name w:val="Titel Char"/>
    <w:basedOn w:val="Standaardalinea-lettertype"/>
    <w:link w:val="Titel"/>
    <w:uiPriority w:val="10"/>
    <w:rsid w:val="00D545E7"/>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OndertitelChar">
    <w:name w:val="Ondertitel Char"/>
    <w:basedOn w:val="Standaardalinea-lettertype"/>
    <w:link w:val="Ondertitel"/>
    <w:uiPriority w:val="11"/>
    <w:rsid w:val="00D545E7"/>
    <w:rPr>
      <w:rFonts w:ascii="Calibri" w:eastAsiaTheme="majorEastAsia" w:hAnsi="Calibri" w:cstheme="majorBidi"/>
      <w:color w:val="5B789E" w:themeColor="text1" w:themeTint="A6"/>
      <w:spacing w:val="15"/>
      <w:sz w:val="28"/>
      <w:szCs w:val="28"/>
    </w:rPr>
  </w:style>
  <w:style w:type="paragraph" w:styleId="Citaat">
    <w:name w:val="Quote"/>
    <w:basedOn w:val="Standaard"/>
    <w:next w:val="Standaard"/>
    <w:link w:val="Citaat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CitaatChar">
    <w:name w:val="Citaat Char"/>
    <w:basedOn w:val="Standaardalinea-lettertype"/>
    <w:link w:val="Citaat"/>
    <w:uiPriority w:val="29"/>
    <w:rsid w:val="00D545E7"/>
    <w:rPr>
      <w:rFonts w:ascii="Calibri Light" w:hAnsi="Calibri Light"/>
      <w:i/>
      <w:iCs/>
      <w:color w:val="4D6586"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ievebenadrukking">
    <w:name w:val="Intense Emphasis"/>
    <w:basedOn w:val="Standaardalinea-lettertype"/>
    <w:uiPriority w:val="21"/>
    <w:qFormat/>
    <w:rsid w:val="00D545E7"/>
    <w:rPr>
      <w:rFonts w:ascii="Calibri" w:hAnsi="Calibri"/>
      <w:i/>
      <w:iCs/>
      <w:color w:val="576781" w:themeColor="accent1" w:themeShade="BF"/>
    </w:rPr>
  </w:style>
  <w:style w:type="paragraph" w:styleId="Duidelijkcitaat">
    <w:name w:val="Intense Quote"/>
    <w:basedOn w:val="Standaard"/>
    <w:next w:val="Standaard"/>
    <w:link w:val="Duidelijkcitaat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DuidelijkcitaatChar">
    <w:name w:val="Duidelijk citaat Char"/>
    <w:basedOn w:val="Standaardalinea-lettertype"/>
    <w:link w:val="Duidelijkcitaat"/>
    <w:uiPriority w:val="30"/>
    <w:rsid w:val="00D545E7"/>
    <w:rPr>
      <w:rFonts w:ascii="Calibri Light" w:hAnsi="Calibri Light"/>
      <w:i/>
      <w:iCs/>
      <w:color w:val="576781" w:themeColor="accent1" w:themeShade="BF"/>
    </w:rPr>
  </w:style>
  <w:style w:type="character" w:styleId="Intensieveverwijzing">
    <w:name w:val="Intense Reference"/>
    <w:basedOn w:val="Standaardalinea-lettertype"/>
    <w:uiPriority w:val="32"/>
    <w:qFormat/>
    <w:rsid w:val="00B623D0"/>
    <w:rPr>
      <w:b/>
      <w:bCs/>
      <w:smallCaps/>
      <w:color w:val="576781" w:themeColor="accent1" w:themeShade="BF"/>
      <w:spacing w:val="5"/>
    </w:rPr>
  </w:style>
  <w:style w:type="paragraph" w:styleId="Koptekst">
    <w:name w:val="header"/>
    <w:basedOn w:val="Standaard"/>
    <w:link w:val="Kop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KoptekstChar">
    <w:name w:val="Koptekst Char"/>
    <w:basedOn w:val="Standaardalinea-lettertype"/>
    <w:link w:val="Koptekst"/>
    <w:uiPriority w:val="99"/>
    <w:rsid w:val="00B623D0"/>
  </w:style>
  <w:style w:type="paragraph" w:styleId="Voettekst">
    <w:name w:val="footer"/>
    <w:basedOn w:val="Standaard"/>
    <w:link w:val="Voet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VoettekstChar">
    <w:name w:val="Voettekst Char"/>
    <w:basedOn w:val="Standaardalinea-lettertype"/>
    <w:link w:val="Voettekst"/>
    <w:uiPriority w:val="99"/>
    <w:rsid w:val="00B623D0"/>
  </w:style>
  <w:style w:type="paragraph" w:styleId="Plattetekst">
    <w:name w:val="Body Text"/>
    <w:basedOn w:val="Standaard"/>
    <w:link w:val="PlattetekstChar"/>
    <w:uiPriority w:val="1"/>
    <w:qFormat/>
    <w:rsid w:val="00B623D0"/>
    <w:pPr>
      <w:ind w:left="924" w:right="907"/>
    </w:pPr>
    <w:rPr>
      <w:szCs w:val="20"/>
    </w:rPr>
  </w:style>
  <w:style w:type="character" w:customStyle="1" w:styleId="PlattetekstChar">
    <w:name w:val="Platte tekst Char"/>
    <w:basedOn w:val="Standaardalinea-lettertype"/>
    <w:link w:val="Plattetekst"/>
    <w:uiPriority w:val="1"/>
    <w:rsid w:val="00B623D0"/>
    <w:rPr>
      <w:rFonts w:ascii="Effra-Light" w:eastAsia="Effra-Light" w:hAnsi="Effra-Light" w:cs="Effra-Light"/>
      <w:kern w:val="0"/>
      <w:sz w:val="20"/>
      <w:szCs w:val="20"/>
      <w:lang w:val="en-GB"/>
      <w14:ligatures w14:val="none"/>
    </w:rPr>
  </w:style>
  <w:style w:type="paragraph" w:styleId="Kopvaninhoudsopgave">
    <w:name w:val="TOC Heading"/>
    <w:basedOn w:val="Kop1"/>
    <w:next w:val="Standaard"/>
    <w:uiPriority w:val="39"/>
    <w:unhideWhenUsed/>
    <w:qFormat/>
    <w:rsid w:val="0077734E"/>
    <w:pPr>
      <w:spacing w:before="240" w:after="0" w:line="259" w:lineRule="auto"/>
      <w:outlineLvl w:val="9"/>
    </w:pPr>
    <w:rPr>
      <w:kern w:val="0"/>
      <w:sz w:val="32"/>
      <w:szCs w:val="32"/>
      <w:lang w:eastAsia="nl-NL"/>
      <w14:ligatures w14:val="none"/>
    </w:rPr>
  </w:style>
  <w:style w:type="table" w:styleId="Tabelraster">
    <w:name w:val="Table Grid"/>
    <w:basedOn w:val="Standaardtabel"/>
    <w:uiPriority w:val="39"/>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D545E7"/>
    <w:rPr>
      <w:rFonts w:ascii="Calibri" w:hAnsi="Calibri"/>
      <w:i/>
      <w:iCs/>
      <w:color w:val="4D6586" w:themeColor="text1" w:themeTint="BF"/>
    </w:rPr>
  </w:style>
  <w:style w:type="character" w:styleId="Nadruk">
    <w:name w:val="Emphasis"/>
    <w:basedOn w:val="Standaardalinea-lettertype"/>
    <w:uiPriority w:val="20"/>
    <w:qFormat/>
    <w:rsid w:val="00D545E7"/>
    <w:rPr>
      <w:rFonts w:ascii="Calibri" w:hAnsi="Calibri"/>
      <w:i/>
      <w:iCs/>
    </w:rPr>
  </w:style>
  <w:style w:type="character" w:styleId="Zwaar">
    <w:name w:val="Strong"/>
    <w:basedOn w:val="Standaardalinea-lettertype"/>
    <w:uiPriority w:val="22"/>
    <w:qFormat/>
    <w:rsid w:val="00D545E7"/>
    <w:rPr>
      <w:rFonts w:ascii="Calibri" w:hAnsi="Calibri"/>
      <w:b/>
      <w:bCs/>
    </w:rPr>
  </w:style>
  <w:style w:type="character" w:styleId="Subtieleverwijzing">
    <w:name w:val="Subtle Reference"/>
    <w:basedOn w:val="Standaardalinea-lettertype"/>
    <w:uiPriority w:val="31"/>
    <w:qFormat/>
    <w:rsid w:val="00D545E7"/>
    <w:rPr>
      <w:rFonts w:ascii="Calibri Light" w:hAnsi="Calibri Light"/>
      <w:smallCaps/>
      <w:color w:val="5C799F" w:themeColor="text1" w:themeTint="A5"/>
    </w:rPr>
  </w:style>
  <w:style w:type="character" w:styleId="Titelvanboek">
    <w:name w:val="Book Title"/>
    <w:basedOn w:val="Standaardalinea-lettertype"/>
    <w:uiPriority w:val="33"/>
    <w:qFormat/>
    <w:rsid w:val="00D545E7"/>
    <w:rPr>
      <w:rFonts w:ascii="Calibri Light" w:hAnsi="Calibri Light"/>
      <w:b/>
      <w:bCs/>
      <w:i/>
      <w:iCs/>
      <w:spacing w:val="5"/>
    </w:rPr>
  </w:style>
  <w:style w:type="paragraph" w:customStyle="1" w:styleId="Opsomming">
    <w:name w:val="Opsomming"/>
    <w:basedOn w:val="Platteteks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PlattetekstChar"/>
    <w:link w:val="Opsomming"/>
    <w:rsid w:val="00DB700F"/>
    <w:rPr>
      <w:rFonts w:ascii="Calibri" w:eastAsia="Effra-Light" w:hAnsi="Calibri" w:cs="Calibri"/>
      <w:color w:val="293647"/>
      <w:spacing w:val="-3"/>
      <w:kern w:val="0"/>
      <w:sz w:val="20"/>
      <w:szCs w:val="20"/>
      <w:lang w:val="es-ES"/>
      <w14:ligatures w14:val="none"/>
    </w:rPr>
  </w:style>
  <w:style w:type="paragraph" w:styleId="Geenafstand">
    <w:name w:val="No Spacing"/>
    <w:link w:val="GeenafstandChar"/>
    <w:autoRedefine/>
    <w:uiPriority w:val="1"/>
    <w:qFormat/>
    <w:rsid w:val="00540CE3"/>
    <w:pPr>
      <w:widowControl w:val="0"/>
      <w:numPr>
        <w:numId w:val="3"/>
      </w:numPr>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Inhopg1">
    <w:name w:val="toc 1"/>
    <w:basedOn w:val="Standaard"/>
    <w:next w:val="Standaard"/>
    <w:autoRedefine/>
    <w:uiPriority w:val="39"/>
    <w:unhideWhenUsed/>
    <w:rsid w:val="00337B91"/>
    <w:pPr>
      <w:spacing w:after="100"/>
    </w:pPr>
  </w:style>
  <w:style w:type="paragraph" w:styleId="Inhopg2">
    <w:name w:val="toc 2"/>
    <w:basedOn w:val="Standaard"/>
    <w:next w:val="Standaard"/>
    <w:autoRedefine/>
    <w:uiPriority w:val="39"/>
    <w:unhideWhenUsed/>
    <w:rsid w:val="00337B91"/>
    <w:pPr>
      <w:spacing w:after="100"/>
      <w:ind w:left="200"/>
    </w:pPr>
  </w:style>
  <w:style w:type="paragraph" w:styleId="Inhopg3">
    <w:name w:val="toc 3"/>
    <w:basedOn w:val="Standaard"/>
    <w:next w:val="Standaard"/>
    <w:autoRedefine/>
    <w:uiPriority w:val="39"/>
    <w:unhideWhenUsed/>
    <w:rsid w:val="00337B91"/>
    <w:pPr>
      <w:spacing w:after="100"/>
      <w:ind w:left="400"/>
    </w:pPr>
  </w:style>
  <w:style w:type="character" w:styleId="Hyperlink">
    <w:name w:val="Hyperlink"/>
    <w:basedOn w:val="Standaardalinea-lettertype"/>
    <w:uiPriority w:val="99"/>
    <w:unhideWhenUsed/>
    <w:rsid w:val="00337B91"/>
    <w:rPr>
      <w:color w:val="E1B129" w:themeColor="hyperlink"/>
      <w:u w:val="single"/>
    </w:rPr>
  </w:style>
  <w:style w:type="character" w:styleId="Verwijzingopmerking">
    <w:name w:val="annotation reference"/>
    <w:basedOn w:val="Standaardalinea-lettertype"/>
    <w:uiPriority w:val="99"/>
    <w:rsid w:val="00D472DB"/>
    <w:rPr>
      <w:sz w:val="16"/>
      <w:szCs w:val="16"/>
    </w:rPr>
  </w:style>
  <w:style w:type="paragraph" w:styleId="Tekstopmerking">
    <w:name w:val="annotation text"/>
    <w:basedOn w:val="Standaard"/>
    <w:link w:val="Tekstopmerking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TekstopmerkingChar">
    <w:name w:val="Tekst opmerking Char"/>
    <w:basedOn w:val="Standaardalinea-lettertype"/>
    <w:link w:val="Tekstopmerking"/>
    <w:uiPriority w:val="99"/>
    <w:rsid w:val="00D472DB"/>
    <w:rPr>
      <w:rFonts w:ascii="Tahoma" w:eastAsia="Times New Roman" w:hAnsi="Tahoma" w:cs="Arial"/>
      <w:bCs/>
      <w:kern w:val="0"/>
      <w:sz w:val="20"/>
      <w:szCs w:val="20"/>
      <w:lang w:val="nl-NL" w:eastAsia="nl-NL"/>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D472DB"/>
    <w:rPr>
      <w:rFonts w:ascii="Calibri Light" w:hAnsi="Calibri Light"/>
      <w:color w:val="293647" w:themeColor="text1"/>
    </w:rPr>
  </w:style>
  <w:style w:type="paragraph" w:styleId="Onderwerpvanopmerking">
    <w:name w:val="annotation subject"/>
    <w:basedOn w:val="Tekstopmerking"/>
    <w:next w:val="Tekstopmerking"/>
    <w:link w:val="Onderwerpvanopmerking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OnderwerpvanopmerkingChar">
    <w:name w:val="Onderwerp van opmerking Char"/>
    <w:basedOn w:val="TekstopmerkingChar"/>
    <w:link w:val="Onderwerpvanopmerking"/>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Onopgelostemelding">
    <w:name w:val="Unresolved Mention"/>
    <w:basedOn w:val="Standaardalinea-lettertype"/>
    <w:uiPriority w:val="99"/>
    <w:semiHidden/>
    <w:unhideWhenUsed/>
    <w:rsid w:val="00F21076"/>
    <w:rPr>
      <w:color w:val="605E5C"/>
      <w:shd w:val="clear" w:color="auto" w:fill="E1DFDD"/>
    </w:rPr>
  </w:style>
  <w:style w:type="paragraph" w:styleId="Revisie">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GeenafstandChar">
    <w:name w:val="Geen afstand Char"/>
    <w:basedOn w:val="Standaardalinea-lettertype"/>
    <w:link w:val="Geenafstand"/>
    <w:uiPriority w:val="1"/>
    <w:rsid w:val="00540CE3"/>
    <w:rPr>
      <w:rFonts w:ascii="Calibri" w:eastAsia="Effra-Light" w:hAnsi="Calibri" w:cs="Effra-Light"/>
      <w:color w:val="293647" w:themeColor="text1"/>
      <w:kern w:val="0"/>
      <w:sz w:val="20"/>
      <w:szCs w:val="22"/>
      <w:lang w:val="nl-NL"/>
      <w14:ligatures w14:val="none"/>
    </w:rPr>
  </w:style>
  <w:style w:type="paragraph" w:styleId="Ballontekst">
    <w:name w:val="Balloon Text"/>
    <w:basedOn w:val="Standaard"/>
    <w:link w:val="BallontekstChar"/>
    <w:uiPriority w:val="99"/>
    <w:semiHidden/>
    <w:unhideWhenUsed/>
    <w:rsid w:val="00D2778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778C"/>
    <w:rPr>
      <w:rFonts w:ascii="Segoe UI" w:eastAsia="Effra-Light" w:hAnsi="Segoe UI" w:cs="Segoe UI"/>
      <w:color w:val="293647" w:themeColor="text1"/>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9" ma:contentTypeDescription="Een nieuw document maken." ma:contentTypeScope="" ma:versionID="db0da089e6507d8bbaf3ec1f115ac83f">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ce9b006dba708f9360ca230079118ad4"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2.xml><?xml version="1.0" encoding="utf-8"?>
<ds:datastoreItem xmlns:ds="http://schemas.openxmlformats.org/officeDocument/2006/customXml" ds:itemID="{4894AFE1-2427-41A7-B758-6FDB94CF9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customXml/itemProps4.xml><?xml version="1.0" encoding="utf-8"?>
<ds:datastoreItem xmlns:ds="http://schemas.openxmlformats.org/officeDocument/2006/customXml" ds:itemID="{F5AB8CD4-F5E2-4604-836E-0D6D0AA0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1189</Words>
  <Characters>6542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7716</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Mitchel Venmans</cp:lastModifiedBy>
  <cp:revision>28</cp:revision>
  <dcterms:created xsi:type="dcterms:W3CDTF">2026-04-21T08:27:00Z</dcterms:created>
  <dcterms:modified xsi:type="dcterms:W3CDTF">2026-05-29T11:12:00Z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