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93F" w:rsidP="00C4393F" w:rsidRDefault="00C4393F" w14:paraId="06F6C737" w14:textId="77777777">
      <w:pPr>
        <w:spacing w:line="276" w:lineRule="auto"/>
        <w:contextualSpacing/>
        <w:rPr>
          <w:b/>
          <w:bCs/>
          <w:sz w:val="24"/>
        </w:rPr>
      </w:pPr>
    </w:p>
    <w:p w:rsidRPr="006A130D" w:rsidR="00C4393F" w:rsidP="00C4393F" w:rsidRDefault="00C4393F" w14:paraId="6393FECC" w14:textId="468F6A88">
      <w:pPr>
        <w:spacing w:line="276" w:lineRule="auto"/>
        <w:contextualSpacing/>
        <w:rPr>
          <w:rStyle w:val="fontstyle01"/>
          <w:b/>
          <w:bCs/>
          <w:sz w:val="24"/>
        </w:rPr>
      </w:pPr>
      <w:r w:rsidRPr="006A130D">
        <w:rPr>
          <w:b/>
          <w:bCs/>
          <w:sz w:val="24"/>
        </w:rPr>
        <w:t>Klachtenregeling</w:t>
      </w:r>
    </w:p>
    <w:p w:rsidR="00C4393F" w:rsidP="00C4393F" w:rsidRDefault="00C4393F" w14:paraId="3FA2BED6" w14:textId="77777777">
      <w:pPr>
        <w:spacing w:line="276" w:lineRule="auto"/>
        <w:contextualSpacing/>
        <w:rPr>
          <w:rStyle w:val="fontstyle01"/>
          <w:b/>
          <w:bCs/>
        </w:rPr>
      </w:pPr>
    </w:p>
    <w:p w:rsidR="00C4393F" w:rsidP="00C4393F" w:rsidRDefault="00C4393F" w14:paraId="617FF2B4" w14:textId="77777777">
      <w:pPr>
        <w:spacing w:line="276" w:lineRule="auto"/>
        <w:contextualSpacing/>
        <w:rPr>
          <w:rStyle w:val="fontstyle01"/>
        </w:rPr>
      </w:pPr>
      <w:r>
        <w:rPr>
          <w:rStyle w:val="fontstyle01"/>
        </w:rPr>
        <w:t xml:space="preserve">Tijdens de aanbestedingsprocedure is het mogelijk een klacht in te dienen indien u het niet eens bent met (een onderdeel van) de aanbesteding of offertetraject, of wanneer u denkt dat een bepaald handelen of nalaten van de aanbestedende dienst in strijd is met wettelijke bepalingen of met andere voorschriften die voor de desbetreffende aanbesteding of offertetraject gelden. </w:t>
      </w:r>
    </w:p>
    <w:p w:rsidR="00C4393F" w:rsidP="00C4393F" w:rsidRDefault="00C4393F" w14:paraId="048ED0DD" w14:textId="77777777">
      <w:pPr>
        <w:spacing w:line="276" w:lineRule="auto"/>
        <w:contextualSpacing/>
        <w:rPr>
          <w:rStyle w:val="fontstyle01"/>
        </w:rPr>
      </w:pPr>
    </w:p>
    <w:p w:rsidR="00C4393F" w:rsidP="00C4393F" w:rsidRDefault="00C4393F" w14:paraId="75EF7038" w14:textId="0EFC046D">
      <w:pPr>
        <w:spacing w:line="276" w:lineRule="auto"/>
        <w:contextualSpacing/>
        <w:rPr>
          <w:rStyle w:val="fontstyle01"/>
        </w:rPr>
      </w:pPr>
      <w:r>
        <w:rPr>
          <w:rStyle w:val="fontstyle01"/>
        </w:rPr>
        <w:t>Klachten hebben betrekking op één of meer aspecten van een aanbesteding die binnen de werking</w:t>
      </w:r>
      <w:r w:rsidR="006F5989">
        <w:rPr>
          <w:rStyle w:val="fontstyle01"/>
        </w:rPr>
        <w:t xml:space="preserve"> </w:t>
      </w:r>
      <w:r>
        <w:rPr>
          <w:rStyle w:val="fontstyle01"/>
        </w:rPr>
        <w:t>van de Aanbestedingswet 2012 vallen. Klachten kunnen niet gaan over het inkoop en aanbestedingsbeleid in</w:t>
      </w:r>
      <w:r w:rsidRPr="006F5989">
        <w:rPr>
          <w:rStyle w:val="fontstyle01"/>
        </w:rPr>
        <w:t xml:space="preserve"> </w:t>
      </w:r>
      <w:r>
        <w:rPr>
          <w:rStyle w:val="fontstyle01"/>
        </w:rPr>
        <w:t>het algemeen van de aanbestedende dienst.</w:t>
      </w:r>
    </w:p>
    <w:p w:rsidR="00C4393F" w:rsidP="00C4393F" w:rsidRDefault="00C4393F" w14:paraId="7DB10E8C" w14:textId="77777777">
      <w:pPr>
        <w:spacing w:line="276" w:lineRule="auto"/>
        <w:contextualSpacing/>
        <w:rPr>
          <w:rStyle w:val="fontstyle01"/>
        </w:rPr>
      </w:pPr>
    </w:p>
    <w:p w:rsidRPr="006F5989" w:rsidR="00C4393F" w:rsidP="00C4393F" w:rsidRDefault="00C4393F" w14:paraId="0C881AF5" w14:textId="77777777">
      <w:pPr>
        <w:spacing w:line="276" w:lineRule="auto"/>
        <w:contextualSpacing/>
        <w:rPr>
          <w:rStyle w:val="fontstyle01"/>
        </w:rPr>
      </w:pPr>
      <w:r w:rsidRPr="006F5989">
        <w:rPr>
          <w:rStyle w:val="fontstyle01"/>
        </w:rPr>
        <w:t>Tot wanneer kan een klacht worden ingediend?</w:t>
      </w:r>
    </w:p>
    <w:p w:rsidRPr="006F5989" w:rsidR="00C4393F" w:rsidP="00C4393F" w:rsidRDefault="00C4393F" w14:paraId="5C7ED37D" w14:textId="14E9E8CA">
      <w:pPr>
        <w:spacing w:line="276" w:lineRule="auto"/>
        <w:contextualSpacing/>
        <w:rPr>
          <w:rStyle w:val="fontstyle01"/>
        </w:rPr>
      </w:pPr>
      <w:r w:rsidRPr="006F5989">
        <w:rPr>
          <w:rStyle w:val="fontstyle01"/>
        </w:rPr>
        <w:t xml:space="preserve">Van een adequaat handelende inschrijver mag worden verwacht dat hij zich proactief opstelt bij het naar voren brengen van bezwaren en klachten in het kader van de aanbesteding. U doet er daarom verstandig aan om uw klacht in een zo vroeg mogelijk stadium in te dienen. </w:t>
      </w:r>
      <w:r>
        <w:rPr>
          <w:rStyle w:val="fontstyle01"/>
        </w:rPr>
        <w:t>Als</w:t>
      </w:r>
      <w:r w:rsidR="006F5989">
        <w:rPr>
          <w:rStyle w:val="fontstyle01"/>
        </w:rPr>
        <w:t xml:space="preserve"> </w:t>
      </w:r>
      <w:r>
        <w:rPr>
          <w:rStyle w:val="fontstyle01"/>
        </w:rPr>
        <w:t>de klacht erg laat of te laat wordt ingediend, kan dit ertoe leiden dat de aanbestedende dienst de</w:t>
      </w:r>
      <w:r w:rsidR="006F5989">
        <w:rPr>
          <w:rStyle w:val="fontstyle01"/>
        </w:rPr>
        <w:t xml:space="preserve"> </w:t>
      </w:r>
      <w:r>
        <w:rPr>
          <w:rStyle w:val="fontstyle01"/>
        </w:rPr>
        <w:t>klacht niet meer in de lopende procedure kan verhelpen.</w:t>
      </w:r>
      <w:r w:rsidRPr="006F5989">
        <w:rPr>
          <w:rStyle w:val="fontstyle01"/>
        </w:rPr>
        <w:t xml:space="preserve"> </w:t>
      </w:r>
    </w:p>
    <w:p w:rsidR="00C4393F" w:rsidP="00C4393F" w:rsidRDefault="00C4393F" w14:paraId="08843BE1" w14:textId="77777777">
      <w:pPr>
        <w:spacing w:line="276" w:lineRule="auto"/>
        <w:contextualSpacing/>
        <w:rPr>
          <w:rStyle w:val="fontstyle01"/>
          <w:b/>
          <w:bCs/>
        </w:rPr>
      </w:pPr>
    </w:p>
    <w:p w:rsidRPr="00F031BB" w:rsidR="00C4393F" w:rsidP="00C4393F" w:rsidRDefault="00C4393F" w14:paraId="53F9D591" w14:textId="77777777">
      <w:pPr>
        <w:spacing w:line="276" w:lineRule="auto"/>
        <w:contextualSpacing/>
        <w:rPr>
          <w:rStyle w:val="fontstyle01"/>
          <w:b/>
          <w:bCs/>
        </w:rPr>
      </w:pPr>
      <w:r w:rsidRPr="00F031BB">
        <w:rPr>
          <w:rStyle w:val="fontstyle01"/>
          <w:b/>
          <w:bCs/>
        </w:rPr>
        <w:t>De klachtafhandeling</w:t>
      </w:r>
    </w:p>
    <w:p w:rsidR="00C4393F" w:rsidP="00C4393F" w:rsidRDefault="00C4393F" w14:paraId="328309AC" w14:textId="77777777">
      <w:pPr>
        <w:pStyle w:val="ListParagraph"/>
        <w:numPr>
          <w:ilvl w:val="0"/>
          <w:numId w:val="9"/>
        </w:numPr>
        <w:spacing w:line="276" w:lineRule="auto"/>
      </w:pPr>
      <w:r>
        <w:t xml:space="preserve">U dient uw klacht per e-mail in via </w:t>
      </w:r>
      <w:hyperlink w:history="1" r:id="rId10">
        <w:r w:rsidRPr="00DF6B0E">
          <w:rPr>
            <w:rStyle w:val="Hyperlink"/>
          </w:rPr>
          <w:t>klachtenaanbesteding@t-diel.nl</w:t>
        </w:r>
      </w:hyperlink>
      <w:r>
        <w:t xml:space="preserve">. </w:t>
      </w:r>
      <w:r>
        <w:rPr>
          <w:lang w:eastAsia="nl-NL"/>
        </w:rPr>
        <w:t xml:space="preserve"> </w:t>
      </w:r>
    </w:p>
    <w:p w:rsidR="00C4393F" w:rsidP="00C4393F" w:rsidRDefault="00C4393F" w14:paraId="6816D7D6" w14:textId="77777777">
      <w:pPr>
        <w:pStyle w:val="ListParagraph"/>
        <w:spacing w:line="276" w:lineRule="auto"/>
      </w:pPr>
      <w:r>
        <w:t xml:space="preserve">In deze e-mail maakt u duidelijk dat het over een klacht gaat. De klacht bevat verder: </w:t>
      </w:r>
    </w:p>
    <w:p w:rsidR="00C4393F" w:rsidP="00C4393F" w:rsidRDefault="00C4393F" w14:paraId="4F630A1A" w14:textId="77777777">
      <w:pPr>
        <w:pStyle w:val="ListParagraph"/>
        <w:numPr>
          <w:ilvl w:val="0"/>
          <w:numId w:val="8"/>
        </w:numPr>
        <w:spacing w:line="276" w:lineRule="auto"/>
      </w:pPr>
      <w:r>
        <w:t>de dagtekening;</w:t>
      </w:r>
    </w:p>
    <w:p w:rsidR="00C4393F" w:rsidP="00C4393F" w:rsidRDefault="00C4393F" w14:paraId="25876DB9" w14:textId="77777777">
      <w:pPr>
        <w:pStyle w:val="ListParagraph"/>
        <w:numPr>
          <w:ilvl w:val="0"/>
          <w:numId w:val="8"/>
        </w:numPr>
        <w:spacing w:line="276" w:lineRule="auto"/>
      </w:pPr>
      <w:r>
        <w:t>de naam en het adres van de klager;</w:t>
      </w:r>
    </w:p>
    <w:p w:rsidR="00C4393F" w:rsidP="00C4393F" w:rsidRDefault="00C4393F" w14:paraId="578929B9" w14:textId="77777777">
      <w:pPr>
        <w:pStyle w:val="ListParagraph"/>
        <w:numPr>
          <w:ilvl w:val="0"/>
          <w:numId w:val="8"/>
        </w:numPr>
        <w:spacing w:line="276" w:lineRule="auto"/>
      </w:pPr>
      <w:r>
        <w:t>de naam en adresgegevens (waaronder e-mail) van contactpersoon bij klager;</w:t>
      </w:r>
    </w:p>
    <w:p w:rsidR="00C4393F" w:rsidP="00C4393F" w:rsidRDefault="00C4393F" w14:paraId="44127E0A" w14:textId="77777777">
      <w:pPr>
        <w:pStyle w:val="ListParagraph"/>
        <w:numPr>
          <w:ilvl w:val="0"/>
          <w:numId w:val="8"/>
        </w:numPr>
        <w:spacing w:line="276" w:lineRule="auto"/>
      </w:pPr>
      <w:r>
        <w:t>de naam en adresgegevens (waaronder e-mail) van contactpersoon bij Aanbestedende dienst voor de aanbesteding waarop de klacht betrekking heeft;</w:t>
      </w:r>
    </w:p>
    <w:p w:rsidR="00C4393F" w:rsidP="00C4393F" w:rsidRDefault="00C4393F" w14:paraId="147A2BB0" w14:textId="77777777">
      <w:pPr>
        <w:pStyle w:val="ListParagraph"/>
        <w:numPr>
          <w:ilvl w:val="0"/>
          <w:numId w:val="8"/>
        </w:numPr>
        <w:spacing w:line="276" w:lineRule="auto"/>
      </w:pPr>
      <w:r>
        <w:t>de titel en het kenmerk van de aanbesteding of offertetraject;</w:t>
      </w:r>
    </w:p>
    <w:p w:rsidR="00C4393F" w:rsidP="00C4393F" w:rsidRDefault="00C4393F" w14:paraId="2DEAC18D" w14:textId="77777777">
      <w:pPr>
        <w:pStyle w:val="ListParagraph"/>
        <w:numPr>
          <w:ilvl w:val="0"/>
          <w:numId w:val="8"/>
        </w:numPr>
        <w:spacing w:line="276" w:lineRule="auto"/>
      </w:pPr>
      <w:r>
        <w:t>een gemotiveerde omschrijving van de klacht;</w:t>
      </w:r>
    </w:p>
    <w:p w:rsidR="00C4393F" w:rsidP="00C4393F" w:rsidRDefault="00C4393F" w14:paraId="2210040F" w14:textId="77777777">
      <w:pPr>
        <w:pStyle w:val="ListParagraph"/>
        <w:numPr>
          <w:ilvl w:val="0"/>
          <w:numId w:val="8"/>
        </w:numPr>
        <w:spacing w:line="276" w:lineRule="auto"/>
        <w:contextualSpacing w:val="0"/>
      </w:pPr>
      <w:r>
        <w:t>een omschrijving van de wijze waarop de klacht verholpen kan worden.</w:t>
      </w:r>
    </w:p>
    <w:p w:rsidRPr="006A130D" w:rsidR="00C4393F" w:rsidP="00C4393F" w:rsidRDefault="00C4393F" w14:paraId="5B787203" w14:textId="77777777">
      <w:pPr>
        <w:pStyle w:val="ListParagraph"/>
        <w:numPr>
          <w:ilvl w:val="0"/>
          <w:numId w:val="9"/>
        </w:numPr>
        <w:spacing w:line="276" w:lineRule="auto"/>
        <w:ind w:left="714" w:hanging="357"/>
        <w:contextualSpacing w:val="0"/>
        <w:rPr>
          <w:color w:val="000000"/>
          <w:szCs w:val="18"/>
        </w:rPr>
      </w:pPr>
      <w:r w:rsidRPr="00F031BB">
        <w:rPr>
          <w:color w:val="000000"/>
          <w:szCs w:val="18"/>
        </w:rPr>
        <w:t>Het klachtenmeldpunt bevestigt per omgaande de ontvangst van de klacht</w:t>
      </w:r>
      <w:r>
        <w:rPr>
          <w:color w:val="000000"/>
          <w:szCs w:val="18"/>
        </w:rPr>
        <w:t>.</w:t>
      </w:r>
    </w:p>
    <w:p w:rsidRPr="006A130D" w:rsidR="00C4393F" w:rsidP="00C4393F" w:rsidRDefault="00C4393F" w14:paraId="36BAD0A1" w14:textId="77777777">
      <w:pPr>
        <w:pStyle w:val="ListParagraph"/>
        <w:numPr>
          <w:ilvl w:val="0"/>
          <w:numId w:val="9"/>
        </w:numPr>
        <w:spacing w:line="276" w:lineRule="auto"/>
        <w:contextualSpacing w:val="0"/>
        <w:rPr>
          <w:color w:val="000000"/>
          <w:szCs w:val="18"/>
        </w:rPr>
      </w:pPr>
      <w:r>
        <w:rPr>
          <w:color w:val="000000"/>
          <w:szCs w:val="18"/>
        </w:rPr>
        <w:t xml:space="preserve">Het </w:t>
      </w:r>
      <w:r w:rsidRPr="00F031BB">
        <w:rPr>
          <w:color w:val="000000"/>
          <w:szCs w:val="18"/>
        </w:rPr>
        <w:t>klachtenmeldpunt</w:t>
      </w:r>
      <w:r>
        <w:rPr>
          <w:color w:val="000000"/>
          <w:szCs w:val="18"/>
        </w:rPr>
        <w:t xml:space="preserve"> onderzoekt vervolgens,</w:t>
      </w:r>
      <w:r w:rsidRPr="00F031BB">
        <w:rPr>
          <w:color w:val="000000"/>
          <w:szCs w:val="18"/>
        </w:rPr>
        <w:t xml:space="preserve"> eventueel aan de hand van de door </w:t>
      </w:r>
      <w:r>
        <w:rPr>
          <w:color w:val="000000"/>
          <w:szCs w:val="18"/>
        </w:rPr>
        <w:t xml:space="preserve">u </w:t>
      </w:r>
      <w:r w:rsidRPr="00F031BB">
        <w:rPr>
          <w:color w:val="000000"/>
          <w:szCs w:val="18"/>
        </w:rPr>
        <w:t>en de aanbestedende dienst aanvullend verstrekte gegevens, of de klacht</w:t>
      </w:r>
      <w:r>
        <w:rPr>
          <w:color w:val="000000"/>
          <w:szCs w:val="18"/>
        </w:rPr>
        <w:t xml:space="preserve"> terecht </w:t>
      </w:r>
      <w:r w:rsidRPr="00F031BB">
        <w:rPr>
          <w:color w:val="000000"/>
          <w:szCs w:val="18"/>
        </w:rPr>
        <w:t>is. Het</w:t>
      </w:r>
      <w:r w:rsidRPr="00F031BB">
        <w:rPr>
          <w:color w:val="000000"/>
          <w:szCs w:val="18"/>
        </w:rPr>
        <w:br/>
      </w:r>
      <w:r w:rsidRPr="00F031BB">
        <w:rPr>
          <w:color w:val="000000"/>
          <w:szCs w:val="18"/>
        </w:rPr>
        <w:t>klachtenmeldpunt begint zo spoedig mogelijk met dit onderzoek, zet dit voortvarend voort en</w:t>
      </w:r>
      <w:r>
        <w:rPr>
          <w:color w:val="000000"/>
          <w:szCs w:val="18"/>
        </w:rPr>
        <w:t xml:space="preserve"> </w:t>
      </w:r>
      <w:r w:rsidRPr="00F031BB">
        <w:rPr>
          <w:color w:val="000000"/>
          <w:szCs w:val="18"/>
        </w:rPr>
        <w:t xml:space="preserve">houdt daarbij rekening met de planning van de aanbestedingsprocedure. </w:t>
      </w:r>
    </w:p>
    <w:p w:rsidRPr="006A130D" w:rsidR="00C4393F" w:rsidP="00C4393F" w:rsidRDefault="00C4393F" w14:paraId="37E28DC6" w14:textId="77777777">
      <w:pPr>
        <w:pStyle w:val="ListParagraph"/>
        <w:numPr>
          <w:ilvl w:val="0"/>
          <w:numId w:val="9"/>
        </w:numPr>
        <w:spacing w:line="276" w:lineRule="auto"/>
        <w:contextualSpacing w:val="0"/>
        <w:rPr>
          <w:color w:val="000000"/>
          <w:szCs w:val="18"/>
        </w:rPr>
      </w:pPr>
      <w:r>
        <w:rPr>
          <w:color w:val="000000"/>
          <w:szCs w:val="18"/>
        </w:rPr>
        <w:t>Het klachtenmeldpunt brengt na het onderzoek van de klacht aan de aanbestedende dienst advies uit. In het advies wordt gemotiveerd aangegeven of het klachtenmeldpunt de klacht terecht acht. Het is vervolgens aan de aanbestedende dienst om –</w:t>
      </w:r>
      <w:r w:rsidRPr="005A2657">
        <w:rPr>
          <w:color w:val="000000"/>
          <w:szCs w:val="18"/>
        </w:rPr>
        <w:t xml:space="preserve"> met inachtneming van het advies van het klachtenmeldpunt </w:t>
      </w:r>
      <w:r>
        <w:rPr>
          <w:color w:val="000000"/>
          <w:szCs w:val="18"/>
        </w:rPr>
        <w:t>–</w:t>
      </w:r>
      <w:r w:rsidRPr="005A2657">
        <w:rPr>
          <w:color w:val="000000"/>
          <w:szCs w:val="18"/>
        </w:rPr>
        <w:t xml:space="preserve"> over de klacht te beslissen.</w:t>
      </w:r>
    </w:p>
    <w:p w:rsidRPr="006A130D" w:rsidR="00C4393F" w:rsidP="00C4393F" w:rsidRDefault="00C4393F" w14:paraId="0965C43E" w14:textId="77777777">
      <w:pPr>
        <w:pStyle w:val="ListParagraph"/>
        <w:numPr>
          <w:ilvl w:val="0"/>
          <w:numId w:val="9"/>
        </w:numPr>
        <w:spacing w:line="276" w:lineRule="auto"/>
        <w:contextualSpacing w:val="0"/>
        <w:rPr>
          <w:color w:val="000000"/>
          <w:szCs w:val="18"/>
        </w:rPr>
      </w:pPr>
      <w:r>
        <w:rPr>
          <w:color w:val="000000"/>
          <w:szCs w:val="18"/>
        </w:rPr>
        <w:t>Wanneer de aanbestedende dienst naar aanleiding van dit advies tot de conclusie komt dat de klacht terecht of gedeeltelijk terecht is en corrigerende en/of preventieve maatregelen treft, dan deelt hij dit zo spoedig mogelijk schriftelijk mee aan u en de andere (potentiële) inschrijvers/ gegadigden.</w:t>
      </w:r>
    </w:p>
    <w:p w:rsidRPr="006A130D" w:rsidR="00C4393F" w:rsidP="00C4393F" w:rsidRDefault="00C4393F" w14:paraId="202633CD" w14:textId="77777777">
      <w:pPr>
        <w:pStyle w:val="ListParagraph"/>
        <w:numPr>
          <w:ilvl w:val="0"/>
          <w:numId w:val="9"/>
        </w:numPr>
        <w:spacing w:line="276" w:lineRule="auto"/>
        <w:contextualSpacing w:val="0"/>
        <w:rPr>
          <w:color w:val="000000"/>
          <w:szCs w:val="18"/>
        </w:rPr>
      </w:pPr>
      <w:r w:rsidRPr="006A130D">
        <w:rPr>
          <w:color w:val="000000"/>
          <w:szCs w:val="18"/>
        </w:rPr>
        <w:t>Wanneer de aanbestedende dienst na het onderzoek tot de conclusie komt dat de klacht niet</w:t>
      </w:r>
      <w:r>
        <w:rPr>
          <w:color w:val="000000"/>
          <w:szCs w:val="18"/>
        </w:rPr>
        <w:t xml:space="preserve"> </w:t>
      </w:r>
      <w:r w:rsidRPr="006A130D">
        <w:rPr>
          <w:color w:val="000000"/>
          <w:szCs w:val="18"/>
        </w:rPr>
        <w:t>terecht is, dan wijst hij de klacht gemotiveerd af en wordt u daarover per e-mail bericht.</w:t>
      </w:r>
    </w:p>
    <w:p w:rsidRPr="006A130D" w:rsidR="00C4393F" w:rsidP="00C4393F" w:rsidRDefault="00C4393F" w14:paraId="749DF891" w14:textId="77777777">
      <w:pPr>
        <w:pStyle w:val="ListParagraph"/>
        <w:numPr>
          <w:ilvl w:val="0"/>
          <w:numId w:val="9"/>
        </w:numPr>
        <w:spacing w:line="276" w:lineRule="auto"/>
        <w:contextualSpacing w:val="0"/>
        <w:rPr>
          <w:color w:val="000000"/>
          <w:szCs w:val="18"/>
        </w:rPr>
      </w:pPr>
      <w:r w:rsidRPr="006A130D">
        <w:rPr>
          <w:color w:val="000000"/>
          <w:szCs w:val="18"/>
        </w:rPr>
        <w:t xml:space="preserve">Als de </w:t>
      </w:r>
      <w:r>
        <w:rPr>
          <w:color w:val="000000"/>
          <w:szCs w:val="18"/>
        </w:rPr>
        <w:t>a</w:t>
      </w:r>
      <w:r w:rsidRPr="006A130D">
        <w:rPr>
          <w:color w:val="000000"/>
          <w:szCs w:val="18"/>
        </w:rPr>
        <w:t>anbestedende dienst u heeft laten weten hoe hij de klacht behandelt, en u bent het daar niet mee eens, of als de Aanbestedende dienst nalaat om binnen een redelijke termijn op de klacht te reageren, dan kunt u de klacht voorleggen aan de Commissie van Aanbestedingsexperts</w:t>
      </w:r>
      <w:r>
        <w:rPr>
          <w:color w:val="000000"/>
          <w:szCs w:val="18"/>
        </w:rPr>
        <w:t>.</w:t>
      </w:r>
    </w:p>
    <w:p w:rsidRPr="00C4393F" w:rsidR="00242354" w:rsidP="00C4393F" w:rsidRDefault="00242354" w14:paraId="2192EE6A" w14:textId="77777777"/>
    <w:sectPr w:rsidRPr="00C4393F" w:rsidR="00242354" w:rsidSect="004C2D9A">
      <w:headerReference w:type="first" r:id="rId11"/>
      <w:footerReference w:type="first" r:id="rId12"/>
      <w:pgSz w:w="11907" w:h="16839" w:orient="portrait" w:code="9"/>
      <w:pgMar w:top="2268" w:right="1701" w:bottom="1134" w:left="1701" w:header="1418" w:footer="1418" w:gutter="0"/>
      <w:pgNumType w:start="1"/>
      <w:cols w:space="708"/>
      <w:noEndnote/>
      <w:titlePg/>
      <w:docGrid w:linePitch="299"/>
      <w:headerReference w:type="default" r:id="Rd1ae3230e1b84bf4"/>
      <w:footerReference w:type="default" r:id="R53984424ef864a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73D" w:rsidRDefault="00F8173D" w14:paraId="133E0CB2" w14:textId="77777777">
      <w:r>
        <w:separator/>
      </w:r>
    </w:p>
  </w:endnote>
  <w:endnote w:type="continuationSeparator" w:id="0">
    <w:p w:rsidR="00F8173D" w:rsidRDefault="00F8173D" w14:paraId="2E590C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jaya">
    <w:charset w:val="00"/>
    <w:family w:val="roman"/>
    <w:pitch w:val="variable"/>
    <w:sig w:usb0="00100003" w:usb1="00000000" w:usb2="0000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710" w:tblpY="16075"/>
      <w:tblW w:w="0" w:type="auto"/>
      <w:tblCellMar>
        <w:left w:w="0" w:type="dxa"/>
        <w:right w:w="0" w:type="dxa"/>
      </w:tblCellMar>
      <w:tblLook w:val="04A0" w:firstRow="1" w:lastRow="0" w:firstColumn="1" w:lastColumn="0" w:noHBand="0" w:noVBand="1"/>
    </w:tblPr>
    <w:tblGrid>
      <w:gridCol w:w="7938"/>
    </w:tblGrid>
    <w:tr w:rsidRPr="004D4878" w:rsidR="00016DE3" w:rsidTr="009D34A2" w14:paraId="6B89EFB3" w14:textId="77777777">
      <w:tc>
        <w:tcPr>
          <w:tcW w:w="7938" w:type="dxa"/>
        </w:tcPr>
        <w:p w:rsidRPr="004D4878" w:rsidR="00016DE3" w:rsidP="00F363D7" w:rsidRDefault="00E14368" w14:paraId="718DE4A8" w14:textId="77777777">
          <w:pPr>
            <w:jc w:val="both"/>
            <w:rPr>
              <w:rFonts w:cs="Arial"/>
              <w:color w:val="2E2B72"/>
              <w:sz w:val="16"/>
              <w:szCs w:val="15"/>
            </w:rPr>
          </w:pPr>
          <w:r w:rsidRPr="0058732E">
            <w:rPr>
              <w:rFonts w:cs="Arial"/>
              <w:color w:val="2E2B72"/>
              <w:sz w:val="15"/>
              <w:szCs w:val="15"/>
            </w:rPr>
            <w:t>Postbus 3</w:t>
          </w:r>
          <w:r w:rsidRPr="0058732E">
            <w:rPr>
              <w:rFonts w:cs="Arial"/>
              <w:b/>
              <w:color w:val="79AF3F"/>
              <w:sz w:val="16"/>
              <w:szCs w:val="16"/>
            </w:rPr>
            <w:t xml:space="preserve"> </w:t>
          </w:r>
          <w:r w:rsidRPr="009D34A2">
            <w:rPr>
              <w:rFonts w:cs="Arial"/>
              <w:b/>
              <w:color w:val="79AF3F"/>
              <w:sz w:val="16"/>
              <w:szCs w:val="16"/>
            </w:rPr>
            <w:t>|</w:t>
          </w:r>
          <w:r w:rsidRPr="009D34A2">
            <w:rPr>
              <w:rFonts w:cs="Arial"/>
              <w:b/>
              <w:color w:val="2E2B72"/>
              <w:sz w:val="16"/>
              <w:szCs w:val="16"/>
            </w:rPr>
            <w:t xml:space="preserve"> </w:t>
          </w:r>
          <w:r w:rsidRPr="009D34A2">
            <w:rPr>
              <w:rFonts w:cs="Arial"/>
              <w:color w:val="2E2B72"/>
              <w:sz w:val="15"/>
              <w:szCs w:val="15"/>
            </w:rPr>
            <w:t>9250 AA Burgum</w:t>
          </w:r>
          <w:r w:rsidRPr="009D34A2">
            <w:rPr>
              <w:rFonts w:cs="Arial"/>
              <w:b/>
              <w:color w:val="2E2B72"/>
              <w:sz w:val="16"/>
              <w:szCs w:val="16"/>
            </w:rPr>
            <w:t xml:space="preserve"> </w:t>
          </w:r>
          <w:r w:rsidRPr="009D34A2">
            <w:rPr>
              <w:rFonts w:cs="Arial"/>
              <w:b/>
              <w:color w:val="79AF3F"/>
              <w:sz w:val="16"/>
              <w:szCs w:val="16"/>
            </w:rPr>
            <w:t>|</w:t>
          </w:r>
          <w:r w:rsidRPr="009D34A2">
            <w:rPr>
              <w:rFonts w:cs="Arial"/>
              <w:b/>
              <w:color w:val="2E2B72"/>
              <w:sz w:val="16"/>
              <w:szCs w:val="16"/>
            </w:rPr>
            <w:t xml:space="preserve"> </w:t>
          </w:r>
          <w:r w:rsidRPr="0058732E">
            <w:rPr>
              <w:rFonts w:cs="Arial"/>
              <w:color w:val="2E2B72"/>
              <w:sz w:val="15"/>
              <w:szCs w:val="15"/>
            </w:rPr>
            <w:t>Raadhuisweg 7</w:t>
          </w:r>
          <w:r w:rsidRPr="009D34A2">
            <w:rPr>
              <w:rFonts w:cs="Arial"/>
              <w:b/>
              <w:color w:val="79AF3F"/>
              <w:sz w:val="16"/>
              <w:szCs w:val="16"/>
            </w:rPr>
            <w:t xml:space="preserve"> | </w:t>
          </w:r>
          <w:r w:rsidRPr="009D34A2">
            <w:rPr>
              <w:rFonts w:cs="Arial"/>
              <w:color w:val="79AF3F"/>
              <w:sz w:val="15"/>
              <w:szCs w:val="15"/>
            </w:rPr>
            <w:t xml:space="preserve">tel </w:t>
          </w:r>
          <w:r w:rsidRPr="009D34A2">
            <w:rPr>
              <w:rFonts w:cs="Arial"/>
              <w:color w:val="2E2B72"/>
              <w:sz w:val="15"/>
              <w:szCs w:val="15"/>
            </w:rPr>
            <w:t>14 0511</w:t>
          </w:r>
          <w:r w:rsidRPr="009D34A2">
            <w:rPr>
              <w:rFonts w:cs="Arial"/>
              <w:b/>
              <w:color w:val="2E2B72"/>
              <w:sz w:val="16"/>
              <w:szCs w:val="16"/>
            </w:rPr>
            <w:t xml:space="preserve"> </w:t>
          </w:r>
          <w:r w:rsidRPr="009D34A2">
            <w:rPr>
              <w:rFonts w:cs="Arial"/>
              <w:b/>
              <w:color w:val="79AF3F"/>
              <w:sz w:val="16"/>
              <w:szCs w:val="16"/>
            </w:rPr>
            <w:t xml:space="preserve">| </w:t>
          </w:r>
          <w:r w:rsidRPr="009D34A2">
            <w:rPr>
              <w:rFonts w:cs="Arial"/>
              <w:color w:val="79AF3F"/>
              <w:sz w:val="15"/>
              <w:szCs w:val="15"/>
            </w:rPr>
            <w:t>fax</w:t>
          </w:r>
          <w:r w:rsidRPr="009D34A2">
            <w:rPr>
              <w:rFonts w:cs="Arial"/>
              <w:color w:val="2E2B72"/>
              <w:sz w:val="15"/>
              <w:szCs w:val="15"/>
            </w:rPr>
            <w:t xml:space="preserve"> 0511 460 861</w:t>
          </w:r>
          <w:r w:rsidRPr="009D34A2">
            <w:rPr>
              <w:rFonts w:cs="Arial"/>
              <w:color w:val="2E2B72"/>
              <w:sz w:val="16"/>
              <w:szCs w:val="16"/>
            </w:rPr>
            <w:t xml:space="preserve"> </w:t>
          </w:r>
          <w:r w:rsidRPr="009D34A2">
            <w:rPr>
              <w:rFonts w:cs="Arial"/>
              <w:b/>
              <w:color w:val="79AF3F"/>
              <w:sz w:val="16"/>
              <w:szCs w:val="16"/>
            </w:rPr>
            <w:t>|</w:t>
          </w:r>
          <w:r w:rsidRPr="009D34A2">
            <w:rPr>
              <w:rFonts w:cs="Arial"/>
              <w:color w:val="2E2B72"/>
              <w:sz w:val="16"/>
              <w:szCs w:val="16"/>
            </w:rPr>
            <w:t xml:space="preserve"> </w:t>
          </w:r>
          <w:r w:rsidRPr="009D34A2">
            <w:rPr>
              <w:rFonts w:cs="Arial"/>
              <w:color w:val="2E2B72"/>
              <w:sz w:val="15"/>
              <w:szCs w:val="15"/>
            </w:rPr>
            <w:t>gemeente@t-diel.nl</w:t>
          </w:r>
          <w:r w:rsidRPr="009D34A2">
            <w:rPr>
              <w:rFonts w:cs="Arial"/>
              <w:b/>
              <w:color w:val="2E2B72"/>
              <w:sz w:val="16"/>
              <w:szCs w:val="16"/>
            </w:rPr>
            <w:t xml:space="preserve"> </w:t>
          </w:r>
          <w:r w:rsidRPr="009D34A2">
            <w:rPr>
              <w:rFonts w:cs="Arial"/>
              <w:b/>
              <w:color w:val="79AF3F"/>
              <w:sz w:val="16"/>
              <w:szCs w:val="16"/>
            </w:rPr>
            <w:t>|</w:t>
          </w:r>
          <w:r w:rsidRPr="009D34A2">
            <w:rPr>
              <w:rFonts w:cs="Arial"/>
              <w:b/>
              <w:color w:val="2E2B72"/>
              <w:sz w:val="16"/>
              <w:szCs w:val="16"/>
            </w:rPr>
            <w:t xml:space="preserve"> </w:t>
          </w:r>
          <w:r w:rsidRPr="009D34A2">
            <w:rPr>
              <w:rFonts w:cs="Arial"/>
              <w:color w:val="2E2B72"/>
              <w:sz w:val="15"/>
              <w:szCs w:val="15"/>
            </w:rPr>
            <w:t>www.t-diel.nl</w:t>
          </w:r>
        </w:p>
      </w:tc>
    </w:tr>
  </w:tbl>
  <w:p w:rsidR="00657F7C" w:rsidRDefault="00657F7C" w14:paraId="25BD8ACF"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35"/>
      <w:gridCol w:w="2835"/>
      <w:gridCol w:w="2835"/>
    </w:tblGrid>
    <w:tr w:rsidR="05645641" w:rsidTr="05645641" w14:paraId="61867A04">
      <w:trPr>
        <w:trHeight w:val="300"/>
      </w:trPr>
      <w:tc>
        <w:tcPr>
          <w:tcW w:w="2835" w:type="dxa"/>
          <w:tcMar/>
        </w:tcPr>
        <w:p w:rsidR="05645641" w:rsidP="05645641" w:rsidRDefault="05645641" w14:paraId="76CFE5C4" w14:textId="369FE344">
          <w:pPr>
            <w:pStyle w:val="Header"/>
            <w:bidi w:val="0"/>
            <w:ind w:left="-115"/>
            <w:jc w:val="left"/>
          </w:pPr>
        </w:p>
      </w:tc>
      <w:tc>
        <w:tcPr>
          <w:tcW w:w="2835" w:type="dxa"/>
          <w:tcMar/>
        </w:tcPr>
        <w:p w:rsidR="05645641" w:rsidP="05645641" w:rsidRDefault="05645641" w14:paraId="25C9611E" w14:textId="013A1773">
          <w:pPr>
            <w:pStyle w:val="Header"/>
            <w:bidi w:val="0"/>
            <w:jc w:val="center"/>
          </w:pPr>
        </w:p>
      </w:tc>
      <w:tc>
        <w:tcPr>
          <w:tcW w:w="2835" w:type="dxa"/>
          <w:tcMar/>
        </w:tcPr>
        <w:p w:rsidR="05645641" w:rsidP="05645641" w:rsidRDefault="05645641" w14:paraId="0345CA8D" w14:textId="0E188693">
          <w:pPr>
            <w:pStyle w:val="Header"/>
            <w:bidi w:val="0"/>
            <w:ind w:right="-115"/>
            <w:jc w:val="right"/>
          </w:pPr>
        </w:p>
      </w:tc>
    </w:tr>
  </w:tbl>
  <w:p w:rsidR="05645641" w:rsidP="05645641" w:rsidRDefault="05645641" w14:paraId="50E987D1" w14:textId="6DE16F1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73D" w:rsidRDefault="00F8173D" w14:paraId="40707338" w14:textId="77777777">
      <w:r>
        <w:separator/>
      </w:r>
    </w:p>
  </w:footnote>
  <w:footnote w:type="continuationSeparator" w:id="0">
    <w:p w:rsidR="00F8173D" w:rsidRDefault="00F8173D" w14:paraId="024218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vertAnchor="page" w:horzAnchor="page" w:tblpX="10944" w:tblpY="2581"/>
      <w:tblOverlap w:val="never"/>
      <w:tblW w:w="0" w:type="auto"/>
      <w:tblCellMar>
        <w:left w:w="28" w:type="dxa"/>
        <w:right w:w="28" w:type="dxa"/>
      </w:tblCellMar>
      <w:tblLook w:val="04A0" w:firstRow="1" w:lastRow="0" w:firstColumn="1" w:lastColumn="0" w:noHBand="0" w:noVBand="1"/>
    </w:tblPr>
    <w:tblGrid>
      <w:gridCol w:w="338"/>
    </w:tblGrid>
    <w:tr w:rsidRPr="00F363D7" w:rsidR="00F363D7" w:rsidTr="006A211B" w14:paraId="5F2E5A89" w14:textId="77777777">
      <w:trPr>
        <w:cantSplit/>
        <w:trHeight w:val="113"/>
      </w:trPr>
      <w:tc>
        <w:tcPr>
          <w:tcW w:w="0" w:type="auto"/>
          <w:noWrap/>
          <w:textDirection w:val="tbRl"/>
          <w:vAlign w:val="bottom"/>
        </w:tcPr>
        <w:p w:rsidRPr="00F363D7" w:rsidR="00F363D7" w:rsidP="006A211B" w:rsidRDefault="00F363D7" w14:paraId="236B1C6E" w14:textId="77777777">
          <w:pPr>
            <w:keepLines/>
            <w:tabs>
              <w:tab w:val="center" w:pos="4536"/>
              <w:tab w:val="right" w:pos="9072"/>
            </w:tabs>
            <w:rPr>
              <w:rFonts w:ascii="Calibri Light" w:hAnsi="Calibri Light" w:eastAsia="Calibri" w:cs="Vijaya"/>
              <w:i/>
              <w:iCs/>
              <w:color w:val="ADAEDE"/>
              <w:szCs w:val="22"/>
              <w:lang w:eastAsia="en-US"/>
            </w:rPr>
          </w:pPr>
          <w:r w:rsidRPr="00F363D7">
            <w:rPr>
              <w:rFonts w:ascii="Calibri Light" w:hAnsi="Calibri Light" w:eastAsia="Calibri" w:cs="Vijaya"/>
              <w:i/>
              <w:iCs/>
              <w:color w:val="ADAEDE"/>
              <w:szCs w:val="22"/>
              <w:lang w:eastAsia="en-US"/>
            </w:rPr>
            <w:t>“</w:t>
          </w:r>
        </w:p>
      </w:tc>
    </w:tr>
    <w:tr w:rsidRPr="00F363D7" w:rsidR="00F363D7" w:rsidTr="006A211B" w14:paraId="07FF1121" w14:textId="77777777">
      <w:trPr>
        <w:cantSplit/>
        <w:trHeight w:val="12474"/>
      </w:trPr>
      <w:tc>
        <w:tcPr>
          <w:tcW w:w="0" w:type="auto"/>
          <w:noWrap/>
          <w:textDirection w:val="tbRl"/>
          <w:vAlign w:val="bottom"/>
        </w:tcPr>
        <w:p w:rsidRPr="00F363D7" w:rsidR="00F363D7" w:rsidP="006A211B" w:rsidRDefault="00F363D7" w14:paraId="10542AEA" w14:textId="77777777">
          <w:pPr>
            <w:keepLines/>
            <w:tabs>
              <w:tab w:val="center" w:pos="4536"/>
              <w:tab w:val="right" w:pos="9072"/>
            </w:tabs>
            <w:rPr>
              <w:rFonts w:ascii="Calibri Light" w:hAnsi="Calibri Light" w:eastAsia="Calibri" w:cs="Vijaya"/>
              <w:i/>
              <w:iCs/>
              <w:color w:val="ADAEDE"/>
              <w:szCs w:val="22"/>
              <w:lang w:eastAsia="en-US"/>
            </w:rPr>
          </w:pPr>
          <w:r w:rsidRPr="00F363D7">
            <w:rPr>
              <w:rFonts w:ascii="Calibri Light" w:hAnsi="Calibri Light" w:eastAsia="Calibri" w:cs="Vijaya"/>
              <w:i/>
              <w:iCs/>
              <w:color w:val="ADAEDE"/>
              <w:szCs w:val="22"/>
              <w:lang w:eastAsia="en-US"/>
            </w:rPr>
            <w:t>Mei niget eagje ik it lânskip oer: dit is it gea fan fearten, puollen, reiden, fan bûnt strewelleguod en wâldske greiden; hjir is gjin nee te keap yn</w:t>
          </w:r>
        </w:p>
      </w:tc>
    </w:tr>
    <w:tr w:rsidRPr="00F363D7" w:rsidR="00F363D7" w:rsidTr="006A211B" w14:paraId="526CECB5" w14:textId="77777777">
      <w:trPr>
        <w:cantSplit/>
        <w:trHeight w:val="80"/>
      </w:trPr>
      <w:tc>
        <w:tcPr>
          <w:tcW w:w="0" w:type="auto"/>
          <w:noWrap/>
          <w:textDirection w:val="tbRl"/>
          <w:vAlign w:val="bottom"/>
        </w:tcPr>
        <w:p w:rsidRPr="00F363D7" w:rsidR="00F363D7" w:rsidP="006A211B" w:rsidRDefault="00F363D7" w14:paraId="5F40C25A" w14:textId="77777777">
          <w:pPr>
            <w:keepLines/>
            <w:tabs>
              <w:tab w:val="center" w:pos="4536"/>
              <w:tab w:val="right" w:pos="9072"/>
            </w:tabs>
            <w:rPr>
              <w:rFonts w:ascii="Calibri Light" w:hAnsi="Calibri Light" w:eastAsia="Calibri" w:cs="Vijaya"/>
              <w:i/>
              <w:iCs/>
              <w:color w:val="ADAEDE"/>
              <w:szCs w:val="22"/>
              <w:lang w:eastAsia="en-US"/>
            </w:rPr>
          </w:pPr>
          <w:r w:rsidRPr="00F363D7">
            <w:rPr>
              <w:rFonts w:ascii="Calibri Light" w:hAnsi="Calibri Light" w:eastAsia="Calibri" w:cs="Vijaya"/>
              <w:i/>
              <w:iCs/>
              <w:color w:val="ADAEDE"/>
              <w:szCs w:val="22"/>
              <w:lang w:eastAsia="en-US"/>
            </w:rPr>
            <w:t>‘</w:t>
          </w:r>
        </w:p>
      </w:tc>
    </w:tr>
    <w:tr w:rsidRPr="00F363D7" w:rsidR="00F363D7" w:rsidTr="006A211B" w14:paraId="1DDBF455" w14:textId="77777777">
      <w:trPr>
        <w:cantSplit/>
        <w:trHeight w:val="964"/>
      </w:trPr>
      <w:tc>
        <w:tcPr>
          <w:tcW w:w="0" w:type="auto"/>
          <w:noWrap/>
          <w:textDirection w:val="tbRl"/>
          <w:vAlign w:val="bottom"/>
        </w:tcPr>
        <w:p w:rsidRPr="00F363D7" w:rsidR="00F363D7" w:rsidP="006A211B" w:rsidRDefault="00F363D7" w14:paraId="37C1B8D1" w14:textId="77777777">
          <w:pPr>
            <w:keepLines/>
            <w:tabs>
              <w:tab w:val="center" w:pos="4536"/>
              <w:tab w:val="right" w:pos="9072"/>
            </w:tabs>
            <w:rPr>
              <w:rFonts w:ascii="Calibri Light" w:hAnsi="Calibri Light" w:eastAsia="Calibri" w:cs="Vijaya"/>
              <w:i/>
              <w:iCs/>
              <w:color w:val="ADAEDE"/>
              <w:szCs w:val="22"/>
              <w:lang w:eastAsia="en-US"/>
            </w:rPr>
          </w:pPr>
          <w:r w:rsidRPr="00F363D7">
            <w:rPr>
              <w:rFonts w:ascii="Calibri Light" w:hAnsi="Calibri Light" w:eastAsia="Calibri" w:cs="Vijaya"/>
              <w:i/>
              <w:iCs/>
              <w:color w:val="ADAEDE"/>
              <w:szCs w:val="22"/>
              <w:lang w:eastAsia="en-US"/>
            </w:rPr>
            <w:t>e natoer”</w:t>
          </w:r>
        </w:p>
      </w:tc>
    </w:tr>
  </w:tbl>
  <w:p w:rsidR="00657F7C" w:rsidRDefault="00855465" w14:paraId="1A392285" w14:textId="4EDB738E">
    <w:pPr>
      <w:pStyle w:val="Header"/>
    </w:pPr>
    <w:r>
      <w:rPr>
        <w:noProof/>
      </w:rPr>
      <w:drawing>
        <wp:anchor distT="0" distB="0" distL="114300" distR="114300" simplePos="0" relativeHeight="251658240" behindDoc="1" locked="0" layoutInCell="1" allowOverlap="1" wp14:anchorId="3A8C526E" wp14:editId="057E06E7">
          <wp:simplePos x="0" y="0"/>
          <wp:positionH relativeFrom="page">
            <wp:posOffset>3960495</wp:posOffset>
          </wp:positionH>
          <wp:positionV relativeFrom="page">
            <wp:posOffset>485775</wp:posOffset>
          </wp:positionV>
          <wp:extent cx="3239770" cy="1219200"/>
          <wp:effectExtent l="0" t="0" r="0" b="0"/>
          <wp:wrapNone/>
          <wp:docPr id="1" name="Afbeelding 2" descr="Tytsjerksteradiel_logo_RGB_aa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ytsjerksteradiel_logo_RGB_aan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35"/>
      <w:gridCol w:w="2835"/>
      <w:gridCol w:w="2835"/>
    </w:tblGrid>
    <w:tr w:rsidR="05645641" w:rsidTr="05645641" w14:paraId="09D31819">
      <w:trPr>
        <w:trHeight w:val="300"/>
      </w:trPr>
      <w:tc>
        <w:tcPr>
          <w:tcW w:w="2835" w:type="dxa"/>
          <w:tcMar/>
        </w:tcPr>
        <w:p w:rsidR="05645641" w:rsidP="05645641" w:rsidRDefault="05645641" w14:paraId="4E900659" w14:textId="1762CF07">
          <w:pPr>
            <w:pStyle w:val="Header"/>
            <w:bidi w:val="0"/>
            <w:ind w:left="-115"/>
            <w:jc w:val="left"/>
          </w:pPr>
        </w:p>
      </w:tc>
      <w:tc>
        <w:tcPr>
          <w:tcW w:w="2835" w:type="dxa"/>
          <w:tcMar/>
        </w:tcPr>
        <w:p w:rsidR="05645641" w:rsidP="05645641" w:rsidRDefault="05645641" w14:paraId="73CF9620" w14:textId="245ACF46">
          <w:pPr>
            <w:pStyle w:val="Header"/>
            <w:bidi w:val="0"/>
            <w:jc w:val="center"/>
          </w:pPr>
        </w:p>
      </w:tc>
      <w:tc>
        <w:tcPr>
          <w:tcW w:w="2835" w:type="dxa"/>
          <w:tcMar/>
        </w:tcPr>
        <w:p w:rsidR="05645641" w:rsidP="05645641" w:rsidRDefault="05645641" w14:paraId="50EE9E6B" w14:textId="2C4A2D7B">
          <w:pPr>
            <w:pStyle w:val="Header"/>
            <w:bidi w:val="0"/>
            <w:ind w:right="-115"/>
            <w:jc w:val="right"/>
          </w:pPr>
        </w:p>
      </w:tc>
    </w:tr>
  </w:tbl>
  <w:p w:rsidR="05645641" w:rsidP="05645641" w:rsidRDefault="05645641" w14:paraId="5A8990CC" w14:textId="16AFCBB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0303"/>
    <w:multiLevelType w:val="hybridMultilevel"/>
    <w:tmpl w:val="84FC21A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8EA747B"/>
    <w:multiLevelType w:val="hybridMultilevel"/>
    <w:tmpl w:val="5740B11E"/>
    <w:lvl w:ilvl="0" w:tplc="3E1288CE">
      <w:start w:val="1"/>
      <w:numFmt w:val="decimal"/>
      <w:lvlText w:val="%1."/>
      <w:lvlJc w:val="left"/>
      <w:pPr>
        <w:ind w:left="720" w:hanging="360"/>
      </w:pPr>
      <w:rPr>
        <w:rFonts w:ascii="Tahoma" w:hAnsi="Tahoma" w:cs="Tahoma"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E5D097C"/>
    <w:multiLevelType w:val="hybridMultilevel"/>
    <w:tmpl w:val="9B90944C"/>
    <w:lvl w:ilvl="0" w:tplc="575E0B88">
      <w:start w:val="1"/>
      <w:numFmt w:val="lowerLetter"/>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AF4E4C"/>
    <w:multiLevelType w:val="multilevel"/>
    <w:tmpl w:val="0D18AE0C"/>
    <w:lvl w:ilvl="0">
      <w:start w:val="1"/>
      <w:numFmt w:val="lowerLetter"/>
      <w:lvlText w:val="%1."/>
      <w:lvlJc w:val="left"/>
      <w:pPr>
        <w:ind w:left="434" w:hanging="434"/>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5D33936"/>
    <w:multiLevelType w:val="multilevel"/>
    <w:tmpl w:val="EDF0D104"/>
    <w:lvl w:ilvl="0">
      <w:start w:val="1"/>
      <w:numFmt w:val="decimal"/>
      <w:lvlText w:val="%1."/>
      <w:lvlJc w:val="left"/>
      <w:pPr>
        <w:ind w:left="434" w:hanging="434"/>
      </w:pPr>
      <w:rPr>
        <w:rFonts w:ascii="Tahoma" w:hAnsi="Tahoma" w:cs="Tahoma" w:eastAsiaTheme="minorHAnsi"/>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E1B108D"/>
    <w:multiLevelType w:val="hybridMultilevel"/>
    <w:tmpl w:val="2A3828B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3191571B"/>
    <w:multiLevelType w:val="hybridMultilevel"/>
    <w:tmpl w:val="F03CC7AA"/>
    <w:lvl w:ilvl="0" w:tplc="04130001">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7" w15:restartNumberingAfterBreak="0">
    <w:nsid w:val="3B2D7233"/>
    <w:multiLevelType w:val="hybridMultilevel"/>
    <w:tmpl w:val="AE101A2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7367078B"/>
    <w:multiLevelType w:val="hybridMultilevel"/>
    <w:tmpl w:val="AA80A232"/>
    <w:lvl w:ilvl="0" w:tplc="F03CDB82">
      <w:numFmt w:val="bullet"/>
      <w:lvlText w:val="-"/>
      <w:lvlJc w:val="left"/>
      <w:pPr>
        <w:ind w:left="720" w:hanging="360"/>
      </w:pPr>
      <w:rPr>
        <w:rFonts w:hint="default" w:ascii="Tahoma" w:hAnsi="Tahoma" w:eastAsia="Times New Roman" w:cs="Tahom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73671547">
    <w:abstractNumId w:val="4"/>
  </w:num>
  <w:num w:numId="2" w16cid:durableId="814105870">
    <w:abstractNumId w:val="3"/>
  </w:num>
  <w:num w:numId="3" w16cid:durableId="1910309873">
    <w:abstractNumId w:val="1"/>
  </w:num>
  <w:num w:numId="4" w16cid:durableId="958685943">
    <w:abstractNumId w:val="8"/>
  </w:num>
  <w:num w:numId="5" w16cid:durableId="1320960397">
    <w:abstractNumId w:val="0"/>
  </w:num>
  <w:num w:numId="6" w16cid:durableId="553587897">
    <w:abstractNumId w:val="7"/>
  </w:num>
  <w:num w:numId="7" w16cid:durableId="1064260497">
    <w:abstractNumId w:val="5"/>
  </w:num>
  <w:num w:numId="8" w16cid:durableId="460265948">
    <w:abstractNumId w:val="6"/>
  </w:num>
  <w:num w:numId="9" w16cid:durableId="110330170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10"/>
  <w:displayHorizontalDrawingGridEvery w:val="2"/>
  <w:noPunctuationKerning/>
  <w:characterSpacingControl w:val="doNotCompress"/>
  <w:hdrShapeDefaults>
    <o:shapedefaults v:ext="edit" spidmax="2050">
      <o:colormru v:ext="edit" colors="#ceceea,#c4c4e6,#fafae6,#dcdcdc,#f5f5dc,#c9c9e9,#dcdcf0,#d4d4e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5"/>
    <w:rsid w:val="00007D71"/>
    <w:rsid w:val="00016DE3"/>
    <w:rsid w:val="00046579"/>
    <w:rsid w:val="00063023"/>
    <w:rsid w:val="00065CA2"/>
    <w:rsid w:val="00066072"/>
    <w:rsid w:val="00093691"/>
    <w:rsid w:val="000C3C1F"/>
    <w:rsid w:val="000D234D"/>
    <w:rsid w:val="00101F30"/>
    <w:rsid w:val="0010511E"/>
    <w:rsid w:val="00107124"/>
    <w:rsid w:val="0014183E"/>
    <w:rsid w:val="00151FE6"/>
    <w:rsid w:val="0015442E"/>
    <w:rsid w:val="00156246"/>
    <w:rsid w:val="001576FA"/>
    <w:rsid w:val="001652D4"/>
    <w:rsid w:val="00185286"/>
    <w:rsid w:val="001A3AA7"/>
    <w:rsid w:val="001C28E4"/>
    <w:rsid w:val="001E5573"/>
    <w:rsid w:val="001F1184"/>
    <w:rsid w:val="001F7366"/>
    <w:rsid w:val="00231FAE"/>
    <w:rsid w:val="00234932"/>
    <w:rsid w:val="00236CCB"/>
    <w:rsid w:val="00242354"/>
    <w:rsid w:val="00255B54"/>
    <w:rsid w:val="0027133A"/>
    <w:rsid w:val="00272109"/>
    <w:rsid w:val="00280B17"/>
    <w:rsid w:val="002817B5"/>
    <w:rsid w:val="00286A79"/>
    <w:rsid w:val="002A3390"/>
    <w:rsid w:val="002C29E6"/>
    <w:rsid w:val="002D0EC5"/>
    <w:rsid w:val="002D4972"/>
    <w:rsid w:val="002E0F51"/>
    <w:rsid w:val="00310681"/>
    <w:rsid w:val="00344CCD"/>
    <w:rsid w:val="003572C6"/>
    <w:rsid w:val="003747A3"/>
    <w:rsid w:val="003779C9"/>
    <w:rsid w:val="003A6EE0"/>
    <w:rsid w:val="003A7ED6"/>
    <w:rsid w:val="003C11BE"/>
    <w:rsid w:val="00420E7C"/>
    <w:rsid w:val="004360A3"/>
    <w:rsid w:val="00451770"/>
    <w:rsid w:val="004710F0"/>
    <w:rsid w:val="00485E9F"/>
    <w:rsid w:val="004B6CCE"/>
    <w:rsid w:val="004C0FA6"/>
    <w:rsid w:val="004C210D"/>
    <w:rsid w:val="004C2D9A"/>
    <w:rsid w:val="004D4878"/>
    <w:rsid w:val="004E7D11"/>
    <w:rsid w:val="004F613D"/>
    <w:rsid w:val="00501FE4"/>
    <w:rsid w:val="00514806"/>
    <w:rsid w:val="005170D1"/>
    <w:rsid w:val="00540460"/>
    <w:rsid w:val="00557089"/>
    <w:rsid w:val="00562F4E"/>
    <w:rsid w:val="00563FD0"/>
    <w:rsid w:val="00565A68"/>
    <w:rsid w:val="0057269D"/>
    <w:rsid w:val="0058732E"/>
    <w:rsid w:val="005C55FE"/>
    <w:rsid w:val="006153EB"/>
    <w:rsid w:val="0061563A"/>
    <w:rsid w:val="00657F7C"/>
    <w:rsid w:val="00670802"/>
    <w:rsid w:val="00674B66"/>
    <w:rsid w:val="006A00E1"/>
    <w:rsid w:val="006A211B"/>
    <w:rsid w:val="006E741F"/>
    <w:rsid w:val="006F5989"/>
    <w:rsid w:val="0071652D"/>
    <w:rsid w:val="00750497"/>
    <w:rsid w:val="00776929"/>
    <w:rsid w:val="00780C2C"/>
    <w:rsid w:val="00796FBF"/>
    <w:rsid w:val="007A4D22"/>
    <w:rsid w:val="007B1E4B"/>
    <w:rsid w:val="007C1519"/>
    <w:rsid w:val="007E67D3"/>
    <w:rsid w:val="00802C72"/>
    <w:rsid w:val="008163A4"/>
    <w:rsid w:val="00816A3B"/>
    <w:rsid w:val="008240E0"/>
    <w:rsid w:val="00832630"/>
    <w:rsid w:val="008373D5"/>
    <w:rsid w:val="008442CB"/>
    <w:rsid w:val="0084572B"/>
    <w:rsid w:val="00855465"/>
    <w:rsid w:val="0086450A"/>
    <w:rsid w:val="0088386A"/>
    <w:rsid w:val="00891D9D"/>
    <w:rsid w:val="008A7041"/>
    <w:rsid w:val="008B13D2"/>
    <w:rsid w:val="008E52A0"/>
    <w:rsid w:val="008F4D61"/>
    <w:rsid w:val="009025C4"/>
    <w:rsid w:val="00922990"/>
    <w:rsid w:val="00972005"/>
    <w:rsid w:val="009873BF"/>
    <w:rsid w:val="00995904"/>
    <w:rsid w:val="009D34A2"/>
    <w:rsid w:val="009E7893"/>
    <w:rsid w:val="00A10391"/>
    <w:rsid w:val="00A24FBB"/>
    <w:rsid w:val="00A54397"/>
    <w:rsid w:val="00A70143"/>
    <w:rsid w:val="00AA0D4D"/>
    <w:rsid w:val="00AC0499"/>
    <w:rsid w:val="00AC1009"/>
    <w:rsid w:val="00AE51A9"/>
    <w:rsid w:val="00AF08EF"/>
    <w:rsid w:val="00AF2D98"/>
    <w:rsid w:val="00B01AE4"/>
    <w:rsid w:val="00B02C06"/>
    <w:rsid w:val="00B109E3"/>
    <w:rsid w:val="00B138F0"/>
    <w:rsid w:val="00B163B5"/>
    <w:rsid w:val="00B53415"/>
    <w:rsid w:val="00B5387F"/>
    <w:rsid w:val="00B95EAF"/>
    <w:rsid w:val="00BB79D8"/>
    <w:rsid w:val="00BC5FE6"/>
    <w:rsid w:val="00BE2E68"/>
    <w:rsid w:val="00BF5B9A"/>
    <w:rsid w:val="00C062FE"/>
    <w:rsid w:val="00C1174E"/>
    <w:rsid w:val="00C25B88"/>
    <w:rsid w:val="00C36D2B"/>
    <w:rsid w:val="00C4393F"/>
    <w:rsid w:val="00C651B3"/>
    <w:rsid w:val="00C73FDD"/>
    <w:rsid w:val="00C8187A"/>
    <w:rsid w:val="00CA2CB5"/>
    <w:rsid w:val="00CA4BAD"/>
    <w:rsid w:val="00CA5421"/>
    <w:rsid w:val="00CC05B2"/>
    <w:rsid w:val="00CC4605"/>
    <w:rsid w:val="00CE0D98"/>
    <w:rsid w:val="00CE15DB"/>
    <w:rsid w:val="00CF06DB"/>
    <w:rsid w:val="00CF58AB"/>
    <w:rsid w:val="00D00412"/>
    <w:rsid w:val="00D14712"/>
    <w:rsid w:val="00D15D9E"/>
    <w:rsid w:val="00D3096D"/>
    <w:rsid w:val="00D30B00"/>
    <w:rsid w:val="00D319AD"/>
    <w:rsid w:val="00D40707"/>
    <w:rsid w:val="00D64FD5"/>
    <w:rsid w:val="00D708D9"/>
    <w:rsid w:val="00D81968"/>
    <w:rsid w:val="00D86945"/>
    <w:rsid w:val="00D90822"/>
    <w:rsid w:val="00DB0768"/>
    <w:rsid w:val="00DC52A3"/>
    <w:rsid w:val="00E04482"/>
    <w:rsid w:val="00E101DB"/>
    <w:rsid w:val="00E14368"/>
    <w:rsid w:val="00E435AD"/>
    <w:rsid w:val="00E4429B"/>
    <w:rsid w:val="00E560B7"/>
    <w:rsid w:val="00E60E29"/>
    <w:rsid w:val="00E7025C"/>
    <w:rsid w:val="00E7298A"/>
    <w:rsid w:val="00E93CC6"/>
    <w:rsid w:val="00EB42EC"/>
    <w:rsid w:val="00EE1975"/>
    <w:rsid w:val="00F02B18"/>
    <w:rsid w:val="00F04521"/>
    <w:rsid w:val="00F110D0"/>
    <w:rsid w:val="00F363D7"/>
    <w:rsid w:val="00F40CC8"/>
    <w:rsid w:val="00F56F73"/>
    <w:rsid w:val="00F61585"/>
    <w:rsid w:val="00F7069F"/>
    <w:rsid w:val="00F73B2E"/>
    <w:rsid w:val="00F8173D"/>
    <w:rsid w:val="00FA557F"/>
    <w:rsid w:val="00FF7B16"/>
    <w:rsid w:val="05645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ceea,#c4c4e6,#fafae6,#dcdcdc,#f5f5dc,#c9c9e9,#dcdcf0,#d4d4ec"/>
    </o:shapedefaults>
    <o:shapelayout v:ext="edit">
      <o:idmap v:ext="edit" data="2"/>
    </o:shapelayout>
  </w:shapeDefaults>
  <w:decimalSymbol w:val="."/>
  <w:listSeparator w:val=","/>
  <w14:docId w14:val="0F8C3D1D"/>
  <w15:chartTrackingRefBased/>
  <w15:docId w15:val="{DA75FE21-4916-4E4C-801A-8E08594FDF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4046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657F7C"/>
    <w:pPr>
      <w:tabs>
        <w:tab w:val="center" w:pos="4536"/>
        <w:tab w:val="right" w:pos="9072"/>
      </w:tabs>
    </w:pPr>
  </w:style>
  <w:style w:type="character" w:styleId="HeaderChar" w:customStyle="1">
    <w:name w:val="Header Char"/>
    <w:link w:val="Header"/>
    <w:rsid w:val="00657F7C"/>
    <w:rPr>
      <w:rFonts w:ascii="Arial" w:hAnsi="Arial"/>
      <w:sz w:val="22"/>
      <w:szCs w:val="24"/>
    </w:rPr>
  </w:style>
  <w:style w:type="paragraph" w:styleId="Footer">
    <w:name w:val="footer"/>
    <w:basedOn w:val="Normal"/>
    <w:link w:val="FooterChar"/>
    <w:rsid w:val="00657F7C"/>
    <w:pPr>
      <w:tabs>
        <w:tab w:val="center" w:pos="4536"/>
        <w:tab w:val="right" w:pos="9072"/>
      </w:tabs>
    </w:pPr>
  </w:style>
  <w:style w:type="character" w:styleId="FooterChar" w:customStyle="1">
    <w:name w:val="Footer Char"/>
    <w:link w:val="Footer"/>
    <w:rsid w:val="00657F7C"/>
    <w:rPr>
      <w:rFonts w:ascii="Arial" w:hAnsi="Arial"/>
      <w:sz w:val="22"/>
      <w:szCs w:val="24"/>
    </w:rPr>
  </w:style>
  <w:style w:type="character" w:styleId="Hyperlink">
    <w:name w:val="Hyperlink"/>
    <w:uiPriority w:val="99"/>
    <w:rsid w:val="00E14368"/>
    <w:rPr>
      <w:color w:val="0563C1"/>
      <w:u w:val="single"/>
    </w:rPr>
  </w:style>
  <w:style w:type="character" w:styleId="UnresolvedMention">
    <w:name w:val="Unresolved Mention"/>
    <w:uiPriority w:val="99"/>
    <w:semiHidden/>
    <w:unhideWhenUsed/>
    <w:rsid w:val="00E14368"/>
    <w:rPr>
      <w:color w:val="808080"/>
      <w:shd w:val="clear" w:color="auto" w:fill="E6E6E6"/>
    </w:rPr>
  </w:style>
  <w:style w:type="paragraph" w:styleId="BalloonText">
    <w:name w:val="Balloon Text"/>
    <w:basedOn w:val="Normal"/>
    <w:link w:val="BalloonTextChar"/>
    <w:rsid w:val="0088386A"/>
    <w:rPr>
      <w:rFonts w:ascii="Segoe UI" w:hAnsi="Segoe UI" w:cs="Segoe UI"/>
      <w:sz w:val="18"/>
      <w:szCs w:val="18"/>
    </w:rPr>
  </w:style>
  <w:style w:type="character" w:styleId="BalloonTextChar" w:customStyle="1">
    <w:name w:val="Balloon Text Char"/>
    <w:link w:val="BalloonText"/>
    <w:rsid w:val="0088386A"/>
    <w:rPr>
      <w:rFonts w:ascii="Segoe UI" w:hAnsi="Segoe UI" w:cs="Segoe UI"/>
      <w:sz w:val="18"/>
      <w:szCs w:val="18"/>
    </w:rPr>
  </w:style>
  <w:style w:type="character" w:styleId="PlaceholderText">
    <w:name w:val="Placeholder Text"/>
    <w:uiPriority w:val="99"/>
    <w:semiHidden/>
    <w:rsid w:val="00855465"/>
    <w:rPr>
      <w:color w:val="808080"/>
    </w:rPr>
  </w:style>
  <w:style w:type="paragraph" w:styleId="ListParagraph">
    <w:name w:val="List Paragraph"/>
    <w:basedOn w:val="Normal"/>
    <w:uiPriority w:val="34"/>
    <w:qFormat/>
    <w:rsid w:val="00855465"/>
    <w:pPr>
      <w:spacing w:after="160"/>
      <w:ind w:left="720"/>
      <w:contextualSpacing/>
    </w:pPr>
    <w:rPr>
      <w:rFonts w:ascii="Verdana" w:hAnsi="Verdana" w:eastAsia="Calibri"/>
      <w:sz w:val="18"/>
      <w:szCs w:val="22"/>
      <w:lang w:eastAsia="en-US"/>
    </w:rPr>
  </w:style>
  <w:style w:type="paragraph" w:styleId="Standard" w:customStyle="1">
    <w:name w:val="Standard"/>
    <w:rsid w:val="00B95EAF"/>
    <w:pPr>
      <w:suppressAutoHyphens/>
      <w:autoSpaceDN w:val="0"/>
      <w:textAlignment w:val="baseline"/>
    </w:pPr>
    <w:rPr>
      <w:kern w:val="3"/>
      <w:sz w:val="24"/>
      <w:szCs w:val="24"/>
    </w:rPr>
  </w:style>
  <w:style w:type="character" w:styleId="CommentReference">
    <w:name w:val="annotation reference"/>
    <w:basedOn w:val="DefaultParagraphFont"/>
    <w:rsid w:val="00B01AE4"/>
    <w:rPr>
      <w:sz w:val="16"/>
      <w:szCs w:val="16"/>
    </w:rPr>
  </w:style>
  <w:style w:type="paragraph" w:styleId="CommentText">
    <w:name w:val="annotation text"/>
    <w:basedOn w:val="Normal"/>
    <w:link w:val="CommentTextChar"/>
    <w:rsid w:val="00B01AE4"/>
    <w:rPr>
      <w:sz w:val="20"/>
      <w:szCs w:val="20"/>
    </w:rPr>
  </w:style>
  <w:style w:type="character" w:styleId="CommentTextChar" w:customStyle="1">
    <w:name w:val="Comment Text Char"/>
    <w:basedOn w:val="DefaultParagraphFont"/>
    <w:link w:val="CommentText"/>
    <w:rsid w:val="00B01AE4"/>
    <w:rPr>
      <w:rFonts w:ascii="Arial" w:hAnsi="Arial"/>
    </w:rPr>
  </w:style>
  <w:style w:type="character" w:styleId="fontstyle01" w:customStyle="1">
    <w:name w:val="fontstyle01"/>
    <w:basedOn w:val="DefaultParagraphFont"/>
    <w:rsid w:val="00C4393F"/>
    <w:rPr>
      <w:rFonts w:hint="default" w:ascii="Verdana" w:hAnsi="Verdana"/>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7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klachtenaanbesteding@t-diel.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2.xml" Id="Rd1ae3230e1b84bf4" /><Relationship Type="http://schemas.openxmlformats.org/officeDocument/2006/relationships/footer" Target="footer2.xml" Id="R53984424ef864a9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deboer\OneDrive%20-%208KTD\Werkmap%20Linda\voor%202025\Templates%208KTD\Templates%202025\T-diel\Opdrachtbrief\td_brf_01_nl.dot" TargetMode="Externa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EF90331018134581C0313E669535B8" ma:contentTypeVersion="0" ma:contentTypeDescription="Een nieuw document maken." ma:contentTypeScope="" ma:versionID="5a673ef62896b83e3d84c062282abb11">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28B55-0519-4221-BC80-AAC12623E250}">
  <ds:schemaRefs>
    <ds:schemaRef ds:uri="http://schemas.microsoft.com/sharepoint/v3/contenttype/forms"/>
  </ds:schemaRefs>
</ds:datastoreItem>
</file>

<file path=customXml/itemProps2.xml><?xml version="1.0" encoding="utf-8"?>
<ds:datastoreItem xmlns:ds="http://schemas.openxmlformats.org/officeDocument/2006/customXml" ds:itemID="{51D6BFD2-C5FD-4854-90FB-3C0FE5CE6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D13CFB-B1ED-4C27-9C04-B4496936F1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td_brf_01_nl.dot</ap:Template>
  <ap:Application>Microsoft Word for the web</ap:Application>
  <ap:DocSecurity>4</ap:DocSecurity>
  <ap:ScaleCrop>false</ap:ScaleCrop>
  <ap:Company>GEMEENTE TYTSJERKSTERADIEL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Algemeen Sjabloon</dc:title>
  <dc:subject>drager van de Euro-macro's</dc:subject>
  <dc:creator>Jeroen Heethuis</dc:creator>
  <keywords/>
  <dc:description/>
  <lastModifiedBy>Willemijn Kloosterman</lastModifiedBy>
  <revision>6</revision>
  <lastPrinted>2019-03-21T00:01:00.0000000Z</lastPrinted>
  <dcterms:created xsi:type="dcterms:W3CDTF">2025-07-29T20:19:00.0000000Z</dcterms:created>
  <dcterms:modified xsi:type="dcterms:W3CDTF">2025-09-16T12:13:14.7404995Z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0x01010035EF90331018134581C0313E669535B8</vt:lpwstr>
  </property>
</Properties>
</file>