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6461F" w14:textId="50E62C51" w:rsidR="00645A7D" w:rsidRDefault="00645A7D" w:rsidP="00645A7D">
      <w:pPr>
        <w:pStyle w:val="Kopvaninhoudsopgave"/>
        <w:numPr>
          <w:ilvl w:val="0"/>
          <w:numId w:val="0"/>
        </w:numPr>
        <w:ind w:left="720"/>
      </w:pPr>
      <w:r>
        <w:tab/>
      </w:r>
      <w:r>
        <w:tab/>
      </w:r>
    </w:p>
    <w:p w14:paraId="0C128593" w14:textId="77777777" w:rsidR="00645A7D" w:rsidRDefault="00645A7D" w:rsidP="00645A7D">
      <w:pPr>
        <w:pStyle w:val="Kopvaninhoudsopgave"/>
        <w:numPr>
          <w:ilvl w:val="0"/>
          <w:numId w:val="0"/>
        </w:numPr>
        <w:ind w:left="720"/>
      </w:pPr>
    </w:p>
    <w:p w14:paraId="71B68A43" w14:textId="2CFA8A4C" w:rsidR="00897F52" w:rsidRPr="00B558DC" w:rsidRDefault="00645A7D" w:rsidP="00645A7D">
      <w:pPr>
        <w:pStyle w:val="Kopvaninhoudsopgave"/>
        <w:numPr>
          <w:ilvl w:val="0"/>
          <w:numId w:val="0"/>
        </w:numPr>
        <w:ind w:left="720"/>
        <w:rPr>
          <w:rFonts w:ascii="Verdana" w:hAnsi="Verdana"/>
        </w:rPr>
      </w:pPr>
      <w:r>
        <w:tab/>
      </w:r>
      <w:r>
        <w:tab/>
      </w:r>
      <w:r w:rsidRPr="00B558DC">
        <w:rPr>
          <w:rFonts w:ascii="Verdana" w:hAnsi="Verdana"/>
        </w:rPr>
        <w:t>Bijlage 14.1 Toelichting KPI-model</w:t>
      </w:r>
    </w:p>
    <w:p w14:paraId="10DD855D" w14:textId="7BC61B40" w:rsidR="006C7F7A" w:rsidRPr="000C61E8" w:rsidRDefault="000C61E8" w:rsidP="000C61E8">
      <w:pPr>
        <w:spacing w:line="276" w:lineRule="auto"/>
        <w:jc w:val="center"/>
        <w:rPr>
          <w:b/>
          <w:bCs/>
        </w:rPr>
        <w:sectPr w:rsidR="006C7F7A" w:rsidRPr="000C61E8" w:rsidSect="001A2155">
          <w:headerReference w:type="default" r:id="rId8"/>
          <w:footerReference w:type="even" r:id="rId9"/>
          <w:footerReference w:type="default" r:id="rId10"/>
          <w:headerReference w:type="first" r:id="rId11"/>
          <w:footerReference w:type="first" r:id="rId12"/>
          <w:pgSz w:w="11906" w:h="16838"/>
          <w:pgMar w:top="2268" w:right="1274" w:bottom="993" w:left="1417" w:header="0" w:footer="422" w:gutter="0"/>
          <w:cols w:space="708"/>
          <w:docGrid w:linePitch="360"/>
        </w:sectPr>
      </w:pPr>
      <w:r w:rsidRPr="000C61E8">
        <w:rPr>
          <w:b/>
          <w:bCs/>
        </w:rPr>
        <w:t xml:space="preserve">Ten behoeve van </w:t>
      </w:r>
      <w:r w:rsidR="005456C1" w:rsidRPr="005456C1">
        <w:rPr>
          <w:b/>
          <w:bCs/>
        </w:rPr>
        <w:t>de Immigratie en Naturalisatiedienst (IND) en de Dienst Terugkeer en Vertrek (</w:t>
      </w:r>
      <w:proofErr w:type="spellStart"/>
      <w:r w:rsidR="005456C1" w:rsidRPr="005456C1">
        <w:rPr>
          <w:b/>
          <w:bCs/>
        </w:rPr>
        <w:t>DTenV</w:t>
      </w:r>
      <w:proofErr w:type="spellEnd"/>
      <w:r w:rsidR="005456C1" w:rsidRPr="005456C1">
        <w:rPr>
          <w:b/>
          <w:bCs/>
        </w:rPr>
        <w:t>)</w:t>
      </w:r>
    </w:p>
    <w:p w14:paraId="5DEBCD02" w14:textId="77777777" w:rsidR="00645A7D" w:rsidRDefault="00645A7D">
      <w:pPr>
        <w:spacing w:after="200" w:line="276" w:lineRule="auto"/>
      </w:pPr>
    </w:p>
    <w:sdt>
      <w:sdtPr>
        <w:rPr>
          <w:rFonts w:ascii="Verdana" w:eastAsia="Times New Roman" w:hAnsi="Verdana" w:cs="Times New Roman"/>
          <w:b w:val="0"/>
          <w:bCs w:val="0"/>
          <w:color w:val="auto"/>
          <w:sz w:val="24"/>
          <w:szCs w:val="24"/>
        </w:rPr>
        <w:id w:val="1465857031"/>
        <w:docPartObj>
          <w:docPartGallery w:val="Table of Contents"/>
          <w:docPartUnique/>
        </w:docPartObj>
      </w:sdtPr>
      <w:sdtEndPr>
        <w:rPr>
          <w:sz w:val="18"/>
        </w:rPr>
      </w:sdtEndPr>
      <w:sdtContent>
        <w:p w14:paraId="2104A71B" w14:textId="77777777" w:rsidR="00645A7D" w:rsidRPr="00B558DC" w:rsidRDefault="00645A7D" w:rsidP="00645A7D">
          <w:pPr>
            <w:pStyle w:val="Kopvaninhoudsopgave"/>
            <w:numPr>
              <w:ilvl w:val="0"/>
              <w:numId w:val="0"/>
            </w:numPr>
            <w:ind w:left="720"/>
            <w:rPr>
              <w:rFonts w:ascii="Verdana" w:hAnsi="Verdana"/>
            </w:rPr>
          </w:pPr>
          <w:r w:rsidRPr="00B558DC">
            <w:rPr>
              <w:rFonts w:ascii="Verdana" w:hAnsi="Verdana"/>
            </w:rPr>
            <w:t>Inhoud</w:t>
          </w:r>
        </w:p>
        <w:p w14:paraId="1DBA81F0" w14:textId="1A96852C" w:rsidR="008412CD" w:rsidRPr="00B558DC" w:rsidRDefault="00645A7D">
          <w:pPr>
            <w:pStyle w:val="Inhopg1"/>
            <w:tabs>
              <w:tab w:val="left" w:pos="400"/>
              <w:tab w:val="right" w:leader="dot" w:pos="9205"/>
            </w:tabs>
            <w:rPr>
              <w:rFonts w:ascii="Verdana" w:eastAsiaTheme="minorEastAsia" w:hAnsi="Verdana" w:cstheme="minorBidi"/>
              <w:noProof/>
              <w:kern w:val="0"/>
              <w:sz w:val="18"/>
              <w:szCs w:val="18"/>
              <w:lang w:eastAsia="nl-NL"/>
            </w:rPr>
          </w:pPr>
          <w:r w:rsidRPr="00D679BE">
            <w:rPr>
              <w:rFonts w:ascii="Verdana" w:hAnsi="Verdana"/>
            </w:rPr>
            <w:fldChar w:fldCharType="begin"/>
          </w:r>
          <w:r w:rsidRPr="00D679BE">
            <w:rPr>
              <w:rFonts w:ascii="Verdana" w:hAnsi="Verdana"/>
            </w:rPr>
            <w:instrText xml:space="preserve"> TOC \o "1-3" \h \z \u </w:instrText>
          </w:r>
          <w:r w:rsidRPr="00D679BE">
            <w:rPr>
              <w:rFonts w:ascii="Verdana" w:hAnsi="Verdana"/>
            </w:rPr>
            <w:fldChar w:fldCharType="separate"/>
          </w:r>
          <w:hyperlink w:anchor="_Toc141364219" w:history="1">
            <w:r w:rsidR="008412CD" w:rsidRPr="00B558DC">
              <w:rPr>
                <w:rStyle w:val="Hyperlink"/>
                <w:rFonts w:ascii="Verdana" w:hAnsi="Verdana"/>
                <w:noProof/>
                <w:sz w:val="18"/>
                <w:szCs w:val="18"/>
              </w:rPr>
              <w:t>1.</w:t>
            </w:r>
            <w:r w:rsidR="008412CD" w:rsidRPr="00B558DC">
              <w:rPr>
                <w:rFonts w:ascii="Verdana" w:eastAsiaTheme="minorEastAsia" w:hAnsi="Verdana" w:cstheme="minorBidi"/>
                <w:noProof/>
                <w:kern w:val="0"/>
                <w:sz w:val="18"/>
                <w:szCs w:val="18"/>
                <w:lang w:eastAsia="nl-NL"/>
              </w:rPr>
              <w:tab/>
            </w:r>
            <w:r w:rsidR="008412CD" w:rsidRPr="00B558DC">
              <w:rPr>
                <w:rStyle w:val="Hyperlink"/>
                <w:rFonts w:ascii="Verdana" w:hAnsi="Verdana"/>
                <w:noProof/>
                <w:sz w:val="18"/>
                <w:szCs w:val="18"/>
              </w:rPr>
              <w:t>Inleiding</w:t>
            </w:r>
            <w:r w:rsidR="008412CD" w:rsidRPr="00B558DC">
              <w:rPr>
                <w:rFonts w:ascii="Verdana" w:hAnsi="Verdana"/>
                <w:noProof/>
                <w:webHidden/>
                <w:sz w:val="18"/>
                <w:szCs w:val="18"/>
              </w:rPr>
              <w:tab/>
            </w:r>
            <w:r w:rsidR="008412CD" w:rsidRPr="00B558DC">
              <w:rPr>
                <w:rFonts w:ascii="Verdana" w:hAnsi="Verdana"/>
                <w:noProof/>
                <w:webHidden/>
                <w:sz w:val="18"/>
                <w:szCs w:val="18"/>
              </w:rPr>
              <w:fldChar w:fldCharType="begin"/>
            </w:r>
            <w:r w:rsidR="008412CD" w:rsidRPr="00B558DC">
              <w:rPr>
                <w:rFonts w:ascii="Verdana" w:hAnsi="Verdana"/>
                <w:noProof/>
                <w:webHidden/>
                <w:sz w:val="18"/>
                <w:szCs w:val="18"/>
              </w:rPr>
              <w:instrText xml:space="preserve"> PAGEREF _Toc141364219 \h </w:instrText>
            </w:r>
            <w:r w:rsidR="008412CD" w:rsidRPr="00B558DC">
              <w:rPr>
                <w:rFonts w:ascii="Verdana" w:hAnsi="Verdana"/>
                <w:noProof/>
                <w:webHidden/>
                <w:sz w:val="18"/>
                <w:szCs w:val="18"/>
              </w:rPr>
            </w:r>
            <w:r w:rsidR="008412CD" w:rsidRPr="00B558DC">
              <w:rPr>
                <w:rFonts w:ascii="Verdana" w:hAnsi="Verdana"/>
                <w:noProof/>
                <w:webHidden/>
                <w:sz w:val="18"/>
                <w:szCs w:val="18"/>
              </w:rPr>
              <w:fldChar w:fldCharType="separate"/>
            </w:r>
            <w:r w:rsidR="008412CD" w:rsidRPr="00B558DC">
              <w:rPr>
                <w:rFonts w:ascii="Verdana" w:hAnsi="Verdana"/>
                <w:noProof/>
                <w:webHidden/>
                <w:sz w:val="18"/>
                <w:szCs w:val="18"/>
              </w:rPr>
              <w:t>3</w:t>
            </w:r>
            <w:r w:rsidR="008412CD" w:rsidRPr="00B558DC">
              <w:rPr>
                <w:rFonts w:ascii="Verdana" w:hAnsi="Verdana"/>
                <w:noProof/>
                <w:webHidden/>
                <w:sz w:val="18"/>
                <w:szCs w:val="18"/>
              </w:rPr>
              <w:fldChar w:fldCharType="end"/>
            </w:r>
          </w:hyperlink>
        </w:p>
        <w:p w14:paraId="1717A437" w14:textId="0F77AC2E" w:rsidR="008412CD" w:rsidRPr="00B558DC" w:rsidRDefault="008412CD">
          <w:pPr>
            <w:pStyle w:val="Inhopg1"/>
            <w:tabs>
              <w:tab w:val="left" w:pos="400"/>
              <w:tab w:val="right" w:leader="dot" w:pos="9205"/>
            </w:tabs>
            <w:rPr>
              <w:rFonts w:ascii="Verdana" w:eastAsiaTheme="minorEastAsia" w:hAnsi="Verdana" w:cstheme="minorBidi"/>
              <w:noProof/>
              <w:kern w:val="0"/>
              <w:sz w:val="18"/>
              <w:szCs w:val="18"/>
              <w:lang w:eastAsia="nl-NL"/>
            </w:rPr>
          </w:pPr>
          <w:hyperlink w:anchor="_Toc141364220" w:history="1">
            <w:r w:rsidRPr="00B558DC">
              <w:rPr>
                <w:rStyle w:val="Hyperlink"/>
                <w:rFonts w:ascii="Verdana" w:hAnsi="Verdana"/>
                <w:noProof/>
                <w:sz w:val="18"/>
                <w:szCs w:val="18"/>
              </w:rPr>
              <w:t>2.</w:t>
            </w:r>
            <w:r w:rsidRPr="00B558DC">
              <w:rPr>
                <w:rFonts w:ascii="Verdana" w:eastAsiaTheme="minorEastAsia" w:hAnsi="Verdana" w:cstheme="minorBidi"/>
                <w:noProof/>
                <w:kern w:val="0"/>
                <w:sz w:val="18"/>
                <w:szCs w:val="18"/>
                <w:lang w:eastAsia="nl-NL"/>
              </w:rPr>
              <w:tab/>
            </w:r>
            <w:r w:rsidRPr="00B558DC">
              <w:rPr>
                <w:rStyle w:val="Hyperlink"/>
                <w:rFonts w:ascii="Verdana" w:hAnsi="Verdana"/>
                <w:noProof/>
                <w:sz w:val="18"/>
                <w:szCs w:val="18"/>
              </w:rPr>
              <w:t>De werking van het KPI-model</w:t>
            </w:r>
            <w:r w:rsidRPr="00B558DC">
              <w:rPr>
                <w:rFonts w:ascii="Verdana" w:hAnsi="Verdana"/>
                <w:noProof/>
                <w:webHidden/>
                <w:sz w:val="18"/>
                <w:szCs w:val="18"/>
              </w:rPr>
              <w:tab/>
            </w:r>
            <w:r w:rsidRPr="00B558DC">
              <w:rPr>
                <w:rFonts w:ascii="Verdana" w:hAnsi="Verdana"/>
                <w:noProof/>
                <w:webHidden/>
                <w:sz w:val="18"/>
                <w:szCs w:val="18"/>
              </w:rPr>
              <w:fldChar w:fldCharType="begin"/>
            </w:r>
            <w:r w:rsidRPr="00B558DC">
              <w:rPr>
                <w:rFonts w:ascii="Verdana" w:hAnsi="Verdana"/>
                <w:noProof/>
                <w:webHidden/>
                <w:sz w:val="18"/>
                <w:szCs w:val="18"/>
              </w:rPr>
              <w:instrText xml:space="preserve"> PAGEREF _Toc141364220 \h </w:instrText>
            </w:r>
            <w:r w:rsidRPr="00B558DC">
              <w:rPr>
                <w:rFonts w:ascii="Verdana" w:hAnsi="Verdana"/>
                <w:noProof/>
                <w:webHidden/>
                <w:sz w:val="18"/>
                <w:szCs w:val="18"/>
              </w:rPr>
            </w:r>
            <w:r w:rsidRPr="00B558DC">
              <w:rPr>
                <w:rFonts w:ascii="Verdana" w:hAnsi="Verdana"/>
                <w:noProof/>
                <w:webHidden/>
                <w:sz w:val="18"/>
                <w:szCs w:val="18"/>
              </w:rPr>
              <w:fldChar w:fldCharType="separate"/>
            </w:r>
            <w:r w:rsidRPr="00B558DC">
              <w:rPr>
                <w:rFonts w:ascii="Verdana" w:hAnsi="Verdana"/>
                <w:noProof/>
                <w:webHidden/>
                <w:sz w:val="18"/>
                <w:szCs w:val="18"/>
              </w:rPr>
              <w:t>4</w:t>
            </w:r>
            <w:r w:rsidRPr="00B558DC">
              <w:rPr>
                <w:rFonts w:ascii="Verdana" w:hAnsi="Verdana"/>
                <w:noProof/>
                <w:webHidden/>
                <w:sz w:val="18"/>
                <w:szCs w:val="18"/>
              </w:rPr>
              <w:fldChar w:fldCharType="end"/>
            </w:r>
          </w:hyperlink>
        </w:p>
        <w:p w14:paraId="01038529" w14:textId="19702CB7" w:rsidR="008412CD" w:rsidRPr="00B558DC" w:rsidRDefault="008412CD">
          <w:pPr>
            <w:pStyle w:val="Inhopg1"/>
            <w:tabs>
              <w:tab w:val="left" w:pos="400"/>
              <w:tab w:val="right" w:leader="dot" w:pos="9205"/>
            </w:tabs>
            <w:rPr>
              <w:rFonts w:ascii="Verdana" w:eastAsiaTheme="minorEastAsia" w:hAnsi="Verdana" w:cstheme="minorBidi"/>
              <w:noProof/>
              <w:kern w:val="0"/>
              <w:sz w:val="18"/>
              <w:szCs w:val="18"/>
              <w:lang w:eastAsia="nl-NL"/>
            </w:rPr>
          </w:pPr>
          <w:hyperlink w:anchor="_Toc141364221" w:history="1">
            <w:r w:rsidRPr="005456C1">
              <w:rPr>
                <w:rStyle w:val="Hyperlink"/>
                <w:rFonts w:ascii="Verdana" w:hAnsi="Verdana"/>
                <w:noProof/>
                <w:sz w:val="18"/>
                <w:szCs w:val="18"/>
              </w:rPr>
              <w:t>3.</w:t>
            </w:r>
            <w:r w:rsidRPr="005456C1">
              <w:rPr>
                <w:rFonts w:ascii="Verdana" w:eastAsiaTheme="minorEastAsia" w:hAnsi="Verdana" w:cstheme="minorBidi"/>
                <w:noProof/>
                <w:kern w:val="0"/>
                <w:sz w:val="18"/>
                <w:szCs w:val="18"/>
                <w:lang w:eastAsia="nl-NL"/>
              </w:rPr>
              <w:tab/>
            </w:r>
            <w:r w:rsidRPr="005456C1">
              <w:rPr>
                <w:rStyle w:val="Hyperlink"/>
                <w:rFonts w:ascii="Verdana" w:hAnsi="Verdana"/>
                <w:noProof/>
                <w:sz w:val="18"/>
                <w:szCs w:val="18"/>
              </w:rPr>
              <w:t>[KPI-1 Tevredenheid (Net Promoter Score) over ingezette ICT-Professionals</w:t>
            </w:r>
            <w:r w:rsidRPr="005456C1">
              <w:rPr>
                <w:rFonts w:ascii="Verdana" w:hAnsi="Verdana"/>
                <w:noProof/>
                <w:webHidden/>
                <w:sz w:val="18"/>
                <w:szCs w:val="18"/>
              </w:rPr>
              <w:tab/>
            </w:r>
            <w:r w:rsidRPr="005456C1">
              <w:rPr>
                <w:rFonts w:ascii="Verdana" w:hAnsi="Verdana"/>
                <w:noProof/>
                <w:webHidden/>
                <w:sz w:val="18"/>
                <w:szCs w:val="18"/>
              </w:rPr>
              <w:fldChar w:fldCharType="begin"/>
            </w:r>
            <w:r w:rsidRPr="005456C1">
              <w:rPr>
                <w:rFonts w:ascii="Verdana" w:hAnsi="Verdana"/>
                <w:noProof/>
                <w:webHidden/>
                <w:sz w:val="18"/>
                <w:szCs w:val="18"/>
              </w:rPr>
              <w:instrText xml:space="preserve"> PAGEREF _Toc141364221 \h </w:instrText>
            </w:r>
            <w:r w:rsidRPr="005456C1">
              <w:rPr>
                <w:rFonts w:ascii="Verdana" w:hAnsi="Verdana"/>
                <w:noProof/>
                <w:webHidden/>
                <w:sz w:val="18"/>
                <w:szCs w:val="18"/>
              </w:rPr>
            </w:r>
            <w:r w:rsidRPr="005456C1">
              <w:rPr>
                <w:rFonts w:ascii="Verdana" w:hAnsi="Verdana"/>
                <w:noProof/>
                <w:webHidden/>
                <w:sz w:val="18"/>
                <w:szCs w:val="18"/>
              </w:rPr>
              <w:fldChar w:fldCharType="separate"/>
            </w:r>
            <w:r w:rsidRPr="005456C1">
              <w:rPr>
                <w:rFonts w:ascii="Verdana" w:hAnsi="Verdana"/>
                <w:noProof/>
                <w:webHidden/>
                <w:sz w:val="18"/>
                <w:szCs w:val="18"/>
              </w:rPr>
              <w:t>5</w:t>
            </w:r>
            <w:r w:rsidRPr="005456C1">
              <w:rPr>
                <w:rFonts w:ascii="Verdana" w:hAnsi="Verdana"/>
                <w:noProof/>
                <w:webHidden/>
                <w:sz w:val="18"/>
                <w:szCs w:val="18"/>
              </w:rPr>
              <w:fldChar w:fldCharType="end"/>
            </w:r>
          </w:hyperlink>
        </w:p>
        <w:p w14:paraId="7F182BB1" w14:textId="1B03830D" w:rsidR="008412CD" w:rsidRPr="00B558DC" w:rsidRDefault="008412CD">
          <w:pPr>
            <w:pStyle w:val="Inhopg1"/>
            <w:tabs>
              <w:tab w:val="left" w:pos="400"/>
              <w:tab w:val="right" w:leader="dot" w:pos="9205"/>
            </w:tabs>
            <w:rPr>
              <w:rFonts w:ascii="Verdana" w:eastAsiaTheme="minorEastAsia" w:hAnsi="Verdana" w:cstheme="minorBidi"/>
              <w:noProof/>
              <w:kern w:val="0"/>
              <w:sz w:val="18"/>
              <w:szCs w:val="18"/>
              <w:lang w:eastAsia="nl-NL"/>
            </w:rPr>
          </w:pPr>
          <w:hyperlink w:anchor="_Toc141364222" w:history="1">
            <w:r w:rsidRPr="00B558DC">
              <w:rPr>
                <w:rStyle w:val="Hyperlink"/>
                <w:rFonts w:ascii="Verdana" w:hAnsi="Verdana"/>
                <w:noProof/>
                <w:sz w:val="18"/>
                <w:szCs w:val="18"/>
              </w:rPr>
              <w:t>4.</w:t>
            </w:r>
            <w:r w:rsidRPr="00B558DC">
              <w:rPr>
                <w:rFonts w:ascii="Verdana" w:eastAsiaTheme="minorEastAsia" w:hAnsi="Verdana" w:cstheme="minorBidi"/>
                <w:noProof/>
                <w:kern w:val="0"/>
                <w:sz w:val="18"/>
                <w:szCs w:val="18"/>
                <w:lang w:eastAsia="nl-NL"/>
              </w:rPr>
              <w:tab/>
            </w:r>
            <w:r w:rsidRPr="00B558DC">
              <w:rPr>
                <w:rStyle w:val="Hyperlink"/>
                <w:rFonts w:ascii="Verdana" w:hAnsi="Verdana"/>
                <w:noProof/>
                <w:sz w:val="18"/>
                <w:szCs w:val="18"/>
              </w:rPr>
              <w:t>KPI-2 Aanbiedingsbetrouwbaarheid</w:t>
            </w:r>
            <w:r w:rsidRPr="00B558DC">
              <w:rPr>
                <w:rFonts w:ascii="Verdana" w:hAnsi="Verdana"/>
                <w:noProof/>
                <w:webHidden/>
                <w:sz w:val="18"/>
                <w:szCs w:val="18"/>
              </w:rPr>
              <w:tab/>
            </w:r>
            <w:r w:rsidRPr="00B558DC">
              <w:rPr>
                <w:rFonts w:ascii="Verdana" w:hAnsi="Verdana"/>
                <w:noProof/>
                <w:webHidden/>
                <w:sz w:val="18"/>
                <w:szCs w:val="18"/>
              </w:rPr>
              <w:fldChar w:fldCharType="begin"/>
            </w:r>
            <w:r w:rsidRPr="00B558DC">
              <w:rPr>
                <w:rFonts w:ascii="Verdana" w:hAnsi="Verdana"/>
                <w:noProof/>
                <w:webHidden/>
                <w:sz w:val="18"/>
                <w:szCs w:val="18"/>
              </w:rPr>
              <w:instrText xml:space="preserve"> PAGEREF _Toc141364222 \h </w:instrText>
            </w:r>
            <w:r w:rsidRPr="00B558DC">
              <w:rPr>
                <w:rFonts w:ascii="Verdana" w:hAnsi="Verdana"/>
                <w:noProof/>
                <w:webHidden/>
                <w:sz w:val="18"/>
                <w:szCs w:val="18"/>
              </w:rPr>
            </w:r>
            <w:r w:rsidRPr="00B558DC">
              <w:rPr>
                <w:rFonts w:ascii="Verdana" w:hAnsi="Verdana"/>
                <w:noProof/>
                <w:webHidden/>
                <w:sz w:val="18"/>
                <w:szCs w:val="18"/>
              </w:rPr>
              <w:fldChar w:fldCharType="separate"/>
            </w:r>
            <w:r w:rsidRPr="00B558DC">
              <w:rPr>
                <w:rFonts w:ascii="Verdana" w:hAnsi="Verdana"/>
                <w:noProof/>
                <w:webHidden/>
                <w:sz w:val="18"/>
                <w:szCs w:val="18"/>
              </w:rPr>
              <w:t>8</w:t>
            </w:r>
            <w:r w:rsidRPr="00B558DC">
              <w:rPr>
                <w:rFonts w:ascii="Verdana" w:hAnsi="Verdana"/>
                <w:noProof/>
                <w:webHidden/>
                <w:sz w:val="18"/>
                <w:szCs w:val="18"/>
              </w:rPr>
              <w:fldChar w:fldCharType="end"/>
            </w:r>
          </w:hyperlink>
        </w:p>
        <w:p w14:paraId="5D510F2D" w14:textId="6D144473" w:rsidR="008412CD" w:rsidRPr="00B558DC" w:rsidRDefault="008412CD">
          <w:pPr>
            <w:pStyle w:val="Inhopg1"/>
            <w:tabs>
              <w:tab w:val="left" w:pos="400"/>
              <w:tab w:val="right" w:leader="dot" w:pos="9205"/>
            </w:tabs>
            <w:rPr>
              <w:rFonts w:ascii="Verdana" w:eastAsiaTheme="minorEastAsia" w:hAnsi="Verdana" w:cstheme="minorBidi"/>
              <w:noProof/>
              <w:kern w:val="0"/>
              <w:sz w:val="18"/>
              <w:szCs w:val="18"/>
              <w:lang w:eastAsia="nl-NL"/>
            </w:rPr>
          </w:pPr>
          <w:hyperlink w:anchor="_Toc141364223" w:history="1">
            <w:r w:rsidRPr="00B558DC">
              <w:rPr>
                <w:rStyle w:val="Hyperlink"/>
                <w:rFonts w:ascii="Verdana" w:hAnsi="Verdana"/>
                <w:noProof/>
                <w:sz w:val="18"/>
                <w:szCs w:val="18"/>
              </w:rPr>
              <w:t>5.</w:t>
            </w:r>
            <w:r w:rsidRPr="00B558DC">
              <w:rPr>
                <w:rFonts w:ascii="Verdana" w:eastAsiaTheme="minorEastAsia" w:hAnsi="Verdana" w:cstheme="minorBidi"/>
                <w:noProof/>
                <w:kern w:val="0"/>
                <w:sz w:val="18"/>
                <w:szCs w:val="18"/>
                <w:lang w:eastAsia="nl-NL"/>
              </w:rPr>
              <w:tab/>
            </w:r>
            <w:r w:rsidRPr="00B558DC">
              <w:rPr>
                <w:rStyle w:val="Hyperlink"/>
                <w:rFonts w:ascii="Verdana" w:hAnsi="Verdana"/>
                <w:noProof/>
                <w:sz w:val="18"/>
                <w:szCs w:val="18"/>
              </w:rPr>
              <w:t>KPI-3 Uitvalpercentage</w:t>
            </w:r>
            <w:r w:rsidRPr="00B558DC">
              <w:rPr>
                <w:rFonts w:ascii="Verdana" w:hAnsi="Verdana"/>
                <w:noProof/>
                <w:webHidden/>
                <w:sz w:val="18"/>
                <w:szCs w:val="18"/>
              </w:rPr>
              <w:tab/>
            </w:r>
            <w:r w:rsidRPr="00B558DC">
              <w:rPr>
                <w:rFonts w:ascii="Verdana" w:hAnsi="Verdana"/>
                <w:noProof/>
                <w:webHidden/>
                <w:sz w:val="18"/>
                <w:szCs w:val="18"/>
              </w:rPr>
              <w:fldChar w:fldCharType="begin"/>
            </w:r>
            <w:r w:rsidRPr="00B558DC">
              <w:rPr>
                <w:rFonts w:ascii="Verdana" w:hAnsi="Verdana"/>
                <w:noProof/>
                <w:webHidden/>
                <w:sz w:val="18"/>
                <w:szCs w:val="18"/>
              </w:rPr>
              <w:instrText xml:space="preserve"> PAGEREF _Toc141364223 \h </w:instrText>
            </w:r>
            <w:r w:rsidRPr="00B558DC">
              <w:rPr>
                <w:rFonts w:ascii="Verdana" w:hAnsi="Verdana"/>
                <w:noProof/>
                <w:webHidden/>
                <w:sz w:val="18"/>
                <w:szCs w:val="18"/>
              </w:rPr>
            </w:r>
            <w:r w:rsidRPr="00B558DC">
              <w:rPr>
                <w:rFonts w:ascii="Verdana" w:hAnsi="Verdana"/>
                <w:noProof/>
                <w:webHidden/>
                <w:sz w:val="18"/>
                <w:szCs w:val="18"/>
              </w:rPr>
              <w:fldChar w:fldCharType="separate"/>
            </w:r>
            <w:r w:rsidRPr="00B558DC">
              <w:rPr>
                <w:rFonts w:ascii="Verdana" w:hAnsi="Verdana"/>
                <w:noProof/>
                <w:webHidden/>
                <w:sz w:val="18"/>
                <w:szCs w:val="18"/>
              </w:rPr>
              <w:t>9</w:t>
            </w:r>
            <w:r w:rsidRPr="00B558DC">
              <w:rPr>
                <w:rFonts w:ascii="Verdana" w:hAnsi="Verdana"/>
                <w:noProof/>
                <w:webHidden/>
                <w:sz w:val="18"/>
                <w:szCs w:val="18"/>
              </w:rPr>
              <w:fldChar w:fldCharType="end"/>
            </w:r>
          </w:hyperlink>
        </w:p>
        <w:p w14:paraId="09C009B1" w14:textId="42DDE3B8" w:rsidR="008412CD" w:rsidRPr="00B558DC" w:rsidRDefault="008412CD">
          <w:pPr>
            <w:pStyle w:val="Inhopg1"/>
            <w:tabs>
              <w:tab w:val="left" w:pos="400"/>
              <w:tab w:val="right" w:leader="dot" w:pos="9205"/>
            </w:tabs>
            <w:rPr>
              <w:rFonts w:ascii="Verdana" w:eastAsiaTheme="minorEastAsia" w:hAnsi="Verdana" w:cstheme="minorBidi"/>
              <w:noProof/>
              <w:kern w:val="0"/>
              <w:sz w:val="18"/>
              <w:szCs w:val="18"/>
              <w:lang w:eastAsia="nl-NL"/>
            </w:rPr>
          </w:pPr>
          <w:hyperlink w:anchor="_Toc141364224" w:history="1">
            <w:r w:rsidRPr="00B558DC">
              <w:rPr>
                <w:rStyle w:val="Hyperlink"/>
                <w:rFonts w:ascii="Verdana" w:hAnsi="Verdana"/>
                <w:noProof/>
                <w:sz w:val="18"/>
                <w:szCs w:val="18"/>
              </w:rPr>
              <w:t>6.</w:t>
            </w:r>
            <w:r w:rsidRPr="00B558DC">
              <w:rPr>
                <w:rFonts w:ascii="Verdana" w:eastAsiaTheme="minorEastAsia" w:hAnsi="Verdana" w:cstheme="minorBidi"/>
                <w:noProof/>
                <w:kern w:val="0"/>
                <w:sz w:val="18"/>
                <w:szCs w:val="18"/>
                <w:lang w:eastAsia="nl-NL"/>
              </w:rPr>
              <w:tab/>
            </w:r>
            <w:r w:rsidRPr="00B558DC">
              <w:rPr>
                <w:rStyle w:val="Hyperlink"/>
                <w:rFonts w:ascii="Verdana" w:hAnsi="Verdana"/>
                <w:noProof/>
                <w:sz w:val="18"/>
                <w:szCs w:val="18"/>
              </w:rPr>
              <w:t>KPI-4 Aanlevering rapportages</w:t>
            </w:r>
            <w:r w:rsidRPr="00B558DC">
              <w:rPr>
                <w:rFonts w:ascii="Verdana" w:hAnsi="Verdana"/>
                <w:noProof/>
                <w:webHidden/>
                <w:sz w:val="18"/>
                <w:szCs w:val="18"/>
              </w:rPr>
              <w:tab/>
            </w:r>
            <w:r w:rsidRPr="00B558DC">
              <w:rPr>
                <w:rFonts w:ascii="Verdana" w:hAnsi="Verdana"/>
                <w:noProof/>
                <w:webHidden/>
                <w:sz w:val="18"/>
                <w:szCs w:val="18"/>
              </w:rPr>
              <w:fldChar w:fldCharType="begin"/>
            </w:r>
            <w:r w:rsidRPr="00B558DC">
              <w:rPr>
                <w:rFonts w:ascii="Verdana" w:hAnsi="Verdana"/>
                <w:noProof/>
                <w:webHidden/>
                <w:sz w:val="18"/>
                <w:szCs w:val="18"/>
              </w:rPr>
              <w:instrText xml:space="preserve"> PAGEREF _Toc141364224 \h </w:instrText>
            </w:r>
            <w:r w:rsidRPr="00B558DC">
              <w:rPr>
                <w:rFonts w:ascii="Verdana" w:hAnsi="Verdana"/>
                <w:noProof/>
                <w:webHidden/>
                <w:sz w:val="18"/>
                <w:szCs w:val="18"/>
              </w:rPr>
            </w:r>
            <w:r w:rsidRPr="00B558DC">
              <w:rPr>
                <w:rFonts w:ascii="Verdana" w:hAnsi="Verdana"/>
                <w:noProof/>
                <w:webHidden/>
                <w:sz w:val="18"/>
                <w:szCs w:val="18"/>
              </w:rPr>
              <w:fldChar w:fldCharType="separate"/>
            </w:r>
            <w:r w:rsidRPr="00B558DC">
              <w:rPr>
                <w:rFonts w:ascii="Verdana" w:hAnsi="Verdana"/>
                <w:noProof/>
                <w:webHidden/>
                <w:sz w:val="18"/>
                <w:szCs w:val="18"/>
              </w:rPr>
              <w:t>10</w:t>
            </w:r>
            <w:r w:rsidRPr="00B558DC">
              <w:rPr>
                <w:rFonts w:ascii="Verdana" w:hAnsi="Verdana"/>
                <w:noProof/>
                <w:webHidden/>
                <w:sz w:val="18"/>
                <w:szCs w:val="18"/>
              </w:rPr>
              <w:fldChar w:fldCharType="end"/>
            </w:r>
          </w:hyperlink>
        </w:p>
        <w:p w14:paraId="274084B3" w14:textId="1B501B81" w:rsidR="008412CD" w:rsidRPr="00B558DC" w:rsidRDefault="008412CD">
          <w:pPr>
            <w:pStyle w:val="Inhopg1"/>
            <w:tabs>
              <w:tab w:val="left" w:pos="400"/>
              <w:tab w:val="right" w:leader="dot" w:pos="9205"/>
            </w:tabs>
            <w:rPr>
              <w:rFonts w:ascii="Verdana" w:eastAsiaTheme="minorEastAsia" w:hAnsi="Verdana" w:cstheme="minorBidi"/>
              <w:noProof/>
              <w:kern w:val="0"/>
              <w:sz w:val="18"/>
              <w:szCs w:val="18"/>
              <w:lang w:eastAsia="nl-NL"/>
            </w:rPr>
          </w:pPr>
          <w:hyperlink w:anchor="_Toc141364225" w:history="1">
            <w:r w:rsidRPr="00B558DC">
              <w:rPr>
                <w:rStyle w:val="Hyperlink"/>
                <w:rFonts w:ascii="Verdana" w:hAnsi="Verdana"/>
                <w:noProof/>
                <w:sz w:val="18"/>
                <w:szCs w:val="18"/>
              </w:rPr>
              <w:t>7.</w:t>
            </w:r>
            <w:r w:rsidRPr="00B558DC">
              <w:rPr>
                <w:rFonts w:ascii="Verdana" w:eastAsiaTheme="minorEastAsia" w:hAnsi="Verdana" w:cstheme="minorBidi"/>
                <w:noProof/>
                <w:kern w:val="0"/>
                <w:sz w:val="18"/>
                <w:szCs w:val="18"/>
                <w:lang w:eastAsia="nl-NL"/>
              </w:rPr>
              <w:tab/>
            </w:r>
            <w:r w:rsidRPr="00B558DC">
              <w:rPr>
                <w:rStyle w:val="Hyperlink"/>
                <w:rFonts w:ascii="Verdana" w:hAnsi="Verdana"/>
                <w:noProof/>
                <w:sz w:val="18"/>
                <w:szCs w:val="18"/>
              </w:rPr>
              <w:t>KPI-5 Rekenfactor gemiddeld tarief</w:t>
            </w:r>
            <w:r w:rsidRPr="00B558DC">
              <w:rPr>
                <w:rFonts w:ascii="Verdana" w:hAnsi="Verdana"/>
                <w:noProof/>
                <w:webHidden/>
                <w:sz w:val="18"/>
                <w:szCs w:val="18"/>
              </w:rPr>
              <w:tab/>
            </w:r>
            <w:r w:rsidRPr="00B558DC">
              <w:rPr>
                <w:rFonts w:ascii="Verdana" w:hAnsi="Verdana"/>
                <w:noProof/>
                <w:webHidden/>
                <w:sz w:val="18"/>
                <w:szCs w:val="18"/>
              </w:rPr>
              <w:fldChar w:fldCharType="begin"/>
            </w:r>
            <w:r w:rsidRPr="00B558DC">
              <w:rPr>
                <w:rFonts w:ascii="Verdana" w:hAnsi="Verdana"/>
                <w:noProof/>
                <w:webHidden/>
                <w:sz w:val="18"/>
                <w:szCs w:val="18"/>
              </w:rPr>
              <w:instrText xml:space="preserve"> PAGEREF _Toc141364225 \h </w:instrText>
            </w:r>
            <w:r w:rsidRPr="00B558DC">
              <w:rPr>
                <w:rFonts w:ascii="Verdana" w:hAnsi="Verdana"/>
                <w:noProof/>
                <w:webHidden/>
                <w:sz w:val="18"/>
                <w:szCs w:val="18"/>
              </w:rPr>
            </w:r>
            <w:r w:rsidRPr="00B558DC">
              <w:rPr>
                <w:rFonts w:ascii="Verdana" w:hAnsi="Verdana"/>
                <w:noProof/>
                <w:webHidden/>
                <w:sz w:val="18"/>
                <w:szCs w:val="18"/>
              </w:rPr>
              <w:fldChar w:fldCharType="separate"/>
            </w:r>
            <w:r w:rsidRPr="00B558DC">
              <w:rPr>
                <w:rFonts w:ascii="Verdana" w:hAnsi="Verdana"/>
                <w:noProof/>
                <w:webHidden/>
                <w:sz w:val="18"/>
                <w:szCs w:val="18"/>
              </w:rPr>
              <w:t>11</w:t>
            </w:r>
            <w:r w:rsidRPr="00B558DC">
              <w:rPr>
                <w:rFonts w:ascii="Verdana" w:hAnsi="Verdana"/>
                <w:noProof/>
                <w:webHidden/>
                <w:sz w:val="18"/>
                <w:szCs w:val="18"/>
              </w:rPr>
              <w:fldChar w:fldCharType="end"/>
            </w:r>
          </w:hyperlink>
        </w:p>
        <w:p w14:paraId="78FD2508" w14:textId="712F7FBF" w:rsidR="00645A7D" w:rsidRDefault="00645A7D" w:rsidP="00645A7D">
          <w:r w:rsidRPr="00D679BE">
            <w:rPr>
              <w:b/>
              <w:bCs/>
              <w:sz w:val="20"/>
              <w:szCs w:val="20"/>
            </w:rPr>
            <w:fldChar w:fldCharType="end"/>
          </w:r>
        </w:p>
      </w:sdtContent>
    </w:sdt>
    <w:p w14:paraId="391699B7" w14:textId="77777777" w:rsidR="00CC0452" w:rsidRDefault="00CC0452">
      <w:pPr>
        <w:spacing w:after="200" w:line="276" w:lineRule="auto"/>
        <w:sectPr w:rsidR="00CC0452" w:rsidSect="001A2155">
          <w:headerReference w:type="default" r:id="rId13"/>
          <w:footerReference w:type="even" r:id="rId14"/>
          <w:footerReference w:type="default" r:id="rId15"/>
          <w:footerReference w:type="first" r:id="rId16"/>
          <w:pgSz w:w="11906" w:h="16838"/>
          <w:pgMar w:top="2268" w:right="1274" w:bottom="993" w:left="1417" w:header="0" w:footer="422" w:gutter="0"/>
          <w:cols w:space="708"/>
          <w:docGrid w:linePitch="360"/>
        </w:sectPr>
      </w:pPr>
    </w:p>
    <w:p w14:paraId="47848906" w14:textId="54A44F36" w:rsidR="00AC559C" w:rsidRPr="00D679BE" w:rsidRDefault="00F15F47" w:rsidP="00823F35">
      <w:pPr>
        <w:pStyle w:val="Kop1"/>
      </w:pPr>
      <w:bookmarkStart w:id="1" w:name="_Toc141364219"/>
      <w:r w:rsidRPr="00D679BE">
        <w:lastRenderedPageBreak/>
        <w:t>Inleiding</w:t>
      </w:r>
      <w:bookmarkEnd w:id="1"/>
    </w:p>
    <w:p w14:paraId="679F1709" w14:textId="77777777" w:rsidR="0051608C" w:rsidRPr="00D679BE" w:rsidRDefault="0051608C" w:rsidP="006E07F6"/>
    <w:p w14:paraId="5EFF16BD" w14:textId="118F9D63" w:rsidR="00F52B5F" w:rsidRPr="00D679BE" w:rsidRDefault="00F52B5F" w:rsidP="00FB10F3">
      <w:pPr>
        <w:jc w:val="both"/>
      </w:pPr>
      <w:r w:rsidRPr="00D679BE">
        <w:t>Dit document geeft toelichting op de werking van de KPI-normen</w:t>
      </w:r>
      <w:r w:rsidR="0051608C" w:rsidRPr="00D679BE">
        <w:t xml:space="preserve"> in de fase van uitvoering van de raamovereenkomsten</w:t>
      </w:r>
      <w:r w:rsidR="00E11746" w:rsidRPr="00D679BE">
        <w:t>.</w:t>
      </w:r>
    </w:p>
    <w:p w14:paraId="2BFDDE4D" w14:textId="4545F4D5" w:rsidR="008F2387" w:rsidRPr="00D679BE" w:rsidRDefault="008F2387" w:rsidP="00C4673C">
      <w:pPr>
        <w:jc w:val="both"/>
      </w:pPr>
    </w:p>
    <w:p w14:paraId="27CE6673" w14:textId="0D1ECEFF" w:rsidR="008F2387" w:rsidRPr="00D679BE" w:rsidRDefault="00F271D9" w:rsidP="00C4673C">
      <w:pPr>
        <w:jc w:val="both"/>
        <w:rPr>
          <w:b/>
        </w:rPr>
      </w:pPr>
      <w:r w:rsidRPr="00D679BE">
        <w:rPr>
          <w:b/>
        </w:rPr>
        <w:t xml:space="preserve">Overwegingen bij toepassing van </w:t>
      </w:r>
      <w:r w:rsidR="004178FF" w:rsidRPr="00D679BE">
        <w:rPr>
          <w:b/>
        </w:rPr>
        <w:t>een</w:t>
      </w:r>
      <w:r w:rsidRPr="00D679BE">
        <w:rPr>
          <w:b/>
        </w:rPr>
        <w:t xml:space="preserve"> </w:t>
      </w:r>
      <w:r w:rsidR="008F2387" w:rsidRPr="00D679BE">
        <w:rPr>
          <w:b/>
        </w:rPr>
        <w:t>KPI-stelsel</w:t>
      </w:r>
    </w:p>
    <w:p w14:paraId="1B8EADAE" w14:textId="594899E3" w:rsidR="00F07C39" w:rsidRPr="00D679BE" w:rsidRDefault="00F271D9" w:rsidP="00C4673C">
      <w:pPr>
        <w:jc w:val="both"/>
      </w:pPr>
      <w:r w:rsidRPr="00D679BE">
        <w:t xml:space="preserve">Aanbestedende dienst is verantwoordelijk voor de uitvoering van de </w:t>
      </w:r>
      <w:proofErr w:type="spellStart"/>
      <w:r w:rsidRPr="00D679BE">
        <w:t>rijksbrede</w:t>
      </w:r>
      <w:proofErr w:type="spellEnd"/>
      <w:r w:rsidRPr="00D679BE">
        <w:t xml:space="preserve"> categorie ICT-</w:t>
      </w:r>
      <w:r w:rsidR="0046245D">
        <w:t>professionals</w:t>
      </w:r>
      <w:r w:rsidRPr="00D679BE">
        <w:t xml:space="preserve">. Hiervoor </w:t>
      </w:r>
      <w:r w:rsidR="00A13EBE" w:rsidRPr="00D679BE">
        <w:t>voert aanbestedende dienst</w:t>
      </w:r>
      <w:r w:rsidRPr="00D679BE">
        <w:t xml:space="preserve"> voor vele ministeries/</w:t>
      </w:r>
      <w:r w:rsidR="00863BE9">
        <w:t>Deelnemers</w:t>
      </w:r>
      <w:r w:rsidRPr="00D679BE">
        <w:t xml:space="preserve"> aanbestedingen </w:t>
      </w:r>
      <w:r w:rsidR="00A13EBE" w:rsidRPr="00D679BE">
        <w:t xml:space="preserve">uit </w:t>
      </w:r>
      <w:r w:rsidRPr="00D679BE">
        <w:t xml:space="preserve">en </w:t>
      </w:r>
      <w:r w:rsidR="00A13EBE" w:rsidRPr="00D679BE">
        <w:t xml:space="preserve">sluit zij </w:t>
      </w:r>
      <w:r w:rsidRPr="00D679BE">
        <w:t xml:space="preserve">raamovereenkomsten, die in essentie een gelijkwaardig doel, opzet en werking hebben. De </w:t>
      </w:r>
      <w:r w:rsidR="008627DC">
        <w:t>Deelnemer</w:t>
      </w:r>
      <w:r w:rsidRPr="00D679BE">
        <w:t xml:space="preserve">s aan de raamovereenkomsten moeten in principe alle door hen benodigde </w:t>
      </w:r>
      <w:r w:rsidR="00F07C39" w:rsidRPr="00D679BE">
        <w:t xml:space="preserve">en kwalitatief goede </w:t>
      </w:r>
      <w:r w:rsidRPr="00D679BE">
        <w:t xml:space="preserve">externe ICT/IV-professionals via deze raamovereenkomsten kunnen inhuren, tegen marktconforme </w:t>
      </w:r>
      <w:r w:rsidR="00F07C39" w:rsidRPr="00D679BE">
        <w:t xml:space="preserve">tarieven. Opdrachtnemers leveren hiervoor prestaties, die aanbestedende dienst met een eenduidige set aan </w:t>
      </w:r>
      <w:proofErr w:type="spellStart"/>
      <w:r w:rsidR="00F07C39" w:rsidRPr="00D679BE">
        <w:t>KPI’s</w:t>
      </w:r>
      <w:proofErr w:type="spellEnd"/>
      <w:r w:rsidR="00F07C39" w:rsidRPr="00D679BE">
        <w:t xml:space="preserve"> wil monitoren:</w:t>
      </w:r>
    </w:p>
    <w:p w14:paraId="447F8CD4" w14:textId="65A81047" w:rsidR="00F07C39" w:rsidRPr="00D679BE" w:rsidRDefault="00BD6E55" w:rsidP="000E1D9E">
      <w:pPr>
        <w:pStyle w:val="Lijstalinea"/>
        <w:numPr>
          <w:ilvl w:val="0"/>
          <w:numId w:val="12"/>
        </w:numPr>
        <w:jc w:val="both"/>
      </w:pPr>
      <w:r w:rsidRPr="00D679BE">
        <w:t xml:space="preserve">Aanbestedende dienst verwacht dat opdrachtnemers in elk geval presteren, zoals zij beloofd hebben. Ook wordt </w:t>
      </w:r>
      <w:r w:rsidR="004178FF" w:rsidRPr="00D679BE">
        <w:t xml:space="preserve">hoge </w:t>
      </w:r>
      <w:r w:rsidRPr="00D679BE">
        <w:t xml:space="preserve">betrokkenheid van opdrachtnemers gestimuleerd; opdrachtnemers die kwalitatief goed willen </w:t>
      </w:r>
      <w:r w:rsidR="004178FF" w:rsidRPr="00D679BE">
        <w:t xml:space="preserve">(blijven) </w:t>
      </w:r>
      <w:r w:rsidRPr="00D679BE">
        <w:t>leveren</w:t>
      </w:r>
      <w:r w:rsidR="00027DDF">
        <w:t xml:space="preserve"> </w:t>
      </w:r>
      <w:r w:rsidRPr="00D679BE">
        <w:t>tegen marktconforme prijzen</w:t>
      </w:r>
      <w:r w:rsidR="000E1D9E" w:rsidRPr="00D679BE">
        <w:t xml:space="preserve">. </w:t>
      </w:r>
      <w:r w:rsidR="00F07C39" w:rsidRPr="00D679BE">
        <w:t xml:space="preserve">De </w:t>
      </w:r>
      <w:proofErr w:type="spellStart"/>
      <w:r w:rsidR="00F07C39" w:rsidRPr="00D679BE">
        <w:t>KPI’s</w:t>
      </w:r>
      <w:proofErr w:type="spellEnd"/>
      <w:r w:rsidR="00F07C39" w:rsidRPr="00D679BE">
        <w:t xml:space="preserve"> geven duidelijkheid en transparante handvatten waarop </w:t>
      </w:r>
      <w:r w:rsidR="00695257">
        <w:t>Opdrachtgever</w:t>
      </w:r>
      <w:r w:rsidR="00F07C39" w:rsidRPr="00D679BE">
        <w:t xml:space="preserve"> </w:t>
      </w:r>
      <w:r w:rsidRPr="00D679BE">
        <w:t xml:space="preserve">met name </w:t>
      </w:r>
      <w:r w:rsidR="00F07C39" w:rsidRPr="00D679BE">
        <w:t>wil monitoren;</w:t>
      </w:r>
    </w:p>
    <w:p w14:paraId="35BE2CC3" w14:textId="678FDCB1" w:rsidR="009947C8" w:rsidRPr="00D679BE" w:rsidRDefault="00F07C39" w:rsidP="00F07C39">
      <w:pPr>
        <w:pStyle w:val="Lijstalinea"/>
        <w:numPr>
          <w:ilvl w:val="0"/>
          <w:numId w:val="12"/>
        </w:numPr>
        <w:jc w:val="both"/>
      </w:pPr>
      <w:r w:rsidRPr="00D679BE">
        <w:t xml:space="preserve">De </w:t>
      </w:r>
      <w:proofErr w:type="spellStart"/>
      <w:r w:rsidRPr="00D679BE">
        <w:t>KPI</w:t>
      </w:r>
      <w:r w:rsidR="009947C8" w:rsidRPr="00D679BE">
        <w:t>’</w:t>
      </w:r>
      <w:r w:rsidRPr="00D679BE">
        <w:t>s</w:t>
      </w:r>
      <w:proofErr w:type="spellEnd"/>
      <w:r w:rsidRPr="00D679BE">
        <w:t xml:space="preserve"> </w:t>
      </w:r>
      <w:r w:rsidR="009947C8" w:rsidRPr="00D679BE">
        <w:t>worden in beginsel bij alle raamovereenkomsten voor de categorie ICT-</w:t>
      </w:r>
      <w:r w:rsidR="0046245D">
        <w:t>professionals</w:t>
      </w:r>
      <w:r w:rsidR="0046245D" w:rsidRPr="00D679BE">
        <w:t xml:space="preserve"> </w:t>
      </w:r>
      <w:r w:rsidR="009947C8" w:rsidRPr="00D679BE">
        <w:t>Rijk toegepast. Deze uniformiteit leidt tot herkenbaarheid voor markt</w:t>
      </w:r>
      <w:r w:rsidR="00A13EBE" w:rsidRPr="00D679BE">
        <w:t>partijen</w:t>
      </w:r>
      <w:r w:rsidR="009947C8" w:rsidRPr="00D679BE">
        <w:t>, werkt efficiënter en maakt onderlinge vergelijking</w:t>
      </w:r>
      <w:r w:rsidR="000E1D9E" w:rsidRPr="00D679BE">
        <w:t xml:space="preserve"> van prestaties</w:t>
      </w:r>
      <w:r w:rsidR="009947C8" w:rsidRPr="00D679BE">
        <w:t xml:space="preserve"> eenvoudiger;</w:t>
      </w:r>
    </w:p>
    <w:p w14:paraId="0C238EB9" w14:textId="7C87843E" w:rsidR="00F271D9" w:rsidRPr="00D679BE" w:rsidRDefault="009947C8" w:rsidP="00F07C39">
      <w:pPr>
        <w:pStyle w:val="Lijstalinea"/>
        <w:numPr>
          <w:ilvl w:val="0"/>
          <w:numId w:val="12"/>
        </w:numPr>
        <w:jc w:val="both"/>
      </w:pPr>
      <w:r w:rsidRPr="00D679BE">
        <w:t xml:space="preserve">Prestaties van opdrachtnemers worden meer geobjectiveerd. Naast de hiervoor genoemde voordelen van uniformiteit, draagt dat ook bij aan (meer) gelijkwaardige en rechtvaardige behandeling van opdrachtnemers. Neem hierbij in </w:t>
      </w:r>
      <w:r w:rsidR="00A13EBE" w:rsidRPr="00D679BE">
        <w:t>ogenschouw</w:t>
      </w:r>
      <w:r w:rsidRPr="00D679BE">
        <w:t xml:space="preserve"> dat de categorie</w:t>
      </w:r>
      <w:r w:rsidR="000E1D9E" w:rsidRPr="00D679BE">
        <w:t xml:space="preserve"> ICT-</w:t>
      </w:r>
      <w:r w:rsidR="0046245D">
        <w:t>professionals</w:t>
      </w:r>
      <w:r w:rsidR="0046245D" w:rsidRPr="00D679BE">
        <w:t xml:space="preserve"> </w:t>
      </w:r>
      <w:r w:rsidR="007D0F1C">
        <w:t xml:space="preserve">Rijk </w:t>
      </w:r>
      <w:r w:rsidR="00BD6E55" w:rsidRPr="00D679BE">
        <w:t>tussen 100 en 200</w:t>
      </w:r>
      <w:r w:rsidRPr="00D679BE">
        <w:t xml:space="preserve"> gelijkwaardige raamovereenkomsten </w:t>
      </w:r>
      <w:r w:rsidR="00BD6E55" w:rsidRPr="00D679BE">
        <w:t>heeft te managen en dat opdrachtnemers hierbinnen uiteraard ook zoveel als mogelijk gelijkwaardig behandeld wensen te worden</w:t>
      </w:r>
      <w:r w:rsidR="000E1D9E" w:rsidRPr="00D679BE">
        <w:t xml:space="preserve">. </w:t>
      </w:r>
    </w:p>
    <w:p w14:paraId="3F06A06E" w14:textId="45D49C71" w:rsidR="008F2387" w:rsidRPr="00D679BE" w:rsidRDefault="000E1D9E" w:rsidP="00C4673C">
      <w:pPr>
        <w:pStyle w:val="Lijstalinea"/>
        <w:numPr>
          <w:ilvl w:val="0"/>
          <w:numId w:val="12"/>
        </w:numPr>
        <w:jc w:val="both"/>
      </w:pPr>
      <w:r w:rsidRPr="00D679BE">
        <w:t xml:space="preserve">Aanbestedende dienst hecht groot belang aan goed contractmanagement, </w:t>
      </w:r>
      <w:r w:rsidR="004178FF" w:rsidRPr="00D679BE">
        <w:t>binnen</w:t>
      </w:r>
      <w:r w:rsidRPr="00D679BE">
        <w:t xml:space="preserve"> een professionele</w:t>
      </w:r>
      <w:r w:rsidR="004178FF" w:rsidRPr="00D679BE">
        <w:t>,</w:t>
      </w:r>
      <w:r w:rsidR="00027DDF">
        <w:t xml:space="preserve"> </w:t>
      </w:r>
      <w:r w:rsidRPr="00D679BE">
        <w:t>zakelijke relatie met opdrachtnemers. De relatief grote omvang van de gehele portefeuille raamovereenkomsten en de belangen van het Rijk aan goed presterende opdrachtnemers rechtvaardig</w:t>
      </w:r>
      <w:r w:rsidR="004178FF" w:rsidRPr="00D679BE">
        <w:t>en de inspanningen die nodig zijn om dit contractmanagement goed uit te voeren</w:t>
      </w:r>
      <w:r w:rsidRPr="00D679BE">
        <w:t xml:space="preserve">. </w:t>
      </w:r>
      <w:r w:rsidR="004178FF" w:rsidRPr="00D679BE">
        <w:t xml:space="preserve">De </w:t>
      </w:r>
      <w:proofErr w:type="spellStart"/>
      <w:r w:rsidR="004178FF" w:rsidRPr="00D679BE">
        <w:t>KPI’s</w:t>
      </w:r>
      <w:proofErr w:type="spellEnd"/>
      <w:r w:rsidR="004178FF" w:rsidRPr="00D679BE">
        <w:t xml:space="preserve"> ondersteunen hierbij.</w:t>
      </w:r>
    </w:p>
    <w:p w14:paraId="36546143" w14:textId="77777777" w:rsidR="00430FA1" w:rsidRPr="00D679BE" w:rsidRDefault="00430FA1" w:rsidP="00FB10F3">
      <w:pPr>
        <w:jc w:val="both"/>
      </w:pPr>
    </w:p>
    <w:p w14:paraId="3CD6F219" w14:textId="1D127A92" w:rsidR="00AC559C" w:rsidRPr="00D679BE" w:rsidRDefault="00AC559C" w:rsidP="00FB10F3">
      <w:pPr>
        <w:jc w:val="both"/>
        <w:rPr>
          <w:b/>
        </w:rPr>
      </w:pPr>
      <w:r w:rsidRPr="00D679BE">
        <w:rPr>
          <w:b/>
        </w:rPr>
        <w:t>Leeswijzer</w:t>
      </w:r>
    </w:p>
    <w:p w14:paraId="17CD5F8A" w14:textId="6E8A23F0" w:rsidR="00AC559C" w:rsidRPr="00D679BE" w:rsidRDefault="00AC559C" w:rsidP="007F1268">
      <w:pPr>
        <w:pStyle w:val="Lijstalinea"/>
        <w:numPr>
          <w:ilvl w:val="0"/>
          <w:numId w:val="12"/>
        </w:numPr>
        <w:jc w:val="both"/>
      </w:pPr>
      <w:r w:rsidRPr="00D679BE">
        <w:t xml:space="preserve">De werking van het KPI-model wordt toegelicht in </w:t>
      </w:r>
      <w:r w:rsidR="00DC2A90" w:rsidRPr="00D679BE">
        <w:t>hoofdstuk 2;</w:t>
      </w:r>
    </w:p>
    <w:p w14:paraId="7E6BDF6F" w14:textId="05A451A7" w:rsidR="00DC2A90" w:rsidRPr="00D679BE" w:rsidRDefault="00DC2A90" w:rsidP="007F1268">
      <w:pPr>
        <w:pStyle w:val="Lijstalinea"/>
        <w:numPr>
          <w:ilvl w:val="0"/>
          <w:numId w:val="12"/>
        </w:numPr>
        <w:jc w:val="both"/>
      </w:pPr>
      <w:r w:rsidRPr="00D679BE">
        <w:t xml:space="preserve">De afzonderlijke </w:t>
      </w:r>
      <w:proofErr w:type="spellStart"/>
      <w:r w:rsidRPr="00D679BE">
        <w:t>KPI’s</w:t>
      </w:r>
      <w:proofErr w:type="spellEnd"/>
      <w:r w:rsidRPr="00D679BE">
        <w:t xml:space="preserve"> worden in detail besproken in hoofstukken </w:t>
      </w:r>
      <w:r w:rsidR="00ED6F2C" w:rsidRPr="00D679BE">
        <w:t>3</w:t>
      </w:r>
      <w:r w:rsidRPr="00D679BE">
        <w:t xml:space="preserve"> tot en met </w:t>
      </w:r>
      <w:r w:rsidR="00ED6F2C" w:rsidRPr="00D679BE">
        <w:t>7</w:t>
      </w:r>
      <w:r w:rsidRPr="00D679BE">
        <w:t>.</w:t>
      </w:r>
    </w:p>
    <w:p w14:paraId="6DCBE09C" w14:textId="77777777" w:rsidR="000A7FC7" w:rsidRPr="00D679BE" w:rsidRDefault="000A7FC7" w:rsidP="00FB10F3">
      <w:pPr>
        <w:jc w:val="both"/>
      </w:pPr>
    </w:p>
    <w:p w14:paraId="5F6A61C4" w14:textId="34168463" w:rsidR="005A495E" w:rsidRPr="00D679BE" w:rsidRDefault="002F3709">
      <w:pPr>
        <w:spacing w:after="200" w:line="276" w:lineRule="auto"/>
        <w:rPr>
          <w:rFonts w:cs="Arial"/>
          <w:b/>
          <w:bCs/>
          <w:kern w:val="32"/>
          <w:sz w:val="24"/>
        </w:rPr>
      </w:pPr>
      <w:r w:rsidRPr="00D679BE" w:rsidDel="005A495E">
        <w:rPr>
          <w:b/>
        </w:rPr>
        <w:t xml:space="preserve">N.B. </w:t>
      </w:r>
      <w:r w:rsidR="00E47495" w:rsidRPr="00D679BE" w:rsidDel="005A495E">
        <w:t xml:space="preserve">Bij </w:t>
      </w:r>
      <w:r w:rsidR="00384D6C" w:rsidRPr="00D679BE" w:rsidDel="005A495E">
        <w:t>(</w:t>
      </w:r>
      <w:r w:rsidR="00E47495" w:rsidRPr="00D679BE" w:rsidDel="005A495E">
        <w:t>interpretatie</w:t>
      </w:r>
      <w:r w:rsidR="00384D6C" w:rsidRPr="00D679BE" w:rsidDel="005A495E">
        <w:t>-)</w:t>
      </w:r>
      <w:r w:rsidR="00E47495" w:rsidRPr="00D679BE" w:rsidDel="005A495E">
        <w:t xml:space="preserve">verschillen tussen dit document en het Programma van Eisen (bijlage </w:t>
      </w:r>
      <w:r w:rsidR="00AE4807">
        <w:t>3</w:t>
      </w:r>
      <w:r w:rsidR="00E47495" w:rsidRPr="00D679BE" w:rsidDel="005A495E">
        <w:t xml:space="preserve">) is </w:t>
      </w:r>
      <w:r w:rsidR="00276F8C" w:rsidRPr="00D679BE" w:rsidDel="005A495E">
        <w:t>laatstgenoemde</w:t>
      </w:r>
      <w:r w:rsidR="00E47495" w:rsidRPr="00D679BE" w:rsidDel="005A495E">
        <w:t xml:space="preserve"> </w:t>
      </w:r>
      <w:r w:rsidR="003F7C09" w:rsidRPr="00D679BE" w:rsidDel="005A495E">
        <w:t xml:space="preserve">bijlage </w:t>
      </w:r>
      <w:r w:rsidR="00AE4807">
        <w:t>3</w:t>
      </w:r>
      <w:r w:rsidR="00EF2B1F" w:rsidRPr="00D679BE">
        <w:t xml:space="preserve"> </w:t>
      </w:r>
      <w:r w:rsidR="00E47495" w:rsidRPr="00D679BE" w:rsidDel="005A495E">
        <w:t>leidend.</w:t>
      </w:r>
      <w:r w:rsidR="005A495E" w:rsidRPr="00D679BE">
        <w:br w:type="page"/>
      </w:r>
    </w:p>
    <w:p w14:paraId="0BAABABD" w14:textId="5770A43F" w:rsidR="003E4616" w:rsidRPr="00D679BE" w:rsidRDefault="000A7FC7" w:rsidP="00823F35">
      <w:pPr>
        <w:pStyle w:val="Kop1"/>
      </w:pPr>
      <w:bookmarkStart w:id="2" w:name="_Toc447113894"/>
      <w:bookmarkStart w:id="3" w:name="_Toc141364220"/>
      <w:r w:rsidRPr="00D679BE">
        <w:lastRenderedPageBreak/>
        <w:t xml:space="preserve">De werking van het </w:t>
      </w:r>
      <w:r w:rsidR="002D556C" w:rsidRPr="00D679BE">
        <w:t>KPI</w:t>
      </w:r>
      <w:r w:rsidR="008445E0" w:rsidRPr="00D679BE">
        <w:t>-</w:t>
      </w:r>
      <w:r w:rsidRPr="00D679BE">
        <w:t>model</w:t>
      </w:r>
      <w:bookmarkEnd w:id="2"/>
      <w:bookmarkEnd w:id="3"/>
      <w:r w:rsidR="00276F8C" w:rsidRPr="00D679BE">
        <w:tab/>
      </w:r>
    </w:p>
    <w:p w14:paraId="2FCAA6C0" w14:textId="38B0E31F" w:rsidR="00116E00" w:rsidRPr="00D679BE" w:rsidRDefault="00116E00" w:rsidP="003E4616">
      <w:r w:rsidRPr="00D679BE">
        <w:t xml:space="preserve">In onderstaande tabel is aangegeven welke </w:t>
      </w:r>
      <w:proofErr w:type="spellStart"/>
      <w:r w:rsidRPr="00D679BE">
        <w:t>KPI</w:t>
      </w:r>
      <w:r w:rsidR="00604C74" w:rsidRPr="00D679BE">
        <w:t>’</w:t>
      </w:r>
      <w:r w:rsidRPr="00D679BE">
        <w:t>s</w:t>
      </w:r>
      <w:proofErr w:type="spellEnd"/>
      <w:r w:rsidRPr="00D679BE">
        <w:t xml:space="preserve"> </w:t>
      </w:r>
      <w:r w:rsidR="00604C74" w:rsidRPr="00D679BE">
        <w:t xml:space="preserve">bij de uitvoering van de </w:t>
      </w:r>
      <w:r w:rsidR="002E07EE">
        <w:t>R</w:t>
      </w:r>
      <w:r w:rsidR="00604C74" w:rsidRPr="00D679BE">
        <w:t xml:space="preserve">aamovereenkomst en </w:t>
      </w:r>
      <w:r w:rsidR="002E07EE">
        <w:t>N</w:t>
      </w:r>
      <w:r w:rsidR="00604C74" w:rsidRPr="00D679BE">
        <w:t xml:space="preserve">adere </w:t>
      </w:r>
      <w:r w:rsidR="002E07EE">
        <w:t>O</w:t>
      </w:r>
      <w:r w:rsidR="00604C74" w:rsidRPr="00D679BE">
        <w:t xml:space="preserve">vereenkomsten </w:t>
      </w:r>
      <w:r w:rsidRPr="00D679BE">
        <w:t>worden toegepast</w:t>
      </w:r>
      <w:r w:rsidR="00604C74" w:rsidRPr="00D679BE">
        <w:t>.</w:t>
      </w:r>
    </w:p>
    <w:p w14:paraId="7A2265EC" w14:textId="77777777" w:rsidR="00285FA9" w:rsidRPr="00D679BE" w:rsidRDefault="00285FA9" w:rsidP="003E4616"/>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2977"/>
      </w:tblGrid>
      <w:tr w:rsidR="000E6522" w:rsidRPr="00D679BE" w14:paraId="54537829" w14:textId="77777777" w:rsidTr="00A00056">
        <w:trPr>
          <w:trHeight w:val="608"/>
        </w:trPr>
        <w:tc>
          <w:tcPr>
            <w:tcW w:w="6345" w:type="dxa"/>
            <w:shd w:val="clear" w:color="auto" w:fill="8DB3E2" w:themeFill="text2" w:themeFillTint="66"/>
          </w:tcPr>
          <w:p w14:paraId="0C6BCF2C" w14:textId="77777777" w:rsidR="000E6522" w:rsidRPr="00D679BE" w:rsidRDefault="000E6522" w:rsidP="00D714F1">
            <w:pPr>
              <w:rPr>
                <w:b/>
              </w:rPr>
            </w:pPr>
            <w:r w:rsidRPr="00D679BE">
              <w:rPr>
                <w:b/>
              </w:rPr>
              <w:t>Beschrijving KPI</w:t>
            </w:r>
          </w:p>
        </w:tc>
        <w:tc>
          <w:tcPr>
            <w:tcW w:w="2977" w:type="dxa"/>
            <w:shd w:val="clear" w:color="auto" w:fill="8DB3E2" w:themeFill="text2" w:themeFillTint="66"/>
          </w:tcPr>
          <w:p w14:paraId="1EF78009" w14:textId="77777777" w:rsidR="000E6522" w:rsidRPr="00D679BE" w:rsidRDefault="000E6522" w:rsidP="00116E00">
            <w:pPr>
              <w:rPr>
                <w:b/>
              </w:rPr>
            </w:pPr>
            <w:r w:rsidRPr="00D679BE">
              <w:rPr>
                <w:b/>
              </w:rPr>
              <w:t xml:space="preserve">Referentie naar </w:t>
            </w:r>
            <w:proofErr w:type="spellStart"/>
            <w:r w:rsidRPr="00D679BE">
              <w:rPr>
                <w:b/>
              </w:rPr>
              <w:t>PvE</w:t>
            </w:r>
            <w:proofErr w:type="spellEnd"/>
          </w:p>
        </w:tc>
      </w:tr>
      <w:tr w:rsidR="000E6522" w:rsidRPr="00D679BE" w14:paraId="24767871" w14:textId="77777777" w:rsidTr="00A00056">
        <w:trPr>
          <w:trHeight w:val="280"/>
        </w:trPr>
        <w:tc>
          <w:tcPr>
            <w:tcW w:w="6345" w:type="dxa"/>
          </w:tcPr>
          <w:p w14:paraId="2135B1C9" w14:textId="193DBDD9" w:rsidR="000E6522" w:rsidRPr="00D679BE" w:rsidRDefault="00F15AE5" w:rsidP="00182A9A">
            <w:pPr>
              <w:pStyle w:val="Lijstalinea"/>
              <w:numPr>
                <w:ilvl w:val="0"/>
                <w:numId w:val="3"/>
              </w:numPr>
              <w:ind w:left="426"/>
              <w:rPr>
                <w:szCs w:val="18"/>
              </w:rPr>
            </w:pPr>
            <w:r w:rsidRPr="00285FA9">
              <w:rPr>
                <w:b/>
                <w:bCs/>
              </w:rPr>
              <w:t xml:space="preserve">Tevredenheid (Net </w:t>
            </w:r>
            <w:proofErr w:type="spellStart"/>
            <w:r w:rsidRPr="00285FA9">
              <w:rPr>
                <w:b/>
                <w:bCs/>
              </w:rPr>
              <w:t>Promoter</w:t>
            </w:r>
            <w:proofErr w:type="spellEnd"/>
            <w:r w:rsidRPr="00285FA9">
              <w:rPr>
                <w:b/>
                <w:bCs/>
              </w:rPr>
              <w:t xml:space="preserve"> Score) over </w:t>
            </w:r>
            <w:r w:rsidR="00863BE9">
              <w:rPr>
                <w:b/>
                <w:bCs/>
              </w:rPr>
              <w:t>ingezette</w:t>
            </w:r>
            <w:r w:rsidRPr="00285FA9">
              <w:rPr>
                <w:b/>
                <w:bCs/>
              </w:rPr>
              <w:t xml:space="preserve"> ICT-Professiona</w:t>
            </w:r>
            <w:r w:rsidR="00285FA9">
              <w:rPr>
                <w:b/>
                <w:bCs/>
              </w:rPr>
              <w:t>ls</w:t>
            </w:r>
            <w:r w:rsidR="000E6522" w:rsidRPr="00D679BE">
              <w:rPr>
                <w:szCs w:val="18"/>
              </w:rPr>
              <w:br/>
            </w:r>
            <w:r w:rsidR="0046245D">
              <w:rPr>
                <w:szCs w:val="18"/>
              </w:rPr>
              <w:t xml:space="preserve">Opdrachtnemer streeft naar een hoge Net </w:t>
            </w:r>
            <w:proofErr w:type="spellStart"/>
            <w:r w:rsidR="0046245D">
              <w:rPr>
                <w:szCs w:val="18"/>
              </w:rPr>
              <w:t>Promoter</w:t>
            </w:r>
            <w:proofErr w:type="spellEnd"/>
            <w:r w:rsidR="0046245D">
              <w:rPr>
                <w:szCs w:val="18"/>
              </w:rPr>
              <w:t xml:space="preserve"> Score over de namens hem bij </w:t>
            </w:r>
            <w:r w:rsidR="002E07EE">
              <w:rPr>
                <w:szCs w:val="18"/>
              </w:rPr>
              <w:t>D</w:t>
            </w:r>
            <w:r w:rsidR="0046245D">
              <w:rPr>
                <w:szCs w:val="18"/>
              </w:rPr>
              <w:t xml:space="preserve">eelnemer </w:t>
            </w:r>
            <w:r w:rsidR="00863BE9">
              <w:rPr>
                <w:szCs w:val="18"/>
              </w:rPr>
              <w:t>ingezett</w:t>
            </w:r>
            <w:r w:rsidR="00823F35">
              <w:rPr>
                <w:szCs w:val="18"/>
              </w:rPr>
              <w:t>e</w:t>
            </w:r>
            <w:r w:rsidR="0046245D">
              <w:rPr>
                <w:szCs w:val="18"/>
              </w:rPr>
              <w:t xml:space="preserve"> ICT-Professionals. Dit duidt op een hoge tevredenheid van deze </w:t>
            </w:r>
            <w:r w:rsidR="0041283D">
              <w:rPr>
                <w:szCs w:val="18"/>
              </w:rPr>
              <w:t>D</w:t>
            </w:r>
            <w:r w:rsidR="0046245D">
              <w:rPr>
                <w:szCs w:val="18"/>
              </w:rPr>
              <w:t>eelnemer.</w:t>
            </w:r>
            <w:r w:rsidR="00B078A5">
              <w:rPr>
                <w:szCs w:val="18"/>
              </w:rPr>
              <w:t xml:space="preserve"> </w:t>
            </w:r>
          </w:p>
        </w:tc>
        <w:tc>
          <w:tcPr>
            <w:tcW w:w="2977" w:type="dxa"/>
          </w:tcPr>
          <w:p w14:paraId="2AA83479" w14:textId="1FC20016" w:rsidR="00B078A5" w:rsidRPr="00285FA9" w:rsidRDefault="000E6522" w:rsidP="00BB1C4A">
            <w:pPr>
              <w:rPr>
                <w:lang w:val="de-DE"/>
              </w:rPr>
            </w:pPr>
            <w:r w:rsidRPr="007D0F1C">
              <w:rPr>
                <w:b/>
                <w:szCs w:val="18"/>
                <w:lang w:val="de-DE"/>
              </w:rPr>
              <w:t>KPI-1</w:t>
            </w:r>
            <w:r w:rsidRPr="007D0F1C">
              <w:rPr>
                <w:bCs/>
                <w:szCs w:val="18"/>
                <w:lang w:val="de-DE"/>
              </w:rPr>
              <w:t>:</w:t>
            </w:r>
            <w:r w:rsidRPr="00285FA9">
              <w:rPr>
                <w:szCs w:val="18"/>
                <w:lang w:val="de-DE"/>
              </w:rPr>
              <w:t xml:space="preserve"> </w:t>
            </w:r>
            <w:r w:rsidR="002E07EE" w:rsidRPr="00285FA9">
              <w:rPr>
                <w:szCs w:val="18"/>
                <w:lang w:val="de-DE"/>
              </w:rPr>
              <w:t>PvE K.7 t/m K.11</w:t>
            </w:r>
            <w:r w:rsidR="00B078A5" w:rsidRPr="00285FA9">
              <w:rPr>
                <w:lang w:val="de-DE"/>
              </w:rPr>
              <w:t xml:space="preserve"> </w:t>
            </w:r>
          </w:p>
          <w:p w14:paraId="5AADE2A4" w14:textId="365C6285" w:rsidR="00B078A5" w:rsidRDefault="007D0F1C" w:rsidP="00B078A5">
            <w:r>
              <w:t>Norm: o</w:t>
            </w:r>
            <w:r w:rsidR="00B078A5">
              <w:t xml:space="preserve">pdrachtnemer streeft naar een </w:t>
            </w:r>
            <w:r w:rsidR="00B078A5" w:rsidRPr="00B078A5">
              <w:t xml:space="preserve">NPS-ON </w:t>
            </w:r>
            <w:r w:rsidR="00B078A5">
              <w:t>van +</w:t>
            </w:r>
            <w:r w:rsidR="00B078A5" w:rsidRPr="00B078A5">
              <w:t>20(%) of hoger.</w:t>
            </w:r>
          </w:p>
          <w:p w14:paraId="249CC453" w14:textId="77777777" w:rsidR="00B078A5" w:rsidRDefault="00B078A5" w:rsidP="00B078A5"/>
          <w:p w14:paraId="0D8D2679" w14:textId="2025CD49" w:rsidR="00F15AE5" w:rsidRPr="00D679BE" w:rsidRDefault="00F15AE5">
            <w:pPr>
              <w:rPr>
                <w:color w:val="000000" w:themeColor="text1"/>
              </w:rPr>
            </w:pPr>
          </w:p>
        </w:tc>
      </w:tr>
      <w:tr w:rsidR="000E6522" w:rsidRPr="00D679BE" w14:paraId="01C4A6FF" w14:textId="77777777" w:rsidTr="00A00056">
        <w:tc>
          <w:tcPr>
            <w:tcW w:w="6345" w:type="dxa"/>
          </w:tcPr>
          <w:p w14:paraId="6FF747F0" w14:textId="2C661C28" w:rsidR="000E6522" w:rsidRPr="00D679BE" w:rsidRDefault="000E6522" w:rsidP="008D59F1">
            <w:pPr>
              <w:pStyle w:val="Lijstalinea"/>
              <w:numPr>
                <w:ilvl w:val="0"/>
                <w:numId w:val="3"/>
              </w:numPr>
              <w:ind w:left="426"/>
              <w:rPr>
                <w:b/>
                <w:szCs w:val="18"/>
              </w:rPr>
            </w:pPr>
            <w:r w:rsidRPr="00D679BE">
              <w:rPr>
                <w:b/>
                <w:szCs w:val="18"/>
              </w:rPr>
              <w:t xml:space="preserve">Aanbiedingsbetrouwbaarheid </w:t>
            </w:r>
          </w:p>
          <w:p w14:paraId="7C8FA790" w14:textId="06CF2807" w:rsidR="000E6522" w:rsidRPr="00D679BE" w:rsidRDefault="00515CDE" w:rsidP="00182A9A">
            <w:pPr>
              <w:pStyle w:val="Lijstalinea"/>
              <w:ind w:left="426"/>
              <w:rPr>
                <w:szCs w:val="18"/>
              </w:rPr>
            </w:pPr>
            <w:r w:rsidRPr="00D679BE">
              <w:rPr>
                <w:szCs w:val="18"/>
              </w:rPr>
              <w:t>Opdrachtnemer</w:t>
            </w:r>
            <w:r w:rsidR="000E6522" w:rsidRPr="00D679BE">
              <w:rPr>
                <w:szCs w:val="18"/>
              </w:rPr>
              <w:t xml:space="preserve"> moet zo vaak mogelijk, maar niet minder dan het in het </w:t>
            </w:r>
            <w:proofErr w:type="spellStart"/>
            <w:r w:rsidR="000E6522" w:rsidRPr="00D679BE">
              <w:rPr>
                <w:szCs w:val="18"/>
              </w:rPr>
              <w:t>PvE</w:t>
            </w:r>
            <w:proofErr w:type="spellEnd"/>
            <w:r w:rsidR="000E6522" w:rsidRPr="00D679BE">
              <w:rPr>
                <w:szCs w:val="18"/>
              </w:rPr>
              <w:t xml:space="preserve"> opgegeven percentage, op de </w:t>
            </w:r>
            <w:r w:rsidR="00695257">
              <w:rPr>
                <w:szCs w:val="18"/>
              </w:rPr>
              <w:t>Aanvra</w:t>
            </w:r>
            <w:r w:rsidR="000E6522" w:rsidRPr="00D679BE">
              <w:rPr>
                <w:szCs w:val="18"/>
              </w:rPr>
              <w:t xml:space="preserve">gen een </w:t>
            </w:r>
            <w:r w:rsidR="008627DC">
              <w:rPr>
                <w:szCs w:val="18"/>
              </w:rPr>
              <w:t>K</w:t>
            </w:r>
            <w:r w:rsidR="000E6522" w:rsidRPr="00D679BE">
              <w:rPr>
                <w:szCs w:val="18"/>
              </w:rPr>
              <w:t xml:space="preserve">andidaat aanbieden die </w:t>
            </w:r>
            <w:r w:rsidR="00D34A59" w:rsidRPr="00D679BE">
              <w:rPr>
                <w:szCs w:val="18"/>
              </w:rPr>
              <w:t xml:space="preserve">niet door Opdrachtnemer is/wordt teruggetrokken en </w:t>
            </w:r>
            <w:r w:rsidR="000E6522" w:rsidRPr="00D679BE">
              <w:rPr>
                <w:szCs w:val="18"/>
              </w:rPr>
              <w:t xml:space="preserve">aan de in de </w:t>
            </w:r>
            <w:r w:rsidR="008627DC">
              <w:rPr>
                <w:szCs w:val="18"/>
              </w:rPr>
              <w:t>Aanvraag</w:t>
            </w:r>
            <w:r w:rsidR="000E6522" w:rsidRPr="00D679BE">
              <w:rPr>
                <w:szCs w:val="18"/>
              </w:rPr>
              <w:t xml:space="preserve"> gestelde minimumeisen voldoet.</w:t>
            </w:r>
          </w:p>
        </w:tc>
        <w:tc>
          <w:tcPr>
            <w:tcW w:w="2977" w:type="dxa"/>
          </w:tcPr>
          <w:p w14:paraId="72DC6328" w14:textId="512976C3" w:rsidR="000F2C5B" w:rsidRPr="000F2C5B" w:rsidRDefault="000E6522" w:rsidP="00697924">
            <w:pPr>
              <w:rPr>
                <w:lang w:val="de-DE"/>
              </w:rPr>
            </w:pPr>
            <w:r w:rsidRPr="000F2C5B">
              <w:rPr>
                <w:b/>
                <w:lang w:val="de-DE"/>
              </w:rPr>
              <w:t>KPI-2</w:t>
            </w:r>
            <w:r w:rsidRPr="000F2C5B">
              <w:rPr>
                <w:lang w:val="de-DE"/>
              </w:rPr>
              <w:t xml:space="preserve">: </w:t>
            </w:r>
            <w:r w:rsidR="000F2C5B" w:rsidRPr="000F2C5B">
              <w:rPr>
                <w:lang w:val="de-DE"/>
              </w:rPr>
              <w:t>PvE K.12 t/m K</w:t>
            </w:r>
            <w:r w:rsidR="000F2C5B">
              <w:rPr>
                <w:lang w:val="de-DE"/>
              </w:rPr>
              <w:t>17.2</w:t>
            </w:r>
          </w:p>
          <w:p w14:paraId="179262FC" w14:textId="4EA6118A" w:rsidR="00F15AE5" w:rsidRDefault="007D0F1C" w:rsidP="00697924">
            <w:r>
              <w:t>Norm</w:t>
            </w:r>
            <w:r w:rsidR="000F2C5B">
              <w:t xml:space="preserve">: </w:t>
            </w:r>
            <w:r w:rsidR="005456C1">
              <w:t>65</w:t>
            </w:r>
            <w:r>
              <w:rPr>
                <w:color w:val="000000" w:themeColor="text1"/>
              </w:rPr>
              <w:t>%</w:t>
            </w:r>
            <w:r w:rsidR="00F15AE5" w:rsidRPr="00D679BE">
              <w:t xml:space="preserve"> </w:t>
            </w:r>
          </w:p>
          <w:p w14:paraId="46581243" w14:textId="5EB79672" w:rsidR="00F15AE5" w:rsidRDefault="00F15AE5" w:rsidP="00697924">
            <w:r>
              <w:t xml:space="preserve">Compensatiegrond 1: </w:t>
            </w:r>
            <w:r w:rsidR="005456C1">
              <w:t>55</w:t>
            </w:r>
            <w:r>
              <w:t>%</w:t>
            </w:r>
          </w:p>
          <w:p w14:paraId="4ED748B9" w14:textId="43F49F0D" w:rsidR="000E6522" w:rsidRPr="00D679BE" w:rsidRDefault="00F15AE5" w:rsidP="00697924">
            <w:r>
              <w:t xml:space="preserve">Compensatiegrond 2: </w:t>
            </w:r>
            <w:r w:rsidR="005456C1">
              <w:t>55</w:t>
            </w:r>
            <w:r>
              <w:t>%</w:t>
            </w:r>
            <w:r w:rsidR="008F0414" w:rsidRPr="00D679BE">
              <w:br/>
            </w:r>
          </w:p>
        </w:tc>
      </w:tr>
      <w:tr w:rsidR="000E6522" w:rsidRPr="00D679BE" w14:paraId="38BFA1F9" w14:textId="77777777" w:rsidTr="00A00056">
        <w:tc>
          <w:tcPr>
            <w:tcW w:w="6345" w:type="dxa"/>
          </w:tcPr>
          <w:p w14:paraId="5C5CAD61" w14:textId="77777777" w:rsidR="000E6522" w:rsidRPr="00D679BE" w:rsidRDefault="000E6522" w:rsidP="008D59F1">
            <w:pPr>
              <w:pStyle w:val="Lijstalinea"/>
              <w:numPr>
                <w:ilvl w:val="0"/>
                <w:numId w:val="3"/>
              </w:numPr>
              <w:ind w:left="426"/>
              <w:rPr>
                <w:b/>
                <w:szCs w:val="18"/>
              </w:rPr>
            </w:pPr>
            <w:r w:rsidRPr="00D679BE">
              <w:rPr>
                <w:b/>
                <w:szCs w:val="18"/>
              </w:rPr>
              <w:t xml:space="preserve">Uitvalpercentage </w:t>
            </w:r>
          </w:p>
          <w:p w14:paraId="6A745913" w14:textId="5E97DA05" w:rsidR="000E6522" w:rsidRPr="00D679BE" w:rsidRDefault="00515CDE" w:rsidP="00876F59">
            <w:pPr>
              <w:pStyle w:val="Lijstalinea"/>
              <w:tabs>
                <w:tab w:val="center" w:pos="851"/>
                <w:tab w:val="right" w:pos="9072"/>
              </w:tabs>
              <w:ind w:left="426"/>
              <w:rPr>
                <w:szCs w:val="18"/>
              </w:rPr>
            </w:pPr>
            <w:r w:rsidRPr="00D679BE">
              <w:rPr>
                <w:szCs w:val="18"/>
              </w:rPr>
              <w:t>Opdrachtnemer</w:t>
            </w:r>
            <w:r w:rsidR="000E6522" w:rsidRPr="00D679BE">
              <w:rPr>
                <w:szCs w:val="18"/>
              </w:rPr>
              <w:t xml:space="preserve"> mag tijdens de uitvoering van de opdracht niet meer dan het in het </w:t>
            </w:r>
            <w:proofErr w:type="spellStart"/>
            <w:r w:rsidR="000E6522" w:rsidRPr="00D679BE">
              <w:rPr>
                <w:szCs w:val="18"/>
              </w:rPr>
              <w:t>PvE</w:t>
            </w:r>
            <w:proofErr w:type="spellEnd"/>
            <w:r w:rsidR="000E6522" w:rsidRPr="00D679BE">
              <w:rPr>
                <w:szCs w:val="18"/>
              </w:rPr>
              <w:t xml:space="preserve"> vastgestelde percentage uitval van </w:t>
            </w:r>
            <w:r w:rsidR="007D0F1C">
              <w:rPr>
                <w:szCs w:val="18"/>
              </w:rPr>
              <w:t>ICT-Professionals</w:t>
            </w:r>
            <w:r w:rsidR="000E6522" w:rsidRPr="00D679BE">
              <w:rPr>
                <w:szCs w:val="18"/>
              </w:rPr>
              <w:t xml:space="preserve"> hebben. </w:t>
            </w:r>
          </w:p>
        </w:tc>
        <w:tc>
          <w:tcPr>
            <w:tcW w:w="2977" w:type="dxa"/>
          </w:tcPr>
          <w:p w14:paraId="2A3B4677" w14:textId="57FDC539" w:rsidR="000E6522" w:rsidRPr="007D0F1C" w:rsidRDefault="000E6522" w:rsidP="000F2C5B">
            <w:pPr>
              <w:tabs>
                <w:tab w:val="center" w:pos="851"/>
                <w:tab w:val="right" w:pos="9072"/>
              </w:tabs>
              <w:rPr>
                <w:szCs w:val="18"/>
              </w:rPr>
            </w:pPr>
            <w:r w:rsidRPr="007D0F1C">
              <w:rPr>
                <w:b/>
                <w:szCs w:val="18"/>
              </w:rPr>
              <w:t>KPI-</w:t>
            </w:r>
            <w:r w:rsidR="00D34A59" w:rsidRPr="007D0F1C">
              <w:rPr>
                <w:b/>
                <w:szCs w:val="18"/>
              </w:rPr>
              <w:t>3</w:t>
            </w:r>
            <w:r w:rsidRPr="007D0F1C">
              <w:rPr>
                <w:szCs w:val="18"/>
              </w:rPr>
              <w:t>:</w:t>
            </w:r>
            <w:r w:rsidR="006E07F6" w:rsidRPr="007D0F1C">
              <w:rPr>
                <w:szCs w:val="18"/>
              </w:rPr>
              <w:t xml:space="preserve"> </w:t>
            </w:r>
            <w:proofErr w:type="spellStart"/>
            <w:r w:rsidR="000F2C5B" w:rsidRPr="007D0F1C">
              <w:rPr>
                <w:szCs w:val="18"/>
              </w:rPr>
              <w:t>PvE</w:t>
            </w:r>
            <w:proofErr w:type="spellEnd"/>
            <w:r w:rsidR="000F2C5B" w:rsidRPr="007D0F1C">
              <w:rPr>
                <w:szCs w:val="18"/>
              </w:rPr>
              <w:t xml:space="preserve"> K.18 t/m K.2</w:t>
            </w:r>
            <w:r w:rsidR="00A25FCB">
              <w:rPr>
                <w:szCs w:val="18"/>
              </w:rPr>
              <w:t>5</w:t>
            </w:r>
            <w:r w:rsidR="007D0F1C" w:rsidRPr="007D0F1C">
              <w:rPr>
                <w:szCs w:val="18"/>
              </w:rPr>
              <w:t xml:space="preserve"> Norm</w:t>
            </w:r>
            <w:r w:rsidR="000F2C5B">
              <w:rPr>
                <w:szCs w:val="18"/>
              </w:rPr>
              <w:t>:</w:t>
            </w:r>
            <w:r w:rsidR="005456C1">
              <w:rPr>
                <w:szCs w:val="18"/>
              </w:rPr>
              <w:t>5</w:t>
            </w:r>
            <w:r w:rsidR="007D0F1C">
              <w:rPr>
                <w:color w:val="000000" w:themeColor="text1"/>
                <w:szCs w:val="18"/>
              </w:rPr>
              <w:t>%</w:t>
            </w:r>
          </w:p>
        </w:tc>
      </w:tr>
      <w:tr w:rsidR="008F0414" w:rsidRPr="00D679BE" w14:paraId="5EEEA66F" w14:textId="77777777" w:rsidTr="00A00056">
        <w:tc>
          <w:tcPr>
            <w:tcW w:w="6345" w:type="dxa"/>
            <w:tcBorders>
              <w:bottom w:val="single" w:sz="4" w:space="0" w:color="auto"/>
            </w:tcBorders>
          </w:tcPr>
          <w:p w14:paraId="00742800" w14:textId="77777777" w:rsidR="008F0414" w:rsidRPr="00D679BE" w:rsidRDefault="008F0414" w:rsidP="008D59F1">
            <w:pPr>
              <w:pStyle w:val="Lijstalinea"/>
              <w:numPr>
                <w:ilvl w:val="0"/>
                <w:numId w:val="3"/>
              </w:numPr>
              <w:ind w:left="426"/>
              <w:rPr>
                <w:b/>
                <w:szCs w:val="18"/>
              </w:rPr>
            </w:pPr>
            <w:r w:rsidRPr="00D679BE">
              <w:rPr>
                <w:b/>
                <w:szCs w:val="18"/>
              </w:rPr>
              <w:t>Aanlevering rapportages</w:t>
            </w:r>
          </w:p>
          <w:p w14:paraId="032F46F2" w14:textId="0293E5A9" w:rsidR="008F0414" w:rsidRPr="00D679BE" w:rsidRDefault="00515CDE" w:rsidP="00876F59">
            <w:pPr>
              <w:pStyle w:val="Lijstalinea"/>
              <w:tabs>
                <w:tab w:val="center" w:pos="851"/>
                <w:tab w:val="right" w:pos="9072"/>
              </w:tabs>
              <w:ind w:left="426"/>
              <w:rPr>
                <w:szCs w:val="18"/>
              </w:rPr>
            </w:pPr>
            <w:r w:rsidRPr="00D679BE">
              <w:rPr>
                <w:szCs w:val="18"/>
              </w:rPr>
              <w:t>Opdrachtnemer</w:t>
            </w:r>
            <w:r w:rsidR="008F0414" w:rsidRPr="00D679BE">
              <w:rPr>
                <w:szCs w:val="18"/>
              </w:rPr>
              <w:t xml:space="preserve"> dient structureel op tijd en conform specificaties de vereiste rapportages op te leveren.</w:t>
            </w:r>
          </w:p>
        </w:tc>
        <w:tc>
          <w:tcPr>
            <w:tcW w:w="2977" w:type="dxa"/>
            <w:tcBorders>
              <w:bottom w:val="single" w:sz="4" w:space="0" w:color="auto"/>
            </w:tcBorders>
          </w:tcPr>
          <w:p w14:paraId="2D0403D8" w14:textId="77777777" w:rsidR="008F0414" w:rsidRDefault="008F0414" w:rsidP="008D59F1">
            <w:pPr>
              <w:tabs>
                <w:tab w:val="center" w:pos="851"/>
                <w:tab w:val="right" w:pos="9072"/>
              </w:tabs>
              <w:rPr>
                <w:bCs/>
                <w:szCs w:val="18"/>
              </w:rPr>
            </w:pPr>
            <w:r w:rsidRPr="00D679BE">
              <w:rPr>
                <w:b/>
                <w:szCs w:val="18"/>
              </w:rPr>
              <w:t>KPI-</w:t>
            </w:r>
            <w:r w:rsidR="008D59F1" w:rsidRPr="00D679BE">
              <w:rPr>
                <w:b/>
                <w:szCs w:val="18"/>
              </w:rPr>
              <w:t>4</w:t>
            </w:r>
            <w:r w:rsidR="000F2C5B" w:rsidRPr="007D0F1C">
              <w:rPr>
                <w:bCs/>
                <w:szCs w:val="18"/>
              </w:rPr>
              <w:t>: K.26 t/m K.29</w:t>
            </w:r>
          </w:p>
          <w:p w14:paraId="47C15535" w14:textId="0A2F5F37" w:rsidR="007D0F1C" w:rsidRPr="00D679BE" w:rsidRDefault="007D0F1C" w:rsidP="008D59F1">
            <w:pPr>
              <w:tabs>
                <w:tab w:val="center" w:pos="851"/>
                <w:tab w:val="right" w:pos="9072"/>
              </w:tabs>
              <w:rPr>
                <w:b/>
                <w:szCs w:val="18"/>
              </w:rPr>
            </w:pPr>
            <w:r>
              <w:rPr>
                <w:bCs/>
                <w:szCs w:val="18"/>
              </w:rPr>
              <w:t>Norm: tijdig, juist, compleet</w:t>
            </w:r>
          </w:p>
        </w:tc>
      </w:tr>
      <w:tr w:rsidR="000E6522" w:rsidRPr="00645A7D" w14:paraId="48FBFBCE" w14:textId="69795462" w:rsidTr="00A00056">
        <w:tc>
          <w:tcPr>
            <w:tcW w:w="6345" w:type="dxa"/>
          </w:tcPr>
          <w:p w14:paraId="707DA3FE" w14:textId="77777777" w:rsidR="00876F59" w:rsidRPr="00D679BE" w:rsidRDefault="000E6522" w:rsidP="008D59F1">
            <w:pPr>
              <w:pStyle w:val="Lijstalinea"/>
              <w:numPr>
                <w:ilvl w:val="0"/>
                <w:numId w:val="3"/>
              </w:numPr>
              <w:ind w:left="426"/>
              <w:rPr>
                <w:b/>
                <w:szCs w:val="18"/>
              </w:rPr>
            </w:pPr>
            <w:r w:rsidRPr="00D679BE">
              <w:rPr>
                <w:b/>
                <w:szCs w:val="18"/>
              </w:rPr>
              <w:t>Rekenfactor gemiddeld tarief</w:t>
            </w:r>
            <w:r w:rsidR="006E07F6" w:rsidRPr="00D679BE">
              <w:rPr>
                <w:b/>
                <w:szCs w:val="18"/>
              </w:rPr>
              <w:t xml:space="preserve"> </w:t>
            </w:r>
          </w:p>
          <w:p w14:paraId="1310BBE0" w14:textId="699A7E3B" w:rsidR="000E6522" w:rsidRPr="00D679BE" w:rsidRDefault="000E6522" w:rsidP="00876F59">
            <w:pPr>
              <w:pStyle w:val="Lijstalinea"/>
              <w:tabs>
                <w:tab w:val="center" w:pos="851"/>
                <w:tab w:val="right" w:pos="9072"/>
              </w:tabs>
              <w:ind w:left="426"/>
              <w:rPr>
                <w:b/>
                <w:szCs w:val="18"/>
              </w:rPr>
            </w:pPr>
            <w:r w:rsidRPr="00D679BE">
              <w:rPr>
                <w:szCs w:val="18"/>
              </w:rPr>
              <w:t>Het gemid</w:t>
            </w:r>
            <w:r w:rsidR="00876F59" w:rsidRPr="00D679BE">
              <w:rPr>
                <w:szCs w:val="18"/>
              </w:rPr>
              <w:t>delde over een meetperiode door</w:t>
            </w:r>
            <w:r w:rsidR="006E07F6" w:rsidRPr="00D679BE">
              <w:rPr>
                <w:szCs w:val="18"/>
              </w:rPr>
              <w:t xml:space="preserve"> </w:t>
            </w:r>
            <w:r w:rsidR="007D0F1C">
              <w:rPr>
                <w:szCs w:val="18"/>
              </w:rPr>
              <w:t>o</w:t>
            </w:r>
            <w:r w:rsidR="00515CDE" w:rsidRPr="00D679BE">
              <w:rPr>
                <w:szCs w:val="18"/>
              </w:rPr>
              <w:t>pdrachtnemer</w:t>
            </w:r>
            <w:r w:rsidRPr="00D679BE">
              <w:rPr>
                <w:szCs w:val="18"/>
              </w:rPr>
              <w:t xml:space="preserve"> geboden uurtarief gaat ten opzichte</w:t>
            </w:r>
            <w:r w:rsidR="006E07F6" w:rsidRPr="00D679BE">
              <w:rPr>
                <w:szCs w:val="18"/>
              </w:rPr>
              <w:t xml:space="preserve"> </w:t>
            </w:r>
            <w:r w:rsidRPr="00D679BE">
              <w:rPr>
                <w:szCs w:val="18"/>
              </w:rPr>
              <w:t>van de schaal niet uit boven de door</w:t>
            </w:r>
            <w:r w:rsidR="006E07F6" w:rsidRPr="00D679BE">
              <w:rPr>
                <w:szCs w:val="18"/>
              </w:rPr>
              <w:t xml:space="preserve"> </w:t>
            </w:r>
            <w:r w:rsidRPr="00D679BE">
              <w:rPr>
                <w:szCs w:val="18"/>
              </w:rPr>
              <w:t>hemzelf opgegeven rekenfactor.</w:t>
            </w:r>
          </w:p>
        </w:tc>
        <w:tc>
          <w:tcPr>
            <w:tcW w:w="2977" w:type="dxa"/>
          </w:tcPr>
          <w:p w14:paraId="323B3FCF" w14:textId="77777777" w:rsidR="000E6522" w:rsidRPr="00645A7D" w:rsidRDefault="000E6522" w:rsidP="000F2C5B">
            <w:pPr>
              <w:tabs>
                <w:tab w:val="center" w:pos="851"/>
                <w:tab w:val="right" w:pos="9072"/>
              </w:tabs>
              <w:rPr>
                <w:bCs/>
                <w:szCs w:val="18"/>
                <w:lang w:val="de-DE"/>
              </w:rPr>
            </w:pPr>
            <w:r w:rsidRPr="000F2C5B">
              <w:rPr>
                <w:b/>
                <w:szCs w:val="18"/>
                <w:lang w:val="de-DE"/>
              </w:rPr>
              <w:t>KPI-</w:t>
            </w:r>
            <w:r w:rsidR="00D34A59" w:rsidRPr="000F2C5B">
              <w:rPr>
                <w:b/>
                <w:szCs w:val="18"/>
                <w:lang w:val="de-DE"/>
              </w:rPr>
              <w:t>5</w:t>
            </w:r>
            <w:r w:rsidR="000F2C5B" w:rsidRPr="007D0F1C">
              <w:rPr>
                <w:bCs/>
                <w:szCs w:val="18"/>
                <w:lang w:val="de-DE"/>
              </w:rPr>
              <w:t>: K.30 t/m K.39</w:t>
            </w:r>
          </w:p>
          <w:p w14:paraId="37EBB9A4" w14:textId="77931B96" w:rsidR="000F2C5B" w:rsidRPr="00645A7D" w:rsidRDefault="007D0F1C" w:rsidP="000F2C5B">
            <w:pPr>
              <w:tabs>
                <w:tab w:val="center" w:pos="851"/>
                <w:tab w:val="right" w:pos="9072"/>
              </w:tabs>
              <w:rPr>
                <w:bCs/>
                <w:szCs w:val="18"/>
              </w:rPr>
            </w:pPr>
            <w:r w:rsidRPr="00645A7D">
              <w:rPr>
                <w:bCs/>
                <w:szCs w:val="18"/>
              </w:rPr>
              <w:t xml:space="preserve">Norm: </w:t>
            </w:r>
            <w:proofErr w:type="spellStart"/>
            <w:r w:rsidR="00645A7D" w:rsidRPr="00645A7D">
              <w:rPr>
                <w:bCs/>
                <w:szCs w:val="18"/>
              </w:rPr>
              <w:t>gew</w:t>
            </w:r>
            <w:proofErr w:type="spellEnd"/>
            <w:r w:rsidR="00645A7D" w:rsidRPr="00645A7D">
              <w:rPr>
                <w:bCs/>
                <w:szCs w:val="18"/>
              </w:rPr>
              <w:t xml:space="preserve">. gem. uurtarief ≤ </w:t>
            </w:r>
            <w:proofErr w:type="spellStart"/>
            <w:r w:rsidR="00645A7D" w:rsidRPr="00645A7D">
              <w:rPr>
                <w:bCs/>
                <w:szCs w:val="18"/>
              </w:rPr>
              <w:t>gew</w:t>
            </w:r>
            <w:proofErr w:type="spellEnd"/>
            <w:r w:rsidR="00645A7D" w:rsidRPr="00645A7D">
              <w:rPr>
                <w:bCs/>
                <w:szCs w:val="18"/>
              </w:rPr>
              <w:t xml:space="preserve">. </w:t>
            </w:r>
            <w:r w:rsidR="00645A7D">
              <w:rPr>
                <w:bCs/>
                <w:szCs w:val="18"/>
              </w:rPr>
              <w:t>gem. tarief HOT x rekenfactor</w:t>
            </w:r>
          </w:p>
        </w:tc>
      </w:tr>
    </w:tbl>
    <w:p w14:paraId="36C1A3F9" w14:textId="77777777" w:rsidR="00B16B23" w:rsidRPr="00645A7D" w:rsidRDefault="00B16B23" w:rsidP="00EA13ED"/>
    <w:p w14:paraId="413E626C" w14:textId="7E7D6C92" w:rsidR="00A13EBE" w:rsidRPr="00D679BE" w:rsidRDefault="00116E00">
      <w:pPr>
        <w:spacing w:after="200" w:line="276" w:lineRule="auto"/>
      </w:pPr>
      <w:r w:rsidRPr="00D679BE">
        <w:t xml:space="preserve">De </w:t>
      </w:r>
      <w:r w:rsidR="002F3709" w:rsidRPr="00D679BE">
        <w:t>vaststelling van</w:t>
      </w:r>
      <w:r w:rsidRPr="00D679BE">
        <w:t xml:space="preserve"> </w:t>
      </w:r>
      <w:r w:rsidR="00A3767F" w:rsidRPr="00D679BE">
        <w:t xml:space="preserve">de </w:t>
      </w:r>
      <w:r w:rsidR="001E399F" w:rsidRPr="00D679BE">
        <w:t xml:space="preserve">prestaties </w:t>
      </w:r>
      <w:r w:rsidR="00A3767F" w:rsidRPr="00D679BE">
        <w:t xml:space="preserve">van opdrachtnemer voor </w:t>
      </w:r>
      <w:r w:rsidRPr="00D679BE">
        <w:t xml:space="preserve">deze </w:t>
      </w:r>
      <w:proofErr w:type="spellStart"/>
      <w:r w:rsidRPr="00D679BE">
        <w:t>KPI</w:t>
      </w:r>
      <w:r w:rsidR="002F3709" w:rsidRPr="00D679BE">
        <w:t>’</w:t>
      </w:r>
      <w:r w:rsidRPr="00D679BE">
        <w:t>s</w:t>
      </w:r>
      <w:proofErr w:type="spellEnd"/>
      <w:r w:rsidRPr="00D679BE">
        <w:t xml:space="preserve"> </w:t>
      </w:r>
      <w:r w:rsidR="002F3709" w:rsidRPr="00D679BE">
        <w:t xml:space="preserve">vindt plaats </w:t>
      </w:r>
      <w:r w:rsidRPr="00D679BE">
        <w:t>op het niveau van de raamovereenkomst</w:t>
      </w:r>
      <w:r w:rsidR="002F3709" w:rsidRPr="00D679BE">
        <w:t xml:space="preserve">. </w:t>
      </w:r>
      <w:r w:rsidR="00A3767F" w:rsidRPr="00D679BE">
        <w:t xml:space="preserve">De KPI-resultaten worden per opdrachtnemer voor alle </w:t>
      </w:r>
      <w:r w:rsidR="008627DC">
        <w:t>Deelnemer</w:t>
      </w:r>
      <w:r w:rsidR="00C11A5A" w:rsidRPr="00D679BE">
        <w:t xml:space="preserve">s </w:t>
      </w:r>
      <w:r w:rsidR="00A3767F" w:rsidRPr="00D679BE">
        <w:t xml:space="preserve">aan een raamovereenkomst </w:t>
      </w:r>
      <w:r w:rsidR="00B60410" w:rsidRPr="00D679BE">
        <w:t>tezamen</w:t>
      </w:r>
      <w:r w:rsidR="00A3767F" w:rsidRPr="00D679BE">
        <w:t xml:space="preserve"> vastgesteld.</w:t>
      </w:r>
      <w:r w:rsidR="00EB7312" w:rsidRPr="00D679BE">
        <w:t xml:space="preserve"> </w:t>
      </w:r>
      <w:r w:rsidR="002F3709" w:rsidRPr="00D679BE">
        <w:t>Daartoe word</w:t>
      </w:r>
      <w:r w:rsidR="00620780" w:rsidRPr="00D679BE">
        <w:t>t</w:t>
      </w:r>
      <w:r w:rsidR="002F3709" w:rsidRPr="00D679BE">
        <w:t xml:space="preserve"> </w:t>
      </w:r>
      <w:r w:rsidRPr="00D679BE">
        <w:t xml:space="preserve">door </w:t>
      </w:r>
      <w:r w:rsidR="00D63752">
        <w:t>o</w:t>
      </w:r>
      <w:r w:rsidR="00D34A59" w:rsidRPr="00D679BE">
        <w:t>pdracht</w:t>
      </w:r>
      <w:r w:rsidR="00A3767F" w:rsidRPr="00D679BE">
        <w:t xml:space="preserve">nemer </w:t>
      </w:r>
      <w:r w:rsidR="00826658" w:rsidRPr="00D679BE">
        <w:t xml:space="preserve">periodiek </w:t>
      </w:r>
      <w:r w:rsidR="00A3767F" w:rsidRPr="00D679BE">
        <w:t xml:space="preserve">gerapporteerd, waarna </w:t>
      </w:r>
      <w:r w:rsidRPr="00D679BE">
        <w:t xml:space="preserve">de </w:t>
      </w:r>
      <w:r w:rsidR="00182A9A" w:rsidRPr="00D679BE">
        <w:t>C</w:t>
      </w:r>
      <w:r w:rsidRPr="00D679BE">
        <w:t xml:space="preserve">entrale </w:t>
      </w:r>
      <w:r w:rsidR="00182A9A" w:rsidRPr="00D679BE">
        <w:t>C</w:t>
      </w:r>
      <w:r w:rsidRPr="00D679BE">
        <w:t xml:space="preserve">ontract </w:t>
      </w:r>
      <w:r w:rsidR="00182A9A" w:rsidRPr="00D679BE">
        <w:t>M</w:t>
      </w:r>
      <w:r w:rsidRPr="00D679BE">
        <w:t xml:space="preserve">anager </w:t>
      </w:r>
      <w:r w:rsidR="00A3767F" w:rsidRPr="00D679BE">
        <w:t xml:space="preserve">(CCM) van </w:t>
      </w:r>
      <w:r w:rsidR="00695257">
        <w:t>Opdrachtgever</w:t>
      </w:r>
      <w:r w:rsidR="00A3767F" w:rsidRPr="00D679BE">
        <w:t xml:space="preserve"> deze verwerkt en aanvult. </w:t>
      </w:r>
      <w:r w:rsidR="00826658" w:rsidRPr="00D679BE">
        <w:t xml:space="preserve">Waar wenselijk wordt de inhoud van de rapportages gevalideerd bij de betreffende </w:t>
      </w:r>
      <w:r w:rsidR="008627DC">
        <w:t>Deelnemer</w:t>
      </w:r>
      <w:r w:rsidR="00826658" w:rsidRPr="00D679BE">
        <w:t xml:space="preserve">(s) aan de raamovereenkomst. Eventuele verzoeken tot correctie of aanvulling van de rapportage worden door CCM aan </w:t>
      </w:r>
      <w:r w:rsidR="00D63752">
        <w:t>o</w:t>
      </w:r>
      <w:r w:rsidR="00826658" w:rsidRPr="00D679BE">
        <w:t xml:space="preserve">pdrachtnemer voorgelegd en resultaten/bevindingen worden onderling besproken. </w:t>
      </w:r>
      <w:r w:rsidRPr="00D679BE">
        <w:t xml:space="preserve">Het door een </w:t>
      </w:r>
      <w:r w:rsidR="00D63752">
        <w:t>o</w:t>
      </w:r>
      <w:r w:rsidRPr="00D679BE">
        <w:t>pdrachtnemer niet behalen van de met hem overeengekomen normen leid</w:t>
      </w:r>
      <w:r w:rsidR="002C19F2" w:rsidRPr="00D679BE">
        <w:t>t</w:t>
      </w:r>
      <w:r w:rsidRPr="00D679BE">
        <w:t xml:space="preserve"> tot sancties</w:t>
      </w:r>
      <w:r w:rsidR="00182A9A" w:rsidRPr="00D679BE">
        <w:t xml:space="preserve"> (gele </w:t>
      </w:r>
      <w:r w:rsidR="00302ECB" w:rsidRPr="00D679BE">
        <w:t>k</w:t>
      </w:r>
      <w:r w:rsidR="00182A9A" w:rsidRPr="00D679BE">
        <w:t>aarten)</w:t>
      </w:r>
      <w:r w:rsidR="00C2154A" w:rsidRPr="00D679BE">
        <w:t>, tenzij in een specifiek geval de sanctie disproportioneel moet worden geacht</w:t>
      </w:r>
      <w:r w:rsidRPr="00D679BE">
        <w:t>.</w:t>
      </w:r>
      <w:r w:rsidR="004178FF" w:rsidRPr="00D679BE">
        <w:t xml:space="preserve"> </w:t>
      </w:r>
      <w:r w:rsidR="00F95BD1">
        <w:t xml:space="preserve">Uitzondering hierop is KPI-1, </w:t>
      </w:r>
      <w:r w:rsidR="00AF5E76">
        <w:t xml:space="preserve">waarvoor geen gele kaart/sanctie kan worden toegewezen. </w:t>
      </w:r>
    </w:p>
    <w:p w14:paraId="3EED91A5" w14:textId="0C8C3539" w:rsidR="00F91994" w:rsidRPr="005456C1" w:rsidRDefault="004178FF">
      <w:pPr>
        <w:spacing w:after="200" w:line="276" w:lineRule="auto"/>
      </w:pPr>
      <w:r w:rsidRPr="00D679BE">
        <w:t xml:space="preserve">Zie het Programma van Eisen (bijlage </w:t>
      </w:r>
      <w:r w:rsidR="00AE4807">
        <w:t>3</w:t>
      </w:r>
      <w:r w:rsidRPr="00D679BE">
        <w:t xml:space="preserve">) voor meer informatie over </w:t>
      </w:r>
      <w:r w:rsidR="00A13EBE" w:rsidRPr="00D679BE">
        <w:t>de gevolgen van niet-conforme prestaties</w:t>
      </w:r>
      <w:r w:rsidR="00A13EBE" w:rsidRPr="005456C1">
        <w:t>, alsmede de mogelijkheid voor een tijdelijke beloning (verhoging van de Rekenfactor gemiddeld tarief) bij langdurig goed presteren.</w:t>
      </w:r>
      <w:r w:rsidR="00F91994" w:rsidRPr="005456C1">
        <w:br w:type="page"/>
      </w:r>
    </w:p>
    <w:p w14:paraId="6B5C478E" w14:textId="03308FC1" w:rsidR="00116E00" w:rsidRPr="005456C1" w:rsidRDefault="00550ACD" w:rsidP="00823F35">
      <w:pPr>
        <w:pStyle w:val="Kop1"/>
        <w:numPr>
          <w:ilvl w:val="0"/>
          <w:numId w:val="24"/>
        </w:numPr>
      </w:pPr>
      <w:bookmarkStart w:id="4" w:name="_Toc12950923"/>
      <w:bookmarkStart w:id="5" w:name="_Toc12950925"/>
      <w:bookmarkStart w:id="6" w:name="_Toc12950928"/>
      <w:bookmarkStart w:id="7" w:name="_Toc12950929"/>
      <w:bookmarkStart w:id="8" w:name="_Toc12950930"/>
      <w:bookmarkStart w:id="9" w:name="_Toc12950931"/>
      <w:bookmarkStart w:id="10" w:name="_Toc447114692"/>
      <w:bookmarkStart w:id="11" w:name="_Toc447114804"/>
      <w:bookmarkStart w:id="12" w:name="_Toc416263254"/>
      <w:bookmarkStart w:id="13" w:name="_Toc447113898"/>
      <w:bookmarkStart w:id="14" w:name="_Toc141364221"/>
      <w:bookmarkEnd w:id="4"/>
      <w:bookmarkEnd w:id="5"/>
      <w:bookmarkEnd w:id="6"/>
      <w:bookmarkEnd w:id="7"/>
      <w:bookmarkEnd w:id="8"/>
      <w:bookmarkEnd w:id="9"/>
      <w:bookmarkEnd w:id="10"/>
      <w:bookmarkEnd w:id="11"/>
      <w:r w:rsidRPr="005456C1">
        <w:lastRenderedPageBreak/>
        <w:t xml:space="preserve">KPI-1 </w:t>
      </w:r>
      <w:r w:rsidR="00116E00" w:rsidRPr="005456C1">
        <w:t xml:space="preserve">Tevredenheid </w:t>
      </w:r>
      <w:r w:rsidR="00AF5E76" w:rsidRPr="005456C1">
        <w:t xml:space="preserve">(Net </w:t>
      </w:r>
      <w:proofErr w:type="spellStart"/>
      <w:r w:rsidR="00AF5E76" w:rsidRPr="005456C1">
        <w:t>Promoter</w:t>
      </w:r>
      <w:proofErr w:type="spellEnd"/>
      <w:r w:rsidR="00AF5E76" w:rsidRPr="005456C1">
        <w:t xml:space="preserve"> Score) </w:t>
      </w:r>
      <w:r w:rsidR="00116E00" w:rsidRPr="005456C1">
        <w:t xml:space="preserve">over </w:t>
      </w:r>
      <w:r w:rsidR="00863BE9" w:rsidRPr="005456C1">
        <w:t>ingezett</w:t>
      </w:r>
      <w:r w:rsidR="00EA13ED" w:rsidRPr="005456C1">
        <w:t>e</w:t>
      </w:r>
      <w:r w:rsidR="00116E00" w:rsidRPr="005456C1">
        <w:t xml:space="preserve"> </w:t>
      </w:r>
      <w:bookmarkEnd w:id="12"/>
      <w:bookmarkEnd w:id="13"/>
      <w:r w:rsidR="00AF5E76" w:rsidRPr="005456C1">
        <w:t>ICT-Professionals</w:t>
      </w:r>
      <w:bookmarkEnd w:id="14"/>
    </w:p>
    <w:p w14:paraId="4E32084C" w14:textId="6A84665E" w:rsidR="00116E00" w:rsidRPr="005456C1" w:rsidRDefault="00116E00" w:rsidP="00DC732E">
      <w:pPr>
        <w:tabs>
          <w:tab w:val="num" w:pos="0"/>
        </w:tabs>
        <w:jc w:val="both"/>
      </w:pPr>
      <w:r w:rsidRPr="005456C1">
        <w:rPr>
          <w:b/>
        </w:rPr>
        <w:t>Achtergrond</w:t>
      </w:r>
      <w:r w:rsidR="00627299" w:rsidRPr="005456C1">
        <w:rPr>
          <w:b/>
        </w:rPr>
        <w:br/>
      </w:r>
      <w:r w:rsidRPr="005456C1">
        <w:t xml:space="preserve">De </w:t>
      </w:r>
      <w:r w:rsidR="00087E76" w:rsidRPr="005456C1">
        <w:t xml:space="preserve">feitelijke uitgevoerde </w:t>
      </w:r>
      <w:r w:rsidRPr="005456C1">
        <w:t xml:space="preserve">prestatie van de </w:t>
      </w:r>
      <w:r w:rsidR="00863BE9" w:rsidRPr="005456C1">
        <w:t>ingezett</w:t>
      </w:r>
      <w:r w:rsidR="00EA13ED" w:rsidRPr="005456C1">
        <w:t>e</w:t>
      </w:r>
      <w:r w:rsidR="00863BE9" w:rsidRPr="005456C1">
        <w:t xml:space="preserve"> </w:t>
      </w:r>
      <w:r w:rsidR="00E57241" w:rsidRPr="005456C1">
        <w:t>ICT-Professionals</w:t>
      </w:r>
      <w:r w:rsidRPr="005456C1">
        <w:t xml:space="preserve"> </w:t>
      </w:r>
      <w:r w:rsidR="008D467B" w:rsidRPr="005456C1">
        <w:t xml:space="preserve">(inclusief zelfstandige professionals) </w:t>
      </w:r>
      <w:r w:rsidRPr="005456C1">
        <w:t xml:space="preserve">is van groot belang. Om die reden wordt bij de minicompetitie rekening gehouden met de verwachte kwaliteit van de aangeboden </w:t>
      </w:r>
      <w:r w:rsidR="00E57241" w:rsidRPr="005456C1">
        <w:t>Kandidaat</w:t>
      </w:r>
      <w:r w:rsidRPr="005456C1">
        <w:t xml:space="preserve">. Het is aanvullend van toegevoegde waarde om de opdrachtnemer te beoordelen op basis van de getotaliseerde werkelijke prestaties van de door hem ingezette </w:t>
      </w:r>
      <w:r w:rsidR="00E57241" w:rsidRPr="005456C1">
        <w:t>ICT-Professionals</w:t>
      </w:r>
      <w:r w:rsidR="00B078A5" w:rsidRPr="005456C1">
        <w:t xml:space="preserve"> en hiermee samenhangende kwaliteitsbeleving</w:t>
      </w:r>
      <w:r w:rsidRPr="005456C1">
        <w:t xml:space="preserve">, mits daar </w:t>
      </w:r>
      <w:r w:rsidR="00B078A5" w:rsidRPr="005456C1">
        <w:t xml:space="preserve">waar nodig </w:t>
      </w:r>
      <w:r w:rsidRPr="005456C1">
        <w:t>ook consequenties aan worden verbonden.</w:t>
      </w:r>
      <w:r w:rsidR="008D467B" w:rsidRPr="005456C1">
        <w:t xml:space="preserve"> </w:t>
      </w:r>
    </w:p>
    <w:p w14:paraId="49B94D05" w14:textId="77777777" w:rsidR="008D467B" w:rsidRPr="005456C1" w:rsidRDefault="008D467B" w:rsidP="00DC732E">
      <w:pPr>
        <w:tabs>
          <w:tab w:val="num" w:pos="0"/>
        </w:tabs>
        <w:jc w:val="both"/>
      </w:pPr>
    </w:p>
    <w:p w14:paraId="368B13F7" w14:textId="33744775" w:rsidR="008D467B" w:rsidRPr="005456C1" w:rsidRDefault="008D467B" w:rsidP="00DC732E">
      <w:pPr>
        <w:tabs>
          <w:tab w:val="num" w:pos="0"/>
        </w:tabs>
        <w:jc w:val="both"/>
      </w:pPr>
      <w:r w:rsidRPr="005456C1">
        <w:t xml:space="preserve">Doel van deze KPI is om te borgen dat opdrachtnemers </w:t>
      </w:r>
      <w:r w:rsidR="00B078A5" w:rsidRPr="005456C1">
        <w:t>ICT-Professionals</w:t>
      </w:r>
      <w:r w:rsidRPr="005456C1">
        <w:t xml:space="preserve"> bij </w:t>
      </w:r>
      <w:r w:rsidR="00BB1C4A" w:rsidRPr="005456C1">
        <w:t>D</w:t>
      </w:r>
      <w:r w:rsidRPr="005456C1">
        <w:t xml:space="preserve">eelnemer(s) inzetten, waarover de </w:t>
      </w:r>
      <w:r w:rsidR="00BB1C4A" w:rsidRPr="005456C1">
        <w:t>D</w:t>
      </w:r>
      <w:r w:rsidRPr="005456C1">
        <w:t xml:space="preserve">eelnemer ‘tevreden’ is en blijft, rekening houdend met diverse elementen die deze tevredenheid bepalen. Hoewel deze KPI alleen ziet op de tevredenheid van </w:t>
      </w:r>
      <w:r w:rsidR="00BB1C4A" w:rsidRPr="005456C1">
        <w:t>D</w:t>
      </w:r>
      <w:r w:rsidRPr="005456C1">
        <w:t>eelnemer</w:t>
      </w:r>
      <w:r w:rsidR="00BB1C4A" w:rsidRPr="005456C1">
        <w:t>(</w:t>
      </w:r>
      <w:r w:rsidRPr="005456C1">
        <w:t>s</w:t>
      </w:r>
      <w:r w:rsidR="00BB1C4A" w:rsidRPr="005456C1">
        <w:t>)</w:t>
      </w:r>
      <w:r w:rsidRPr="005456C1">
        <w:t xml:space="preserve"> over de daadwerkelijk </w:t>
      </w:r>
      <w:r w:rsidR="00823F35" w:rsidRPr="005456C1">
        <w:t>door</w:t>
      </w:r>
      <w:r w:rsidRPr="005456C1">
        <w:t xml:space="preserve"> opdrachtnemer ingehuurde </w:t>
      </w:r>
      <w:r w:rsidR="00B078A5" w:rsidRPr="005456C1">
        <w:t>ICT-Professionals</w:t>
      </w:r>
      <w:r w:rsidRPr="005456C1">
        <w:t xml:space="preserve">, wordt verwacht dat het </w:t>
      </w:r>
      <w:r w:rsidR="00820AF4" w:rsidRPr="005456C1">
        <w:t>(bij)</w:t>
      </w:r>
      <w:r w:rsidRPr="005456C1">
        <w:t xml:space="preserve">effect van deze KPI ook is dat opdrachtnemer bij het zoeken naar en aanbieden van </w:t>
      </w:r>
      <w:r w:rsidR="00BB1C4A" w:rsidRPr="005456C1">
        <w:t>K</w:t>
      </w:r>
      <w:r w:rsidRPr="005456C1">
        <w:t>andidaten al rekening houdt</w:t>
      </w:r>
      <w:r w:rsidR="00820AF4" w:rsidRPr="005456C1">
        <w:t xml:space="preserve"> met deze elementen</w:t>
      </w:r>
      <w:r w:rsidRPr="005456C1">
        <w:t xml:space="preserve">. </w:t>
      </w:r>
      <w:r w:rsidR="00B078A5" w:rsidRPr="005456C1">
        <w:t xml:space="preserve">Bij deze tevredenheidsmeting wordt gewerkt met de Net </w:t>
      </w:r>
      <w:proofErr w:type="spellStart"/>
      <w:r w:rsidR="00B078A5" w:rsidRPr="005456C1">
        <w:t>Promoter</w:t>
      </w:r>
      <w:proofErr w:type="spellEnd"/>
      <w:r w:rsidR="00B078A5" w:rsidRPr="005456C1">
        <w:t xml:space="preserve"> Score (NPS). Dit wordt gedaan vanuit het oogpunt van eenvoud</w:t>
      </w:r>
      <w:r w:rsidR="00E674C6" w:rsidRPr="005456C1">
        <w:t>: de inhurend manager (de respondent) hoeft maar één vraag over de ingehuurde ICT-</w:t>
      </w:r>
      <w:r w:rsidR="00BB1C4A" w:rsidRPr="005456C1">
        <w:t>P</w:t>
      </w:r>
      <w:r w:rsidR="00E674C6" w:rsidRPr="005456C1">
        <w:t xml:space="preserve">rofessional te beantwoorden (zie hieronder), door het geven van een score. Waar de scores op individueel niveau (te) laag zijn, ligt het voor de hand dat de opdrachtnemer het initiatief neemt om met de respondent de oorzaken hiervan te bespreken om verbetering na te streven. Verder geeft de meting de mogelijkheid om op groepsniveau (zoals bij bepaalde afdelingen, profielen of opdrachtnemers) </w:t>
      </w:r>
      <w:r w:rsidR="002069A8" w:rsidRPr="005456C1">
        <w:t>te bepalen of en waar verbeteringen wenselijk zijn.</w:t>
      </w:r>
      <w:r w:rsidR="00027DDF" w:rsidRPr="005456C1">
        <w:t xml:space="preserve">  </w:t>
      </w:r>
    </w:p>
    <w:p w14:paraId="019C2C45" w14:textId="77777777" w:rsidR="008F0414" w:rsidRPr="005456C1" w:rsidRDefault="008F0414" w:rsidP="00C20197">
      <w:pPr>
        <w:tabs>
          <w:tab w:val="num" w:pos="0"/>
        </w:tabs>
        <w:rPr>
          <w:b/>
        </w:rPr>
      </w:pPr>
    </w:p>
    <w:p w14:paraId="17A26F5E" w14:textId="77777777" w:rsidR="00E31772" w:rsidRPr="005456C1" w:rsidRDefault="00C62CC3" w:rsidP="00E31772">
      <w:pPr>
        <w:tabs>
          <w:tab w:val="num" w:pos="0"/>
        </w:tabs>
        <w:rPr>
          <w:b/>
        </w:rPr>
      </w:pPr>
      <w:r w:rsidRPr="005456C1">
        <w:rPr>
          <w:b/>
        </w:rPr>
        <w:t>Inrichting KPI</w:t>
      </w:r>
    </w:p>
    <w:p w14:paraId="4905D3C0" w14:textId="58446A95" w:rsidR="00152DED" w:rsidRPr="005456C1" w:rsidRDefault="00E31772" w:rsidP="00913140">
      <w:pPr>
        <w:spacing w:line="240" w:lineRule="auto"/>
        <w:rPr>
          <w:b/>
          <w:szCs w:val="18"/>
        </w:rPr>
      </w:pPr>
      <w:r w:rsidRPr="005456C1">
        <w:t>Voor wat betreft de inrichting</w:t>
      </w:r>
      <w:r w:rsidR="00C31F94" w:rsidRPr="005456C1">
        <w:t xml:space="preserve"> en wijze van uitvoering</w:t>
      </w:r>
      <w:r w:rsidRPr="005456C1">
        <w:t xml:space="preserve"> van de KPI </w:t>
      </w:r>
      <w:r w:rsidR="006B7FC0" w:rsidRPr="005456C1">
        <w:t>wordt verwezen</w:t>
      </w:r>
      <w:r w:rsidRPr="005456C1">
        <w:t xml:space="preserve"> naar het Programma van Eisen</w:t>
      </w:r>
      <w:r w:rsidR="00DE5C9C" w:rsidRPr="005456C1">
        <w:t>,</w:t>
      </w:r>
      <w:r w:rsidRPr="005456C1">
        <w:t xml:space="preserve"> hoofdstuk </w:t>
      </w:r>
      <w:proofErr w:type="spellStart"/>
      <w:r w:rsidRPr="005456C1">
        <w:t>KPI’s</w:t>
      </w:r>
      <w:proofErr w:type="spellEnd"/>
      <w:r w:rsidRPr="005456C1">
        <w:t xml:space="preserve"> (KPI-1: Tevredenheid </w:t>
      </w:r>
      <w:r w:rsidR="00AF5E76" w:rsidRPr="005456C1">
        <w:t xml:space="preserve">(Net </w:t>
      </w:r>
      <w:proofErr w:type="spellStart"/>
      <w:r w:rsidR="00AF5E76" w:rsidRPr="005456C1">
        <w:t>Promoter</w:t>
      </w:r>
      <w:proofErr w:type="spellEnd"/>
      <w:r w:rsidR="00AF5E76" w:rsidRPr="005456C1">
        <w:t xml:space="preserve"> Score) </w:t>
      </w:r>
      <w:r w:rsidRPr="005456C1">
        <w:t xml:space="preserve">over </w:t>
      </w:r>
      <w:r w:rsidR="00863BE9" w:rsidRPr="005456C1">
        <w:t>ingezett</w:t>
      </w:r>
      <w:r w:rsidRPr="005456C1">
        <w:t>e</w:t>
      </w:r>
      <w:r w:rsidR="00AF5E76" w:rsidRPr="005456C1">
        <w:t xml:space="preserve"> ICT-Professionals</w:t>
      </w:r>
      <w:r w:rsidRPr="005456C1">
        <w:t>).</w:t>
      </w:r>
      <w:r w:rsidR="00627299" w:rsidRPr="005456C1">
        <w:br/>
      </w:r>
    </w:p>
    <w:p w14:paraId="25AD52F6" w14:textId="77777777" w:rsidR="00913140" w:rsidRPr="005456C1" w:rsidRDefault="00913140" w:rsidP="00913140">
      <w:pPr>
        <w:spacing w:line="240" w:lineRule="auto"/>
        <w:rPr>
          <w:b/>
          <w:szCs w:val="18"/>
        </w:rPr>
      </w:pPr>
      <w:r w:rsidRPr="005456C1">
        <w:rPr>
          <w:b/>
          <w:szCs w:val="18"/>
        </w:rPr>
        <w:t>Beoordelingsmaatstaf</w:t>
      </w:r>
    </w:p>
    <w:p w14:paraId="578EC40F" w14:textId="1F441B1F" w:rsidR="00642ED4" w:rsidRPr="005456C1" w:rsidRDefault="00642ED4" w:rsidP="00642ED4">
      <w:r w:rsidRPr="005456C1">
        <w:t>Om tot vaststelling van de NPS</w:t>
      </w:r>
      <w:r w:rsidR="00BB1C4A" w:rsidRPr="005456C1">
        <w:t>-</w:t>
      </w:r>
      <w:r w:rsidRPr="005456C1">
        <w:t>score te komen, wordt aan de inhurend manager de vraag gesteld:</w:t>
      </w:r>
    </w:p>
    <w:p w14:paraId="6993CE11" w14:textId="510B01C2" w:rsidR="00642ED4" w:rsidRPr="005456C1" w:rsidRDefault="00642ED4" w:rsidP="00BB1C4A">
      <w:pPr>
        <w:pStyle w:val="Lijstalinea"/>
        <w:numPr>
          <w:ilvl w:val="0"/>
          <w:numId w:val="21"/>
        </w:numPr>
        <w:ind w:left="284" w:hanging="284"/>
        <w:rPr>
          <w:iCs/>
        </w:rPr>
      </w:pPr>
      <w:r w:rsidRPr="005456C1">
        <w:rPr>
          <w:iCs/>
        </w:rPr>
        <w:t xml:space="preserve">Hoe waarschijnlijk is het dat u de ingehuurde </w:t>
      </w:r>
      <w:r w:rsidR="00DB5B9B" w:rsidRPr="005456C1">
        <w:rPr>
          <w:iCs/>
        </w:rPr>
        <w:t>ICT-P</w:t>
      </w:r>
      <w:r w:rsidRPr="005456C1">
        <w:rPr>
          <w:iCs/>
        </w:rPr>
        <w:t>rofessional zou aanbevelen aan andere opdrachtgevers met een soortgelijke opdracht binnen of buiten uw organisatie?</w:t>
      </w:r>
    </w:p>
    <w:p w14:paraId="6BD7C049" w14:textId="0AB8E648" w:rsidR="00642ED4" w:rsidRPr="005456C1" w:rsidRDefault="00DB5B9B" w:rsidP="00642ED4">
      <w:r w:rsidRPr="005456C1">
        <w:t xml:space="preserve">Voor het opgeven van de NPS-score dient gebruik te worden gemaakt van bijlage 14.2 Hulpmiddel KPI-1 Tevredenheid (Net </w:t>
      </w:r>
      <w:proofErr w:type="spellStart"/>
      <w:r w:rsidRPr="005456C1">
        <w:t>Promoter</w:t>
      </w:r>
      <w:proofErr w:type="spellEnd"/>
      <w:r w:rsidRPr="005456C1">
        <w:t xml:space="preserve"> Score) over </w:t>
      </w:r>
      <w:r w:rsidR="00863BE9" w:rsidRPr="005456C1">
        <w:t>ingezett</w:t>
      </w:r>
      <w:r w:rsidRPr="005456C1">
        <w:t>e ICT-Professionals.</w:t>
      </w:r>
    </w:p>
    <w:p w14:paraId="2C847AC5" w14:textId="77777777" w:rsidR="00DB5B9B" w:rsidRPr="005456C1" w:rsidRDefault="00DB5B9B" w:rsidP="00642ED4"/>
    <w:p w14:paraId="142503A5" w14:textId="77777777" w:rsidR="00C31F94" w:rsidRPr="005456C1" w:rsidRDefault="00C31F94" w:rsidP="00C31F94">
      <w:pPr>
        <w:rPr>
          <w:b/>
        </w:rPr>
      </w:pPr>
      <w:r w:rsidRPr="005456C1">
        <w:rPr>
          <w:b/>
        </w:rPr>
        <w:t>Populatie</w:t>
      </w:r>
    </w:p>
    <w:p w14:paraId="400D80C4" w14:textId="344E34A9" w:rsidR="00F45BA5" w:rsidRPr="005456C1" w:rsidRDefault="00C31F94" w:rsidP="00C31F94">
      <w:r w:rsidRPr="005456C1">
        <w:t>D</w:t>
      </w:r>
      <w:r w:rsidR="00642ED4" w:rsidRPr="005456C1">
        <w:t xml:space="preserve">e inhurend manager </w:t>
      </w:r>
      <w:r w:rsidRPr="005456C1">
        <w:t xml:space="preserve">dient bovengenoemde </w:t>
      </w:r>
      <w:r w:rsidR="00642ED4" w:rsidRPr="005456C1">
        <w:t xml:space="preserve">vraag te beantwoorden </w:t>
      </w:r>
      <w:r w:rsidRPr="005456C1">
        <w:t xml:space="preserve">voor de binnen de </w:t>
      </w:r>
      <w:r w:rsidR="00823F35" w:rsidRPr="005456C1">
        <w:t>r</w:t>
      </w:r>
      <w:r w:rsidRPr="005456C1">
        <w:t>aamovereenkomst ingezette ICT-</w:t>
      </w:r>
      <w:r w:rsidR="00BB1C4A" w:rsidRPr="005456C1">
        <w:t>P</w:t>
      </w:r>
      <w:r w:rsidRPr="005456C1">
        <w:t xml:space="preserve">rofessionals, voor zover die in de betreffende meetperiode hun werkzaamheden op grond van een </w:t>
      </w:r>
      <w:r w:rsidR="00BB1C4A" w:rsidRPr="005456C1">
        <w:t>N</w:t>
      </w:r>
      <w:r w:rsidRPr="005456C1">
        <w:t xml:space="preserve">adere </w:t>
      </w:r>
      <w:r w:rsidR="00823F35" w:rsidRPr="005456C1">
        <w:t>O</w:t>
      </w:r>
      <w:r w:rsidRPr="005456C1">
        <w:t xml:space="preserve">vereenkomst bij de </w:t>
      </w:r>
      <w:r w:rsidR="00BB1C4A" w:rsidRPr="005456C1">
        <w:t>D</w:t>
      </w:r>
      <w:r w:rsidRPr="005456C1">
        <w:t>eelnemer:</w:t>
      </w:r>
      <w:r w:rsidR="00027DDF" w:rsidRPr="005456C1">
        <w:t xml:space="preserve"> </w:t>
      </w:r>
      <w:r w:rsidR="00F45BA5" w:rsidRPr="005456C1">
        <w:br/>
        <w:t xml:space="preserve">(a) </w:t>
      </w:r>
      <w:r w:rsidR="00BB1C4A" w:rsidRPr="005456C1">
        <w:t>N</w:t>
      </w:r>
      <w:r w:rsidR="00F45BA5" w:rsidRPr="005456C1">
        <w:t xml:space="preserve">og niet hebben afgerond, maar wel minimaal drie (3) maanden werkzaam zijn geweest bij een </w:t>
      </w:r>
      <w:r w:rsidR="008627DC" w:rsidRPr="005456C1">
        <w:t>Deelnemer</w:t>
      </w:r>
      <w:r w:rsidR="00BB1C4A" w:rsidRPr="005456C1">
        <w:t>, of,</w:t>
      </w:r>
      <w:r w:rsidR="00F45BA5" w:rsidRPr="005456C1">
        <w:t xml:space="preserve"> </w:t>
      </w:r>
      <w:r w:rsidR="00F45BA5" w:rsidRPr="005456C1">
        <w:br/>
        <w:t xml:space="preserve">(b) </w:t>
      </w:r>
      <w:r w:rsidR="00BB1C4A" w:rsidRPr="005456C1">
        <w:t>H</w:t>
      </w:r>
      <w:r w:rsidR="00F45BA5" w:rsidRPr="005456C1">
        <w:t xml:space="preserve">ebben afgerond. </w:t>
      </w:r>
    </w:p>
    <w:p w14:paraId="4BD3A5CA" w14:textId="77777777" w:rsidR="002069A8" w:rsidRPr="005456C1" w:rsidRDefault="00F45BA5" w:rsidP="00F45BA5">
      <w:r w:rsidRPr="005456C1">
        <w:t xml:space="preserve">Deze twee delen (a en b) tezamen vormen de populatie van de meting. </w:t>
      </w:r>
    </w:p>
    <w:p w14:paraId="05545B85" w14:textId="3F987A38" w:rsidR="00817FA8" w:rsidRPr="005456C1" w:rsidRDefault="008627DC" w:rsidP="00F45BA5">
      <w:r w:rsidRPr="005456C1">
        <w:t>ICT-</w:t>
      </w:r>
      <w:r w:rsidR="002069A8" w:rsidRPr="005456C1">
        <w:t>Professionals die minder dan 3 maanden in de meetperiode zijn ingezet</w:t>
      </w:r>
      <w:r w:rsidR="00433275" w:rsidRPr="005456C1">
        <w:t xml:space="preserve"> </w:t>
      </w:r>
      <w:r w:rsidR="00BB1C4A" w:rsidRPr="005456C1">
        <w:t>én</w:t>
      </w:r>
      <w:r w:rsidR="00433275" w:rsidRPr="005456C1">
        <w:t xml:space="preserve"> waarvan de opdracht in deze meetperiode nog niet is afgerond</w:t>
      </w:r>
      <w:r w:rsidR="002069A8" w:rsidRPr="005456C1">
        <w:t>, worden dus niet meegenomen in de tevredenheidsmeting</w:t>
      </w:r>
      <w:r w:rsidR="00AF5E76" w:rsidRPr="005456C1">
        <w:t>.</w:t>
      </w:r>
    </w:p>
    <w:p w14:paraId="52E5061C" w14:textId="78A4B378" w:rsidR="00CF46D6" w:rsidRPr="005456C1" w:rsidRDefault="00CF46D6">
      <w:pPr>
        <w:spacing w:after="200" w:line="276" w:lineRule="auto"/>
      </w:pPr>
      <w:r w:rsidRPr="005456C1">
        <w:br w:type="page"/>
      </w:r>
    </w:p>
    <w:p w14:paraId="6185EA38" w14:textId="77777777" w:rsidR="00AF5E76" w:rsidRPr="005456C1" w:rsidRDefault="00AF5E76" w:rsidP="00AF5E76"/>
    <w:p w14:paraId="4E73C05F" w14:textId="48266B63" w:rsidR="00C31F94" w:rsidRPr="005456C1" w:rsidRDefault="00C31F94" w:rsidP="00103BE7">
      <w:pPr>
        <w:rPr>
          <w:b/>
        </w:rPr>
      </w:pPr>
      <w:r w:rsidRPr="005456C1">
        <w:rPr>
          <w:b/>
        </w:rPr>
        <w:t>Vaststelling score</w:t>
      </w:r>
    </w:p>
    <w:p w14:paraId="028A5436" w14:textId="2E4F57B4" w:rsidR="00103BE7" w:rsidRPr="005456C1" w:rsidRDefault="00103BE7" w:rsidP="00BB1C4A">
      <w:r w:rsidRPr="005456C1">
        <w:t xml:space="preserve">De score per ICT-Professional wordt vastgesteld d.m.v. toekenning van een geheel cijfer op een schaal van 0 tot en met 10 door diens inhurend manager bij de </w:t>
      </w:r>
      <w:r w:rsidR="00DB5B9B" w:rsidRPr="005456C1">
        <w:t>D</w:t>
      </w:r>
      <w:r w:rsidRPr="005456C1">
        <w:t xml:space="preserve">eelnemer, waarbij het cijfer 0 staat voor ‘absoluut niet, nagenoeg geen enkele kans’ en het cijfer 10 voor ‘nagenoeg tot absoluut zeker’. </w:t>
      </w:r>
      <w:r w:rsidR="002069A8" w:rsidRPr="005456C1">
        <w:t xml:space="preserve">Hierbij kan onderstaande schaalverdeling (conform de </w:t>
      </w:r>
      <w:proofErr w:type="spellStart"/>
      <w:r w:rsidR="002069A8" w:rsidRPr="005456C1">
        <w:t>Justerschaal</w:t>
      </w:r>
      <w:proofErr w:type="spellEnd"/>
      <w:r w:rsidR="002069A8" w:rsidRPr="005456C1">
        <w:t>) ter referentie worden gebruikt</w:t>
      </w:r>
      <w:r w:rsidR="00BB1C4A" w:rsidRPr="005456C1">
        <w:t>:</w:t>
      </w:r>
    </w:p>
    <w:p w14:paraId="45D48C64" w14:textId="7BBF2CF1" w:rsidR="00103BE7" w:rsidRPr="005456C1" w:rsidRDefault="00103BE7" w:rsidP="00BB1C4A">
      <w:pPr>
        <w:shd w:val="clear" w:color="auto" w:fill="FFFFFF"/>
        <w:spacing w:after="24"/>
        <w:ind w:left="720" w:hanging="720"/>
        <w:rPr>
          <w:rFonts w:cs="Arial"/>
          <w:color w:val="202122"/>
          <w:szCs w:val="18"/>
        </w:rPr>
      </w:pPr>
      <w:r w:rsidRPr="005456C1">
        <w:rPr>
          <w:rFonts w:cs="Arial"/>
          <w:color w:val="202122"/>
          <w:szCs w:val="18"/>
        </w:rPr>
        <w:t>0</w:t>
      </w:r>
      <w:r w:rsidR="00BB1C4A" w:rsidRPr="005456C1">
        <w:rPr>
          <w:rFonts w:cs="Arial"/>
          <w:color w:val="202122"/>
          <w:szCs w:val="18"/>
        </w:rPr>
        <w:t xml:space="preserve"> =</w:t>
      </w:r>
      <w:r w:rsidRPr="005456C1">
        <w:rPr>
          <w:rFonts w:cs="Arial"/>
          <w:color w:val="202122"/>
          <w:szCs w:val="18"/>
        </w:rPr>
        <w:t xml:space="preserve"> Absoluut niet, nagenoeg geen enkele kans (kans 1 op 100)</w:t>
      </w:r>
      <w:r w:rsidR="00BB1C4A" w:rsidRPr="005456C1">
        <w:rPr>
          <w:rFonts w:cs="Arial"/>
          <w:color w:val="202122"/>
          <w:szCs w:val="18"/>
        </w:rPr>
        <w:t>;</w:t>
      </w:r>
    </w:p>
    <w:p w14:paraId="061AA881" w14:textId="702C1135" w:rsidR="00103BE7" w:rsidRPr="005456C1" w:rsidRDefault="00103BE7" w:rsidP="00BB1C4A">
      <w:pPr>
        <w:shd w:val="clear" w:color="auto" w:fill="FFFFFF"/>
        <w:spacing w:after="24"/>
        <w:ind w:left="720" w:hanging="720"/>
        <w:rPr>
          <w:rFonts w:cs="Arial"/>
          <w:color w:val="202122"/>
          <w:szCs w:val="18"/>
        </w:rPr>
      </w:pPr>
      <w:r w:rsidRPr="005456C1">
        <w:rPr>
          <w:rFonts w:cs="Arial"/>
          <w:color w:val="202122"/>
          <w:szCs w:val="18"/>
        </w:rPr>
        <w:t>1</w:t>
      </w:r>
      <w:r w:rsidR="00BB1C4A" w:rsidRPr="005456C1">
        <w:rPr>
          <w:rFonts w:cs="Arial"/>
          <w:color w:val="202122"/>
          <w:szCs w:val="18"/>
        </w:rPr>
        <w:t xml:space="preserve"> =</w:t>
      </w:r>
      <w:r w:rsidRPr="005456C1">
        <w:rPr>
          <w:rFonts w:cs="Arial"/>
          <w:color w:val="202122"/>
          <w:szCs w:val="18"/>
        </w:rPr>
        <w:t xml:space="preserve"> Zeer kleine kans (kans 1 op 10)</w:t>
      </w:r>
      <w:r w:rsidR="00BB1C4A" w:rsidRPr="005456C1">
        <w:rPr>
          <w:rFonts w:cs="Arial"/>
          <w:color w:val="202122"/>
          <w:szCs w:val="18"/>
        </w:rPr>
        <w:t>;</w:t>
      </w:r>
    </w:p>
    <w:p w14:paraId="47BF1DFA" w14:textId="659D219A" w:rsidR="00103BE7" w:rsidRPr="005456C1" w:rsidRDefault="00103BE7" w:rsidP="00BB1C4A">
      <w:pPr>
        <w:shd w:val="clear" w:color="auto" w:fill="FFFFFF"/>
        <w:spacing w:after="24"/>
        <w:ind w:left="720" w:hanging="720"/>
        <w:rPr>
          <w:rFonts w:cs="Arial"/>
          <w:color w:val="202122"/>
          <w:szCs w:val="18"/>
        </w:rPr>
      </w:pPr>
      <w:r w:rsidRPr="005456C1">
        <w:rPr>
          <w:rFonts w:cs="Arial"/>
          <w:color w:val="202122"/>
          <w:szCs w:val="18"/>
        </w:rPr>
        <w:t>2</w:t>
      </w:r>
      <w:r w:rsidR="00BB1C4A" w:rsidRPr="005456C1">
        <w:rPr>
          <w:rFonts w:cs="Arial"/>
          <w:color w:val="202122"/>
          <w:szCs w:val="18"/>
        </w:rPr>
        <w:t xml:space="preserve"> =</w:t>
      </w:r>
      <w:r w:rsidRPr="005456C1">
        <w:rPr>
          <w:rFonts w:cs="Arial"/>
          <w:color w:val="202122"/>
          <w:szCs w:val="18"/>
        </w:rPr>
        <w:t xml:space="preserve"> Kleine kans (kans 2 op 10)</w:t>
      </w:r>
      <w:r w:rsidR="00BB1C4A" w:rsidRPr="005456C1">
        <w:rPr>
          <w:rFonts w:cs="Arial"/>
          <w:color w:val="202122"/>
          <w:szCs w:val="18"/>
        </w:rPr>
        <w:t>;</w:t>
      </w:r>
    </w:p>
    <w:p w14:paraId="09EDD3BE" w14:textId="581EFAD1" w:rsidR="00103BE7" w:rsidRPr="005456C1" w:rsidRDefault="00103BE7" w:rsidP="00BB1C4A">
      <w:pPr>
        <w:shd w:val="clear" w:color="auto" w:fill="FFFFFF"/>
        <w:spacing w:after="24"/>
        <w:ind w:left="720" w:hanging="720"/>
        <w:rPr>
          <w:rFonts w:cs="Arial"/>
          <w:color w:val="202122"/>
          <w:szCs w:val="18"/>
        </w:rPr>
      </w:pPr>
      <w:r w:rsidRPr="005456C1">
        <w:rPr>
          <w:rFonts w:cs="Arial"/>
          <w:color w:val="202122"/>
          <w:szCs w:val="18"/>
        </w:rPr>
        <w:t>3</w:t>
      </w:r>
      <w:r w:rsidR="00BB1C4A" w:rsidRPr="005456C1">
        <w:rPr>
          <w:rFonts w:cs="Arial"/>
          <w:color w:val="202122"/>
          <w:szCs w:val="18"/>
        </w:rPr>
        <w:t xml:space="preserve"> =</w:t>
      </w:r>
      <w:r w:rsidRPr="005456C1">
        <w:rPr>
          <w:rFonts w:cs="Arial"/>
          <w:color w:val="202122"/>
          <w:szCs w:val="18"/>
        </w:rPr>
        <w:t xml:space="preserve"> Heel klein beetje waarschijnlijk (kans 3 op 10)</w:t>
      </w:r>
      <w:r w:rsidR="00BB1C4A" w:rsidRPr="005456C1">
        <w:rPr>
          <w:rFonts w:cs="Arial"/>
          <w:color w:val="202122"/>
          <w:szCs w:val="18"/>
        </w:rPr>
        <w:t>;</w:t>
      </w:r>
    </w:p>
    <w:p w14:paraId="03E0E449" w14:textId="37891704" w:rsidR="00103BE7" w:rsidRPr="005456C1" w:rsidRDefault="00103BE7" w:rsidP="00BB1C4A">
      <w:pPr>
        <w:shd w:val="clear" w:color="auto" w:fill="FFFFFF"/>
        <w:spacing w:after="24"/>
        <w:ind w:left="720" w:hanging="720"/>
        <w:rPr>
          <w:rFonts w:cs="Arial"/>
          <w:color w:val="202122"/>
          <w:szCs w:val="18"/>
        </w:rPr>
      </w:pPr>
      <w:r w:rsidRPr="005456C1">
        <w:rPr>
          <w:rFonts w:cs="Arial"/>
          <w:color w:val="202122"/>
          <w:szCs w:val="18"/>
        </w:rPr>
        <w:t>4</w:t>
      </w:r>
      <w:r w:rsidR="00BB1C4A" w:rsidRPr="005456C1">
        <w:rPr>
          <w:rFonts w:cs="Arial"/>
          <w:color w:val="202122"/>
          <w:szCs w:val="18"/>
        </w:rPr>
        <w:t xml:space="preserve"> =</w:t>
      </w:r>
      <w:r w:rsidRPr="005456C1">
        <w:rPr>
          <w:rFonts w:cs="Arial"/>
          <w:color w:val="202122"/>
          <w:szCs w:val="18"/>
        </w:rPr>
        <w:t xml:space="preserve"> Klein beetje waarschijnlijk (kans 4 op 10)</w:t>
      </w:r>
      <w:r w:rsidR="00BB1C4A" w:rsidRPr="005456C1">
        <w:rPr>
          <w:rFonts w:cs="Arial"/>
          <w:color w:val="202122"/>
          <w:szCs w:val="18"/>
        </w:rPr>
        <w:t>;</w:t>
      </w:r>
    </w:p>
    <w:p w14:paraId="65A28A33" w14:textId="2144CE4B" w:rsidR="00103BE7" w:rsidRPr="005456C1" w:rsidRDefault="00103BE7" w:rsidP="00BB1C4A">
      <w:pPr>
        <w:shd w:val="clear" w:color="auto" w:fill="FFFFFF"/>
        <w:spacing w:after="24"/>
        <w:ind w:left="720" w:hanging="720"/>
        <w:rPr>
          <w:rFonts w:cs="Arial"/>
          <w:color w:val="202122"/>
          <w:szCs w:val="18"/>
        </w:rPr>
      </w:pPr>
      <w:r w:rsidRPr="005456C1">
        <w:rPr>
          <w:rFonts w:cs="Arial"/>
          <w:color w:val="202122"/>
          <w:szCs w:val="18"/>
        </w:rPr>
        <w:t>5</w:t>
      </w:r>
      <w:r w:rsidR="00BB1C4A" w:rsidRPr="005456C1">
        <w:rPr>
          <w:rFonts w:cs="Arial"/>
          <w:color w:val="202122"/>
          <w:szCs w:val="18"/>
        </w:rPr>
        <w:t xml:space="preserve"> =</w:t>
      </w:r>
      <w:r w:rsidRPr="005456C1">
        <w:rPr>
          <w:rFonts w:cs="Arial"/>
          <w:color w:val="202122"/>
          <w:szCs w:val="18"/>
        </w:rPr>
        <w:t xml:space="preserve"> Enigszins waarschijnlijk (kans 5 op 10)</w:t>
      </w:r>
      <w:r w:rsidR="00BB1C4A" w:rsidRPr="005456C1">
        <w:rPr>
          <w:rFonts w:cs="Arial"/>
          <w:color w:val="202122"/>
          <w:szCs w:val="18"/>
        </w:rPr>
        <w:t>;</w:t>
      </w:r>
    </w:p>
    <w:p w14:paraId="279CC3E2" w14:textId="67AAE4EA" w:rsidR="00103BE7" w:rsidRPr="005456C1" w:rsidRDefault="00103BE7" w:rsidP="00BB1C4A">
      <w:pPr>
        <w:shd w:val="clear" w:color="auto" w:fill="FFFFFF"/>
        <w:spacing w:after="24"/>
        <w:ind w:left="720" w:hanging="720"/>
        <w:rPr>
          <w:rFonts w:cs="Arial"/>
          <w:color w:val="202122"/>
          <w:szCs w:val="18"/>
        </w:rPr>
      </w:pPr>
      <w:r w:rsidRPr="005456C1">
        <w:rPr>
          <w:rFonts w:cs="Arial"/>
          <w:color w:val="202122"/>
          <w:szCs w:val="18"/>
        </w:rPr>
        <w:t>6</w:t>
      </w:r>
      <w:r w:rsidR="00BB1C4A" w:rsidRPr="005456C1">
        <w:rPr>
          <w:rFonts w:cs="Arial"/>
          <w:color w:val="202122"/>
          <w:szCs w:val="18"/>
        </w:rPr>
        <w:t xml:space="preserve"> =</w:t>
      </w:r>
      <w:r w:rsidRPr="005456C1">
        <w:rPr>
          <w:rFonts w:cs="Arial"/>
          <w:color w:val="202122"/>
          <w:szCs w:val="18"/>
        </w:rPr>
        <w:t xml:space="preserve"> Waarschijnlijk (kans 6 op 10)</w:t>
      </w:r>
      <w:r w:rsidR="00BB1C4A" w:rsidRPr="005456C1">
        <w:rPr>
          <w:rFonts w:cs="Arial"/>
          <w:color w:val="202122"/>
          <w:szCs w:val="18"/>
        </w:rPr>
        <w:t>;</w:t>
      </w:r>
    </w:p>
    <w:p w14:paraId="44138A85" w14:textId="221CE4C3" w:rsidR="00103BE7" w:rsidRPr="005456C1" w:rsidRDefault="00103BE7" w:rsidP="00BB1C4A">
      <w:pPr>
        <w:shd w:val="clear" w:color="auto" w:fill="FFFFFF"/>
        <w:spacing w:after="24"/>
        <w:ind w:left="720" w:hanging="720"/>
        <w:rPr>
          <w:rFonts w:cs="Arial"/>
          <w:color w:val="202122"/>
          <w:szCs w:val="18"/>
        </w:rPr>
      </w:pPr>
      <w:r w:rsidRPr="005456C1">
        <w:rPr>
          <w:rFonts w:cs="Arial"/>
          <w:color w:val="202122"/>
          <w:szCs w:val="18"/>
        </w:rPr>
        <w:t>7</w:t>
      </w:r>
      <w:r w:rsidR="00BB1C4A" w:rsidRPr="005456C1">
        <w:rPr>
          <w:rFonts w:cs="Arial"/>
          <w:color w:val="202122"/>
          <w:szCs w:val="18"/>
        </w:rPr>
        <w:t xml:space="preserve"> =</w:t>
      </w:r>
      <w:r w:rsidRPr="005456C1">
        <w:rPr>
          <w:rFonts w:cs="Arial"/>
          <w:color w:val="202122"/>
          <w:szCs w:val="18"/>
        </w:rPr>
        <w:t xml:space="preserve"> Behoorlijk waarschijnlijk (kans 7 op 10)</w:t>
      </w:r>
      <w:r w:rsidR="00BB1C4A" w:rsidRPr="005456C1">
        <w:rPr>
          <w:rFonts w:cs="Arial"/>
          <w:color w:val="202122"/>
          <w:szCs w:val="18"/>
        </w:rPr>
        <w:t>;</w:t>
      </w:r>
    </w:p>
    <w:p w14:paraId="3CB5ECDA" w14:textId="4980DB11" w:rsidR="00103BE7" w:rsidRPr="005456C1" w:rsidRDefault="00103BE7" w:rsidP="00BB1C4A">
      <w:pPr>
        <w:shd w:val="clear" w:color="auto" w:fill="FFFFFF"/>
        <w:spacing w:after="24"/>
        <w:ind w:left="720" w:hanging="720"/>
        <w:rPr>
          <w:rFonts w:cs="Arial"/>
          <w:color w:val="202122"/>
          <w:szCs w:val="18"/>
        </w:rPr>
      </w:pPr>
      <w:r w:rsidRPr="005456C1">
        <w:rPr>
          <w:rFonts w:cs="Arial"/>
          <w:color w:val="202122"/>
          <w:szCs w:val="18"/>
        </w:rPr>
        <w:t>8</w:t>
      </w:r>
      <w:r w:rsidR="00BB1C4A" w:rsidRPr="005456C1">
        <w:rPr>
          <w:rFonts w:cs="Arial"/>
          <w:color w:val="202122"/>
          <w:szCs w:val="18"/>
        </w:rPr>
        <w:t xml:space="preserve"> =</w:t>
      </w:r>
      <w:r w:rsidRPr="005456C1">
        <w:rPr>
          <w:rFonts w:cs="Arial"/>
          <w:color w:val="202122"/>
          <w:szCs w:val="18"/>
        </w:rPr>
        <w:t xml:space="preserve"> Zeer waarschijnlijk (kans 8 op 10)</w:t>
      </w:r>
      <w:r w:rsidR="00BB1C4A" w:rsidRPr="005456C1">
        <w:rPr>
          <w:rFonts w:cs="Arial"/>
          <w:color w:val="202122"/>
          <w:szCs w:val="18"/>
        </w:rPr>
        <w:t>;</w:t>
      </w:r>
    </w:p>
    <w:p w14:paraId="2A4C4D8D" w14:textId="6F60E6ED" w:rsidR="00103BE7" w:rsidRPr="005456C1" w:rsidRDefault="00103BE7" w:rsidP="00BB1C4A">
      <w:pPr>
        <w:shd w:val="clear" w:color="auto" w:fill="FFFFFF"/>
        <w:spacing w:after="24"/>
        <w:ind w:left="720" w:hanging="720"/>
        <w:rPr>
          <w:rFonts w:cs="Arial"/>
          <w:color w:val="202122"/>
          <w:szCs w:val="18"/>
        </w:rPr>
      </w:pPr>
      <w:r w:rsidRPr="005456C1">
        <w:rPr>
          <w:rFonts w:cs="Arial"/>
          <w:color w:val="202122"/>
          <w:szCs w:val="18"/>
        </w:rPr>
        <w:t>9</w:t>
      </w:r>
      <w:r w:rsidR="00BB1C4A" w:rsidRPr="005456C1">
        <w:rPr>
          <w:rFonts w:cs="Arial"/>
          <w:color w:val="202122"/>
          <w:szCs w:val="18"/>
        </w:rPr>
        <w:t xml:space="preserve"> =</w:t>
      </w:r>
      <w:r w:rsidRPr="005456C1">
        <w:rPr>
          <w:rFonts w:cs="Arial"/>
          <w:color w:val="202122"/>
          <w:szCs w:val="18"/>
        </w:rPr>
        <w:t xml:space="preserve"> Bijna zeker (kans 9 op 10)</w:t>
      </w:r>
      <w:r w:rsidR="00BB1C4A" w:rsidRPr="005456C1">
        <w:rPr>
          <w:rFonts w:cs="Arial"/>
          <w:color w:val="202122"/>
          <w:szCs w:val="18"/>
        </w:rPr>
        <w:t>;</w:t>
      </w:r>
    </w:p>
    <w:p w14:paraId="4C47D258" w14:textId="7388046F" w:rsidR="00103BE7" w:rsidRPr="005456C1" w:rsidRDefault="00103BE7" w:rsidP="00BB1C4A">
      <w:pPr>
        <w:shd w:val="clear" w:color="auto" w:fill="FFFFFF"/>
        <w:spacing w:after="24"/>
        <w:ind w:left="720" w:hanging="720"/>
        <w:rPr>
          <w:rFonts w:cs="Arial"/>
          <w:color w:val="202122"/>
          <w:szCs w:val="18"/>
        </w:rPr>
      </w:pPr>
      <w:r w:rsidRPr="005456C1">
        <w:rPr>
          <w:rFonts w:cs="Arial"/>
          <w:color w:val="202122"/>
          <w:szCs w:val="18"/>
        </w:rPr>
        <w:t>10</w:t>
      </w:r>
      <w:r w:rsidR="00BB1C4A" w:rsidRPr="005456C1">
        <w:rPr>
          <w:rFonts w:cs="Arial"/>
          <w:color w:val="202122"/>
          <w:szCs w:val="18"/>
        </w:rPr>
        <w:t xml:space="preserve"> =</w:t>
      </w:r>
      <w:r w:rsidRPr="005456C1">
        <w:rPr>
          <w:rFonts w:cs="Arial"/>
          <w:color w:val="202122"/>
          <w:szCs w:val="18"/>
        </w:rPr>
        <w:t xml:space="preserve"> Nagenoeg tot absoluut zeker (kans 99 in 100)</w:t>
      </w:r>
      <w:r w:rsidR="00BB1C4A" w:rsidRPr="005456C1">
        <w:rPr>
          <w:rFonts w:cs="Arial"/>
          <w:color w:val="202122"/>
          <w:szCs w:val="18"/>
        </w:rPr>
        <w:t>.</w:t>
      </w:r>
    </w:p>
    <w:p w14:paraId="4902BC95" w14:textId="77777777" w:rsidR="00BE19B3" w:rsidRPr="005456C1" w:rsidRDefault="00BE19B3" w:rsidP="00AF5E76"/>
    <w:p w14:paraId="268268A8" w14:textId="5D841C88" w:rsidR="00AF5E76" w:rsidRPr="005456C1" w:rsidRDefault="00AF5E76" w:rsidP="00AF5E76">
      <w:r w:rsidRPr="005456C1">
        <w:t xml:space="preserve">Op basis van de </w:t>
      </w:r>
      <w:r w:rsidR="000C1B6D" w:rsidRPr="005456C1">
        <w:t xml:space="preserve">individuele </w:t>
      </w:r>
      <w:r w:rsidRPr="005456C1">
        <w:t>scores op de gestelde NPS-vraag worden 3 categorieën van respondenten onderscheiden:</w:t>
      </w:r>
    </w:p>
    <w:p w14:paraId="73F5AFFF" w14:textId="2DF33C58" w:rsidR="00AF5E76" w:rsidRPr="005456C1" w:rsidRDefault="00AF5E76" w:rsidP="00BB1C4A">
      <w:pPr>
        <w:pStyle w:val="Lijstalinea"/>
        <w:numPr>
          <w:ilvl w:val="0"/>
          <w:numId w:val="20"/>
        </w:numPr>
        <w:ind w:left="284" w:hanging="295"/>
      </w:pPr>
      <w:r w:rsidRPr="005456C1">
        <w:t>Promotors = respondenten die een score van 9 of 10 geven</w:t>
      </w:r>
      <w:r w:rsidR="00BB1C4A" w:rsidRPr="005456C1">
        <w:t>;</w:t>
      </w:r>
    </w:p>
    <w:p w14:paraId="336DC7F8" w14:textId="675ECA57" w:rsidR="00AF5E76" w:rsidRPr="005456C1" w:rsidRDefault="00AF5E76" w:rsidP="00BB1C4A">
      <w:pPr>
        <w:pStyle w:val="Lijstalinea"/>
        <w:numPr>
          <w:ilvl w:val="0"/>
          <w:numId w:val="20"/>
        </w:numPr>
        <w:ind w:left="284" w:hanging="295"/>
      </w:pPr>
      <w:r w:rsidRPr="005456C1">
        <w:t xml:space="preserve">Passief </w:t>
      </w:r>
      <w:r w:rsidR="00BB1C4A" w:rsidRPr="005456C1">
        <w:t>t</w:t>
      </w:r>
      <w:r w:rsidRPr="005456C1">
        <w:t>evredenen = respondenten die een score 7 of 8 geven</w:t>
      </w:r>
      <w:r w:rsidR="00BB1C4A" w:rsidRPr="005456C1">
        <w:t>;</w:t>
      </w:r>
    </w:p>
    <w:p w14:paraId="159D322A" w14:textId="40066E3D" w:rsidR="00AF5E76" w:rsidRPr="005456C1" w:rsidRDefault="00AF5E76" w:rsidP="00BB1C4A">
      <w:pPr>
        <w:pStyle w:val="Lijstalinea"/>
        <w:numPr>
          <w:ilvl w:val="0"/>
          <w:numId w:val="20"/>
        </w:numPr>
        <w:ind w:left="284" w:hanging="295"/>
      </w:pPr>
      <w:r w:rsidRPr="005456C1">
        <w:t>Criticasters = respondenten die een score van 0 tot en met 6 geven</w:t>
      </w:r>
      <w:r w:rsidR="00BB1C4A" w:rsidRPr="005456C1">
        <w:t>.</w:t>
      </w:r>
    </w:p>
    <w:p w14:paraId="4A9A2A28" w14:textId="15A5ABEA" w:rsidR="00AF5E76" w:rsidRPr="005456C1" w:rsidRDefault="00AF5E76" w:rsidP="00AF5E76"/>
    <w:p w14:paraId="0FC0DD7E" w14:textId="1E057CE1" w:rsidR="00594CE8" w:rsidRPr="005456C1" w:rsidRDefault="00594CE8" w:rsidP="00AF5E76">
      <w:r w:rsidRPr="005456C1">
        <w:rPr>
          <w:noProof/>
          <w:szCs w:val="18"/>
          <w:lang w:val="en-US"/>
        </w:rPr>
        <w:drawing>
          <wp:inline distT="0" distB="0" distL="0" distR="0" wp14:anchorId="53947D48" wp14:editId="0297202E">
            <wp:extent cx="3600450" cy="1352151"/>
            <wp:effectExtent l="0" t="0" r="0" b="635"/>
            <wp:docPr id="1" name="Afbeelding 1" descr="cid:image001.png@01D70A9E.2DB02C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cid:image001.png@01D70A9E.2DB02CB0"/>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bwMode="auto">
                    <a:xfrm>
                      <a:off x="0" y="0"/>
                      <a:ext cx="3647405" cy="1369785"/>
                    </a:xfrm>
                    <a:prstGeom prst="rect">
                      <a:avLst/>
                    </a:prstGeom>
                    <a:noFill/>
                    <a:ln>
                      <a:noFill/>
                    </a:ln>
                  </pic:spPr>
                </pic:pic>
              </a:graphicData>
            </a:graphic>
          </wp:inline>
        </w:drawing>
      </w:r>
    </w:p>
    <w:p w14:paraId="4BBC9DFB" w14:textId="77777777" w:rsidR="00594CE8" w:rsidRPr="005456C1" w:rsidRDefault="00594CE8" w:rsidP="00AF5E76"/>
    <w:p w14:paraId="4C4E79BE" w14:textId="14E53A40" w:rsidR="00C31F94" w:rsidRPr="005456C1" w:rsidRDefault="00AF5E76" w:rsidP="00AF5E76">
      <w:r w:rsidRPr="005456C1">
        <w:t xml:space="preserve">De NPS per opdrachtnemer (NPS-ON) is gelijk aan: </w:t>
      </w:r>
      <w:r w:rsidR="00D34B86" w:rsidRPr="005456C1">
        <w:t>% promotors - % criticasters.</w:t>
      </w:r>
      <w:r w:rsidRPr="005456C1">
        <w:rPr>
          <w:b/>
        </w:rPr>
        <w:t xml:space="preserve"> </w:t>
      </w:r>
    </w:p>
    <w:p w14:paraId="3D42E474" w14:textId="4C9E7378" w:rsidR="00C31F94" w:rsidRPr="005456C1" w:rsidRDefault="00C31F94" w:rsidP="00AF5E76"/>
    <w:p w14:paraId="75C0A259" w14:textId="5B06BC16" w:rsidR="007D08C5" w:rsidRPr="005456C1" w:rsidRDefault="007D08C5" w:rsidP="00AF5E76">
      <w:r w:rsidRPr="005456C1">
        <w:t xml:space="preserve">Op basis van deze berekening kunnen de volgende conclusies </w:t>
      </w:r>
      <w:r w:rsidR="00D34B86" w:rsidRPr="005456C1">
        <w:t>worden getrokken</w:t>
      </w:r>
      <w:r w:rsidRPr="005456C1">
        <w:t>:</w:t>
      </w:r>
    </w:p>
    <w:p w14:paraId="70D400F4" w14:textId="3D8AC87A" w:rsidR="007D08C5" w:rsidRPr="005456C1" w:rsidRDefault="007D08C5" w:rsidP="00D34B86">
      <w:pPr>
        <w:pStyle w:val="Lijstalinea"/>
        <w:numPr>
          <w:ilvl w:val="0"/>
          <w:numId w:val="22"/>
        </w:numPr>
        <w:ind w:left="284" w:hanging="284"/>
      </w:pPr>
      <w:r w:rsidRPr="005456C1">
        <w:t>NPS-ON is -2</w:t>
      </w:r>
      <w:r w:rsidR="00D34B86" w:rsidRPr="005456C1">
        <w:t>0</w:t>
      </w:r>
      <w:r w:rsidRPr="005456C1">
        <w:t>(%) of lager: dit duidt op een lage tevredenheid. Opdrachtnemer analyseert de aanwezigheid van (zeer) lage individuele scores, overlegt met de betreffende respondent(en) bij Deelnemer(s) over de oorzaken en probeert in de opvolgende meetperiode de uitkomsten te verbeteren. Opdrachtnemer levert hiervoor een plan aan bij Opdrachtgever en Deelnemer(s). De opvolgende meetperiode zal deze KPI wederom gemeten en vastgesteld worden, met een verplicht karakter</w:t>
      </w:r>
      <w:r w:rsidR="00D34B86" w:rsidRPr="005456C1">
        <w:t>;</w:t>
      </w:r>
    </w:p>
    <w:p w14:paraId="66F1AC2B" w14:textId="7D26F94B" w:rsidR="000F1482" w:rsidRPr="005456C1" w:rsidRDefault="007D08C5" w:rsidP="00D34B86">
      <w:pPr>
        <w:pStyle w:val="Lijstalinea"/>
        <w:numPr>
          <w:ilvl w:val="0"/>
          <w:numId w:val="22"/>
        </w:numPr>
        <w:ind w:left="284" w:hanging="284"/>
      </w:pPr>
      <w:r w:rsidRPr="005456C1">
        <w:t>NPS-ON ligt tussen -20(%) en +20(%): dit duidt op een neutrale tevredenheid. Opdrachtnemer analyseert de aanwezigheid van eventuele (zeer) lage individuele scores en overlegt met de betreffende respondent(en) bij Deelnemer(s) of/welke vervolgstappen wenselijk zijn</w:t>
      </w:r>
      <w:r w:rsidR="00D34B86" w:rsidRPr="005456C1">
        <w:t>;</w:t>
      </w:r>
    </w:p>
    <w:p w14:paraId="163651D0" w14:textId="39A5E21C" w:rsidR="000F1482" w:rsidRPr="005456C1" w:rsidRDefault="007D08C5" w:rsidP="00D34B86">
      <w:pPr>
        <w:pStyle w:val="Lijstalinea"/>
        <w:numPr>
          <w:ilvl w:val="0"/>
          <w:numId w:val="22"/>
        </w:numPr>
        <w:ind w:left="284" w:hanging="284"/>
      </w:pPr>
      <w:r w:rsidRPr="005456C1">
        <w:t>NPS-ON is +20(%) of hoger: dit duidt op een hoge tevredenheid.</w:t>
      </w:r>
    </w:p>
    <w:p w14:paraId="1A991B31" w14:textId="39E63991" w:rsidR="000F1482" w:rsidRPr="005456C1" w:rsidRDefault="00E31772" w:rsidP="000F1482">
      <w:bookmarkStart w:id="15" w:name="_Toc416263255"/>
      <w:r w:rsidRPr="005456C1">
        <w:t xml:space="preserve">De beoordelingen </w:t>
      </w:r>
      <w:r w:rsidR="00E466AB" w:rsidRPr="005456C1">
        <w:t>van ICT-Professionals</w:t>
      </w:r>
      <w:r w:rsidRPr="005456C1">
        <w:t xml:space="preserve"> worden vertrouwelijk behandeld</w:t>
      </w:r>
      <w:r w:rsidR="007D08C5" w:rsidRPr="005456C1">
        <w:t>.</w:t>
      </w:r>
      <w:r w:rsidR="000C1B6D" w:rsidRPr="005456C1">
        <w:t xml:space="preserve"> Opdrachtnemer is verantwoordelijk voor het opvragen, rappelleren en verwerken van de individuele scores. Opdrachtnemer rapporteert deze scores aan </w:t>
      </w:r>
      <w:r w:rsidR="00E466AB" w:rsidRPr="005456C1">
        <w:t>O</w:t>
      </w:r>
      <w:r w:rsidR="000C1B6D" w:rsidRPr="005456C1">
        <w:t xml:space="preserve">pdrachtgever, bij voorkeur in zijn standaard rapportage over de lopende en afgeronde </w:t>
      </w:r>
      <w:r w:rsidR="00E466AB" w:rsidRPr="005456C1">
        <w:t>N</w:t>
      </w:r>
      <w:r w:rsidR="000C1B6D" w:rsidRPr="005456C1">
        <w:t xml:space="preserve">adere </w:t>
      </w:r>
      <w:r w:rsidR="00E466AB" w:rsidRPr="005456C1">
        <w:t>O</w:t>
      </w:r>
      <w:r w:rsidR="000C1B6D" w:rsidRPr="005456C1">
        <w:t>vereenkomsten (plaatsingen). Opdrachtgever verwijdert de ontvangen individuele scores zodra deze niet meer nodig zijn voor het bepalen van de NPS-score per opdrachtnemer, het analyseren en bespreken van verbetermogelijkheden en vervolgstappen.</w:t>
      </w:r>
      <w:r w:rsidR="00027DDF" w:rsidRPr="005456C1">
        <w:t xml:space="preserve"> </w:t>
      </w:r>
    </w:p>
    <w:p w14:paraId="43E0708F" w14:textId="429FC643" w:rsidR="000F1482" w:rsidRPr="005456C1" w:rsidRDefault="000F1482" w:rsidP="000F1482"/>
    <w:p w14:paraId="144AEEF3" w14:textId="6200191D" w:rsidR="000F1482" w:rsidRPr="005456C1" w:rsidRDefault="000F1482" w:rsidP="000F1482">
      <w:r w:rsidRPr="005456C1">
        <w:lastRenderedPageBreak/>
        <w:t xml:space="preserve">Ter illustratie: </w:t>
      </w:r>
      <w:r w:rsidR="00E466AB" w:rsidRPr="005456C1">
        <w:t>o</w:t>
      </w:r>
      <w:r w:rsidRPr="005456C1">
        <w:t>pdrachtnemer heeft een meting gehouden met de volgende uitkomst</w:t>
      </w:r>
      <w:r w:rsidR="00D34B86" w:rsidRPr="005456C1">
        <w:t>:</w:t>
      </w:r>
      <w:r w:rsidRPr="005456C1">
        <w:t xml:space="preserve"> </w:t>
      </w:r>
    </w:p>
    <w:p w14:paraId="19BDA151" w14:textId="34AD700F" w:rsidR="000F1482" w:rsidRPr="005456C1" w:rsidRDefault="000F1482" w:rsidP="00D34B86">
      <w:pPr>
        <w:pStyle w:val="Lijstalinea"/>
        <w:numPr>
          <w:ilvl w:val="0"/>
          <w:numId w:val="23"/>
        </w:numPr>
        <w:ind w:left="284" w:hanging="284"/>
      </w:pPr>
      <w:r w:rsidRPr="005456C1">
        <w:t>Voor 40 ICT-</w:t>
      </w:r>
      <w:r w:rsidR="00E466AB" w:rsidRPr="005456C1">
        <w:t>P</w:t>
      </w:r>
      <w:r w:rsidRPr="005456C1">
        <w:t xml:space="preserve">rofessionals is een score 9 of 10 gegeven. Deze respondenten zijn ‘promotors’; </w:t>
      </w:r>
    </w:p>
    <w:p w14:paraId="1AE26D61" w14:textId="7CB0AD69" w:rsidR="000F1482" w:rsidRPr="005456C1" w:rsidRDefault="000F1482" w:rsidP="00D34B86">
      <w:pPr>
        <w:pStyle w:val="Lijstalinea"/>
        <w:numPr>
          <w:ilvl w:val="0"/>
          <w:numId w:val="23"/>
        </w:numPr>
        <w:ind w:left="284" w:hanging="284"/>
      </w:pPr>
      <w:r w:rsidRPr="005456C1">
        <w:t>Voor 200 ICT-</w:t>
      </w:r>
      <w:r w:rsidR="00E466AB" w:rsidRPr="005456C1">
        <w:t>P</w:t>
      </w:r>
      <w:r w:rsidRPr="005456C1">
        <w:t xml:space="preserve">rofessionals is een score 7 of 8 gegeven. Deze respondenten zijn ‘passief tevredenen’; </w:t>
      </w:r>
    </w:p>
    <w:p w14:paraId="7B8AEA9E" w14:textId="20F99DAB" w:rsidR="000F1482" w:rsidRPr="005456C1" w:rsidRDefault="000F1482" w:rsidP="00D34B86">
      <w:pPr>
        <w:pStyle w:val="Lijstalinea"/>
        <w:numPr>
          <w:ilvl w:val="0"/>
          <w:numId w:val="23"/>
        </w:numPr>
        <w:ind w:left="284" w:hanging="284"/>
      </w:pPr>
      <w:r w:rsidRPr="005456C1">
        <w:t>Voor 10 ICT-</w:t>
      </w:r>
      <w:r w:rsidR="00E466AB" w:rsidRPr="005456C1">
        <w:t>P</w:t>
      </w:r>
      <w:r w:rsidRPr="005456C1">
        <w:t xml:space="preserve">rofessionals is een score van 6 of lager gegeven. Deze respondenten zijn ‘criticaster’; </w:t>
      </w:r>
    </w:p>
    <w:p w14:paraId="1B579B13" w14:textId="23225ACD" w:rsidR="000F1482" w:rsidRPr="005456C1" w:rsidRDefault="000F1482" w:rsidP="00D34B86">
      <w:pPr>
        <w:pStyle w:val="Lijstalinea"/>
        <w:numPr>
          <w:ilvl w:val="0"/>
          <w:numId w:val="23"/>
        </w:numPr>
        <w:ind w:left="284" w:hanging="284"/>
      </w:pPr>
      <w:r w:rsidRPr="005456C1">
        <w:t>Voor 50 ICT-</w:t>
      </w:r>
      <w:r w:rsidR="00E466AB" w:rsidRPr="005456C1">
        <w:t>P</w:t>
      </w:r>
      <w:r w:rsidRPr="005456C1">
        <w:t>rofessionals is een score gevraagd, maar is deze niet ontvangen;</w:t>
      </w:r>
    </w:p>
    <w:p w14:paraId="0AE4DC22" w14:textId="78022E5B" w:rsidR="000F1482" w:rsidRPr="005456C1" w:rsidRDefault="000F1482" w:rsidP="00D34B86">
      <w:pPr>
        <w:pStyle w:val="Lijstalinea"/>
        <w:numPr>
          <w:ilvl w:val="0"/>
          <w:numId w:val="23"/>
        </w:numPr>
        <w:ind w:left="284" w:hanging="284"/>
      </w:pPr>
      <w:r w:rsidRPr="005456C1">
        <w:t>60 ICT-</w:t>
      </w:r>
      <w:r w:rsidR="00E466AB" w:rsidRPr="005456C1">
        <w:t>P</w:t>
      </w:r>
      <w:r w:rsidRPr="005456C1">
        <w:t>rofessionals zijn in deze meetperiode minder dan 3 maanden ingezet en hebben hun opdracht nog niet afgerond. Voor deze ICT-</w:t>
      </w:r>
      <w:r w:rsidR="00D34B86" w:rsidRPr="005456C1">
        <w:t>P</w:t>
      </w:r>
      <w:r w:rsidRPr="005456C1">
        <w:t xml:space="preserve">rofessionals is daarom geen score opgevraagd. </w:t>
      </w:r>
    </w:p>
    <w:p w14:paraId="08DDA89F" w14:textId="77777777" w:rsidR="000F1482" w:rsidRPr="005456C1" w:rsidRDefault="000F1482" w:rsidP="000F1482"/>
    <w:p w14:paraId="3A9A8BF1" w14:textId="5CDEE56C" w:rsidR="000F1482" w:rsidRPr="005456C1" w:rsidRDefault="000F1482" w:rsidP="000F1482">
      <w:r w:rsidRPr="005456C1">
        <w:t>Het % promotors is hierbij gelijk aan 40/(40+200+10) = 16%;</w:t>
      </w:r>
    </w:p>
    <w:p w14:paraId="55F76E85" w14:textId="1BE49B78" w:rsidR="000F1482" w:rsidRPr="005456C1" w:rsidRDefault="000F1482" w:rsidP="000F1482">
      <w:r w:rsidRPr="005456C1">
        <w:t>Het % criticasters is hierbij gelijk aan 10/(40+200+10) = 4%;</w:t>
      </w:r>
    </w:p>
    <w:p w14:paraId="1057D995" w14:textId="285CF6D0" w:rsidR="000F1482" w:rsidRPr="005456C1" w:rsidRDefault="000F1482" w:rsidP="000F1482">
      <w:r w:rsidRPr="005456C1">
        <w:t xml:space="preserve">De NPS-score van deze opdrachtnemer is daarmee 12% (=16-4%). </w:t>
      </w:r>
    </w:p>
    <w:p w14:paraId="66DC3914" w14:textId="77777777" w:rsidR="001A024D" w:rsidRPr="005456C1" w:rsidRDefault="001A024D" w:rsidP="00697924">
      <w:pPr>
        <w:tabs>
          <w:tab w:val="num" w:pos="0"/>
        </w:tabs>
      </w:pPr>
    </w:p>
    <w:p w14:paraId="6DEE6001" w14:textId="1AFA99DD" w:rsidR="008B42BF" w:rsidRPr="00D679BE" w:rsidRDefault="001A024D" w:rsidP="00697924">
      <w:pPr>
        <w:tabs>
          <w:tab w:val="num" w:pos="0"/>
        </w:tabs>
      </w:pPr>
      <w:r w:rsidRPr="005456C1">
        <w:t xml:space="preserve">In bovengenoemde situatie geldt: </w:t>
      </w:r>
      <w:r w:rsidR="00E466AB" w:rsidRPr="005456C1">
        <w:t>o</w:t>
      </w:r>
      <w:r w:rsidRPr="005456C1">
        <w:t xml:space="preserve">pdrachtnemer analyseert (desgewenst) nog de aanwezigheid van eventuele (zeer) lage individuele scores en overlegt met de betreffende respondent bij </w:t>
      </w:r>
      <w:r w:rsidR="00E466AB" w:rsidRPr="005456C1">
        <w:t>D</w:t>
      </w:r>
      <w:r w:rsidRPr="005456C1">
        <w:t>eelnemer of/welke vervolgstappen wenselijk zijn.</w:t>
      </w:r>
      <w:r w:rsidR="008B42BF" w:rsidRPr="00D679BE">
        <w:br w:type="page"/>
      </w:r>
    </w:p>
    <w:p w14:paraId="0A5F8775" w14:textId="15562860" w:rsidR="00116E00" w:rsidRPr="00D679BE" w:rsidRDefault="00550ACD" w:rsidP="00823F35">
      <w:pPr>
        <w:pStyle w:val="Kop1"/>
      </w:pPr>
      <w:bookmarkStart w:id="16" w:name="_Toc447113899"/>
      <w:bookmarkStart w:id="17" w:name="_Toc141364222"/>
      <w:r w:rsidRPr="00D679BE">
        <w:lastRenderedPageBreak/>
        <w:t>KPI</w:t>
      </w:r>
      <w:r w:rsidR="00DC732E" w:rsidRPr="00D679BE">
        <w:t>-</w:t>
      </w:r>
      <w:r w:rsidRPr="00D679BE">
        <w:t xml:space="preserve">2 </w:t>
      </w:r>
      <w:r w:rsidR="00116E00" w:rsidRPr="00D679BE">
        <w:t>Aanbiedingsbetrouwbaarheid</w:t>
      </w:r>
      <w:bookmarkEnd w:id="15"/>
      <w:bookmarkEnd w:id="16"/>
      <w:bookmarkEnd w:id="17"/>
    </w:p>
    <w:p w14:paraId="0DDC43D6" w14:textId="77777777" w:rsidR="00116E00" w:rsidRPr="00D679BE" w:rsidRDefault="00116E00" w:rsidP="00B22E35">
      <w:pPr>
        <w:tabs>
          <w:tab w:val="num" w:pos="0"/>
        </w:tabs>
        <w:rPr>
          <w:b/>
        </w:rPr>
      </w:pPr>
      <w:r w:rsidRPr="00D679BE">
        <w:rPr>
          <w:b/>
        </w:rPr>
        <w:t>Achtergrond</w:t>
      </w:r>
    </w:p>
    <w:p w14:paraId="56232249" w14:textId="72191EE2" w:rsidR="00116E00" w:rsidRPr="00D679BE" w:rsidRDefault="00116E00" w:rsidP="00FF7334">
      <w:r w:rsidRPr="00D679BE">
        <w:t xml:space="preserve">Het is om de volgende redenen van belang dat de opdrachtnemers zo vaak mogelijk een geschikte </w:t>
      </w:r>
      <w:r w:rsidR="00695257">
        <w:t>Kandida</w:t>
      </w:r>
      <w:r w:rsidRPr="00D679BE">
        <w:t>at aanbieden:</w:t>
      </w:r>
    </w:p>
    <w:p w14:paraId="1CE7378B" w14:textId="261F5055" w:rsidR="00116E00" w:rsidRPr="00D679BE" w:rsidRDefault="008627DC" w:rsidP="007F1268">
      <w:pPr>
        <w:numPr>
          <w:ilvl w:val="0"/>
          <w:numId w:val="1"/>
        </w:numPr>
      </w:pPr>
      <w:r>
        <w:t>O</w:t>
      </w:r>
      <w:r w:rsidR="00116E00" w:rsidRPr="00D679BE">
        <w:t xml:space="preserve">m de kans te vergroten de beste </w:t>
      </w:r>
      <w:r>
        <w:t>K</w:t>
      </w:r>
      <w:r w:rsidR="00116E00" w:rsidRPr="00D679BE">
        <w:t xml:space="preserve">andidaat bij een </w:t>
      </w:r>
      <w:r>
        <w:t>A</w:t>
      </w:r>
      <w:r w:rsidR="00116E00" w:rsidRPr="00D679BE">
        <w:t>anvraag te vinden;</w:t>
      </w:r>
    </w:p>
    <w:p w14:paraId="6D4A8DFC" w14:textId="7A77E85E" w:rsidR="00116E00" w:rsidRPr="00D679BE" w:rsidRDefault="008627DC" w:rsidP="007F1268">
      <w:pPr>
        <w:numPr>
          <w:ilvl w:val="0"/>
          <w:numId w:val="1"/>
        </w:numPr>
      </w:pPr>
      <w:r>
        <w:t>V</w:t>
      </w:r>
      <w:r w:rsidR="00116E00" w:rsidRPr="00D679BE">
        <w:t>oor een goede marktwerking;</w:t>
      </w:r>
    </w:p>
    <w:p w14:paraId="6035E91E" w14:textId="77777777" w:rsidR="00116E00" w:rsidRPr="00D679BE" w:rsidRDefault="00116E00" w:rsidP="007F1268">
      <w:pPr>
        <w:numPr>
          <w:ilvl w:val="0"/>
          <w:numId w:val="1"/>
        </w:numPr>
      </w:pPr>
      <w:r w:rsidRPr="00D679BE">
        <w:t>omdat sommige disciplines schaars zijn in de markt.</w:t>
      </w:r>
    </w:p>
    <w:p w14:paraId="5A4DA199" w14:textId="77777777" w:rsidR="00FA1D97" w:rsidRPr="00D679BE" w:rsidRDefault="00FA1D97" w:rsidP="00116E00"/>
    <w:p w14:paraId="75400780" w14:textId="724DDD87" w:rsidR="00820AF4" w:rsidRPr="00D679BE" w:rsidRDefault="00820AF4" w:rsidP="00DC732E">
      <w:pPr>
        <w:jc w:val="both"/>
      </w:pPr>
      <w:r w:rsidRPr="00D679BE">
        <w:t xml:space="preserve">Doel van deze KPI is om te borgen dat de </w:t>
      </w:r>
      <w:r w:rsidR="006B7FC0" w:rsidRPr="00D679BE">
        <w:t>D</w:t>
      </w:r>
      <w:r w:rsidRPr="00D679BE">
        <w:t xml:space="preserve">eelnemer uit voldoende diverse beschikbare en (kwalitatief) geschikte </w:t>
      </w:r>
      <w:r w:rsidR="00695257">
        <w:t>Kandida</w:t>
      </w:r>
      <w:r w:rsidRPr="00D679BE">
        <w:t>ten kan kiezen. Voldoende aanbod en</w:t>
      </w:r>
      <w:r w:rsidR="00792D55" w:rsidRPr="00D679BE">
        <w:t xml:space="preserve"> </w:t>
      </w:r>
      <w:r w:rsidRPr="00D679BE">
        <w:t xml:space="preserve">keuze </w:t>
      </w:r>
      <w:r w:rsidR="00792D55" w:rsidRPr="00D679BE">
        <w:t xml:space="preserve">voor </w:t>
      </w:r>
      <w:r w:rsidR="008627DC">
        <w:t>Deelnemer</w:t>
      </w:r>
      <w:r w:rsidR="00792D55" w:rsidRPr="00D679BE">
        <w:t xml:space="preserve"> </w:t>
      </w:r>
      <w:r w:rsidRPr="00D679BE">
        <w:t xml:space="preserve">moet zorgen voor inzet van de juiste </w:t>
      </w:r>
      <w:r w:rsidR="006B7FC0" w:rsidRPr="00D679BE">
        <w:t>K</w:t>
      </w:r>
      <w:r w:rsidRPr="00D679BE">
        <w:t>andidaat op de betreffende opdracht(en)</w:t>
      </w:r>
      <w:r w:rsidR="00792D55" w:rsidRPr="00D679BE">
        <w:t>, oftewel de ‘juiste match’,</w:t>
      </w:r>
      <w:r w:rsidRPr="00D679BE">
        <w:t xml:space="preserve"> en borging van continuïteit van de </w:t>
      </w:r>
      <w:r w:rsidR="00792D55" w:rsidRPr="00D679BE">
        <w:t>werkzaamheden die per opdracht uitgevoerd moeten worden.</w:t>
      </w:r>
      <w:r w:rsidRPr="00D679BE">
        <w:t xml:space="preserve"> </w:t>
      </w:r>
      <w:r w:rsidR="00792D55" w:rsidRPr="00D679BE">
        <w:t xml:space="preserve">Vergroting van de kans om de beste </w:t>
      </w:r>
      <w:r w:rsidR="006B7FC0" w:rsidRPr="00D679BE">
        <w:t>K</w:t>
      </w:r>
      <w:r w:rsidR="00792D55" w:rsidRPr="00D679BE">
        <w:t xml:space="preserve">andidaat bij een opdracht te vinden, leidt ook tot vergroting van de kans dat de opdracht efficiënt en kwalitatief goed afgerond kan worden. </w:t>
      </w:r>
    </w:p>
    <w:p w14:paraId="4B0E7546" w14:textId="77777777" w:rsidR="00820AF4" w:rsidRPr="00D679BE" w:rsidRDefault="00820AF4" w:rsidP="00DC732E">
      <w:pPr>
        <w:jc w:val="both"/>
      </w:pPr>
    </w:p>
    <w:p w14:paraId="3056BDF8" w14:textId="51319FFC" w:rsidR="00792D55" w:rsidRPr="00D679BE" w:rsidRDefault="005275FA" w:rsidP="00DC732E">
      <w:pPr>
        <w:jc w:val="both"/>
      </w:pPr>
      <w:r w:rsidRPr="00D679BE">
        <w:t xml:space="preserve">Beoogd is dat inschrijver alleen </w:t>
      </w:r>
      <w:r w:rsidR="00695257">
        <w:t>Kandida</w:t>
      </w:r>
      <w:r w:rsidRPr="00D679BE">
        <w:t xml:space="preserve">ten aanbiedt, </w:t>
      </w:r>
      <w:r w:rsidR="00865EE8" w:rsidRPr="00D679BE">
        <w:t xml:space="preserve">nadat </w:t>
      </w:r>
      <w:r w:rsidRPr="00D679BE">
        <w:t xml:space="preserve">hij heeft vastgesteld dat deze ook daadwerkelijk volgens de aangegeven planning </w:t>
      </w:r>
      <w:r w:rsidR="00865EE8" w:rsidRPr="00D679BE">
        <w:t xml:space="preserve">volledig </w:t>
      </w:r>
      <w:r w:rsidRPr="00D679BE">
        <w:t>voor uitvoering van de opdracht beschikbaar zijn.</w:t>
      </w:r>
      <w:r w:rsidR="008F0414" w:rsidRPr="00D679BE">
        <w:t xml:space="preserve"> </w:t>
      </w:r>
      <w:r w:rsidR="00116E00" w:rsidRPr="00D679BE">
        <w:t>Het aanbiedingsbetrouwbaarheid</w:t>
      </w:r>
      <w:r w:rsidR="00FE2DAA" w:rsidRPr="00D679BE">
        <w:t xml:space="preserve">spercentage </w:t>
      </w:r>
      <w:r w:rsidR="00116E00" w:rsidRPr="00D679BE">
        <w:t xml:space="preserve">is met name een resultante van de (interne) processen van opdrachtnemer. Het is niet aan </w:t>
      </w:r>
      <w:r w:rsidR="00695257">
        <w:t>Opdrachtgever</w:t>
      </w:r>
      <w:r w:rsidR="00011C60" w:rsidRPr="00D679BE">
        <w:t xml:space="preserve"> </w:t>
      </w:r>
      <w:r w:rsidR="00116E00" w:rsidRPr="00D679BE">
        <w:t xml:space="preserve">om een oordeel te vellen over de wijze waarop opdrachtnemer dit doet. Er zijn immers vele middelen of methodes te bedenken, waaronder: het hebben van een grote database met vele </w:t>
      </w:r>
      <w:proofErr w:type="spellStart"/>
      <w:r w:rsidR="00116E00" w:rsidRPr="00D679BE">
        <w:t>CV’s</w:t>
      </w:r>
      <w:proofErr w:type="spellEnd"/>
      <w:r w:rsidR="00116E00" w:rsidRPr="00D679BE">
        <w:t xml:space="preserve">, het exploiteren van een marktplaats, de inzet van </w:t>
      </w:r>
      <w:proofErr w:type="spellStart"/>
      <w:r w:rsidR="00116E00" w:rsidRPr="00D679BE">
        <w:t>social</w:t>
      </w:r>
      <w:proofErr w:type="spellEnd"/>
      <w:r w:rsidR="00116E00" w:rsidRPr="00D679BE">
        <w:t xml:space="preserve"> media.</w:t>
      </w:r>
      <w:r w:rsidR="00792D55" w:rsidRPr="00D679BE">
        <w:t xml:space="preserve"> </w:t>
      </w:r>
    </w:p>
    <w:p w14:paraId="37BCF716" w14:textId="450DB017" w:rsidR="00792D55" w:rsidRPr="00D679BE" w:rsidRDefault="00792D55" w:rsidP="00DC732E">
      <w:pPr>
        <w:jc w:val="both"/>
      </w:pPr>
      <w:r w:rsidRPr="00D679BE">
        <w:t xml:space="preserve">Schaarste in de markt leidt er ook toe dat het voor opdrachtnemers niet altijd mogelijk is om geschikte/beschikbare </w:t>
      </w:r>
      <w:r w:rsidR="00695257">
        <w:t>Kandida</w:t>
      </w:r>
      <w:r w:rsidRPr="00D679BE">
        <w:t>ten aan te bieden.</w:t>
      </w:r>
      <w:r w:rsidR="00CB65FD" w:rsidRPr="00D679BE">
        <w:t xml:space="preserve"> Daarnaast heeft iedere ondernemer zijn eigen specialisme(s). Om te voorkomen dat opdrachtnemers minder geschikte </w:t>
      </w:r>
      <w:r w:rsidR="00695257">
        <w:t>Kandida</w:t>
      </w:r>
      <w:r w:rsidR="00CB65FD" w:rsidRPr="00D679BE">
        <w:t xml:space="preserve">ten gaan aanbieden of disproportionele inspanningen zouden moeten doen voor het vinden van de juiste </w:t>
      </w:r>
      <w:r w:rsidR="00695257">
        <w:t>Kandida</w:t>
      </w:r>
      <w:r w:rsidR="00CB65FD" w:rsidRPr="00D679BE">
        <w:t xml:space="preserve">at, mogen opdrachtnemers bij een beperkt aantal </w:t>
      </w:r>
      <w:r w:rsidR="00695257">
        <w:t>Aanvra</w:t>
      </w:r>
      <w:r w:rsidR="00CB65FD" w:rsidRPr="00D679BE">
        <w:t xml:space="preserve">gen ervoor kiezen om geen </w:t>
      </w:r>
      <w:r w:rsidR="00695257">
        <w:t>Kandida</w:t>
      </w:r>
      <w:r w:rsidR="00CB65FD" w:rsidRPr="00D679BE">
        <w:t xml:space="preserve">at aan te bieden. </w:t>
      </w:r>
    </w:p>
    <w:p w14:paraId="5F5B051E" w14:textId="77777777" w:rsidR="008F0414" w:rsidRPr="00D679BE" w:rsidRDefault="008F0414" w:rsidP="00FF7334">
      <w:pPr>
        <w:tabs>
          <w:tab w:val="num" w:pos="0"/>
        </w:tabs>
        <w:rPr>
          <w:b/>
        </w:rPr>
      </w:pPr>
    </w:p>
    <w:p w14:paraId="363FCCC6" w14:textId="77777777" w:rsidR="00DE5C9C" w:rsidRPr="00D679BE" w:rsidRDefault="00C62CC3" w:rsidP="00FF7334">
      <w:pPr>
        <w:tabs>
          <w:tab w:val="num" w:pos="0"/>
        </w:tabs>
        <w:rPr>
          <w:b/>
        </w:rPr>
      </w:pPr>
      <w:r w:rsidRPr="00D679BE">
        <w:rPr>
          <w:b/>
        </w:rPr>
        <w:t>Inrichting KPI</w:t>
      </w:r>
    </w:p>
    <w:p w14:paraId="6F71D805" w14:textId="03214449" w:rsidR="00897F52" w:rsidRPr="00D679BE" w:rsidRDefault="00DE5C9C" w:rsidP="00697924">
      <w:pPr>
        <w:tabs>
          <w:tab w:val="num" w:pos="0"/>
        </w:tabs>
      </w:pPr>
      <w:r w:rsidRPr="00D679BE">
        <w:t xml:space="preserve">Voor wat betreft de inrichting van de KPI </w:t>
      </w:r>
      <w:r w:rsidR="006B7FC0" w:rsidRPr="00D679BE">
        <w:t>wordt verwezen</w:t>
      </w:r>
      <w:r w:rsidR="00027DDF">
        <w:t xml:space="preserve"> </w:t>
      </w:r>
      <w:r w:rsidRPr="00D679BE">
        <w:t xml:space="preserve">naar het Programma van Eisen, hoofdstuk </w:t>
      </w:r>
      <w:proofErr w:type="spellStart"/>
      <w:r w:rsidRPr="00D679BE">
        <w:t>KPI’s</w:t>
      </w:r>
      <w:proofErr w:type="spellEnd"/>
      <w:r w:rsidRPr="00D679BE">
        <w:t xml:space="preserve"> (KPI-2: Aanbiedingsbetrouwbaarheid).</w:t>
      </w:r>
      <w:bookmarkStart w:id="18" w:name="_Toc416263256"/>
      <w:r w:rsidR="00897F52" w:rsidRPr="00D679BE">
        <w:br w:type="page"/>
      </w:r>
    </w:p>
    <w:p w14:paraId="1A31F6C7" w14:textId="4B619F2B" w:rsidR="001E399F" w:rsidRPr="00D679BE" w:rsidRDefault="00B22E35" w:rsidP="00823F35">
      <w:pPr>
        <w:pStyle w:val="Kop1"/>
      </w:pPr>
      <w:bookmarkStart w:id="19" w:name="_Toc416263257"/>
      <w:bookmarkStart w:id="20" w:name="_Toc447113901"/>
      <w:bookmarkStart w:id="21" w:name="_Toc141364223"/>
      <w:bookmarkEnd w:id="18"/>
      <w:r w:rsidRPr="00D679BE">
        <w:lastRenderedPageBreak/>
        <w:t>KPI-</w:t>
      </w:r>
      <w:r w:rsidR="008614F5" w:rsidRPr="00D679BE">
        <w:t>3</w:t>
      </w:r>
      <w:r w:rsidR="005F1B66" w:rsidRPr="00D679BE">
        <w:t xml:space="preserve"> </w:t>
      </w:r>
      <w:r w:rsidR="00116E00" w:rsidRPr="00D679BE">
        <w:t>Uitvalpercentage</w:t>
      </w:r>
      <w:bookmarkEnd w:id="19"/>
      <w:bookmarkEnd w:id="20"/>
      <w:bookmarkEnd w:id="21"/>
    </w:p>
    <w:p w14:paraId="09D4E220" w14:textId="243017B4" w:rsidR="00116E00" w:rsidRPr="00D679BE" w:rsidRDefault="00116E00" w:rsidP="00DC732E">
      <w:pPr>
        <w:tabs>
          <w:tab w:val="num" w:pos="0"/>
        </w:tabs>
        <w:jc w:val="both"/>
      </w:pPr>
      <w:r w:rsidRPr="00D679BE">
        <w:rPr>
          <w:b/>
        </w:rPr>
        <w:t>Achtergrond</w:t>
      </w:r>
      <w:r w:rsidR="00B22E35" w:rsidRPr="00D679BE">
        <w:rPr>
          <w:b/>
        </w:rPr>
        <w:br/>
      </w:r>
      <w:r w:rsidRPr="00D679BE">
        <w:t xml:space="preserve">Het is onwenselijk dat </w:t>
      </w:r>
      <w:r w:rsidR="00863BE9">
        <w:t>ICT-Professionals</w:t>
      </w:r>
      <w:r w:rsidRPr="00D679BE">
        <w:t xml:space="preserve"> uitvallen tijdens de uitvoering van de opdracht (i</w:t>
      </w:r>
      <w:r w:rsidR="00A44977" w:rsidRPr="00D679BE">
        <w:t>.</w:t>
      </w:r>
      <w:r w:rsidRPr="00D679BE">
        <w:t>v</w:t>
      </w:r>
      <w:r w:rsidR="00A44977" w:rsidRPr="00D679BE">
        <w:t>.</w:t>
      </w:r>
      <w:r w:rsidRPr="00D679BE">
        <w:t>m</w:t>
      </w:r>
      <w:r w:rsidR="00A44977" w:rsidRPr="00D679BE">
        <w:t>.</w:t>
      </w:r>
      <w:r w:rsidRPr="00D679BE">
        <w:t xml:space="preserve"> klacht, ziekte, ander werk, ongeschiktheid, integriteit). Voor een deel kunnen dit omstandigheden zijn waar geen sprake is van (gedeeltelijke) verwijtbaarheid. Er zijn echter ook uitvalomstandigheden waarvoor geldt dat de kans geminimaliseerd kan worden door een goed begeleidingsproces van opdrachtnemer. </w:t>
      </w:r>
    </w:p>
    <w:p w14:paraId="7A54F025" w14:textId="278DB5F3" w:rsidR="00962207" w:rsidRPr="00D679BE" w:rsidRDefault="00962207" w:rsidP="00DC732E">
      <w:pPr>
        <w:tabs>
          <w:tab w:val="num" w:pos="0"/>
        </w:tabs>
        <w:jc w:val="both"/>
      </w:pPr>
    </w:p>
    <w:p w14:paraId="028A0485" w14:textId="3672D61F" w:rsidR="00962207" w:rsidRPr="00D679BE" w:rsidRDefault="00962207" w:rsidP="00DC732E">
      <w:pPr>
        <w:tabs>
          <w:tab w:val="num" w:pos="0"/>
        </w:tabs>
        <w:jc w:val="both"/>
      </w:pPr>
      <w:r w:rsidRPr="00D679BE">
        <w:t xml:space="preserve">Doel van deze KPI is om ervoor te zorgen dat de ingezette </w:t>
      </w:r>
      <w:r w:rsidR="00863BE9">
        <w:t>ICT-Professional</w:t>
      </w:r>
      <w:r w:rsidRPr="00D679BE">
        <w:t xml:space="preserve"> en daarmee ook opdrachtnemer zich committeert aan het goed uitvoeren/afronden van de opdracht(en).</w:t>
      </w:r>
      <w:r w:rsidR="00027DDF">
        <w:t xml:space="preserve"> </w:t>
      </w:r>
    </w:p>
    <w:p w14:paraId="46F39115" w14:textId="77777777" w:rsidR="000E0E4B" w:rsidRPr="00D679BE" w:rsidRDefault="000E0E4B" w:rsidP="00116E00">
      <w:pPr>
        <w:rPr>
          <w:b/>
        </w:rPr>
      </w:pPr>
    </w:p>
    <w:p w14:paraId="55467BC2" w14:textId="30BA6F6A" w:rsidR="00DE5C9C" w:rsidRPr="00D679BE" w:rsidRDefault="00C62CC3" w:rsidP="00116E00">
      <w:r w:rsidRPr="00D679BE">
        <w:rPr>
          <w:b/>
        </w:rPr>
        <w:t>Inrichting KPI</w:t>
      </w:r>
      <w:r w:rsidRPr="00D679BE">
        <w:rPr>
          <w:b/>
        </w:rPr>
        <w:br/>
      </w:r>
      <w:r w:rsidR="00DE5C9C" w:rsidRPr="00D679BE">
        <w:t xml:space="preserve">Voor wat betreft de inrichting van de KPI </w:t>
      </w:r>
      <w:r w:rsidR="006B7FC0" w:rsidRPr="00D679BE">
        <w:t xml:space="preserve">wordt verwezen </w:t>
      </w:r>
      <w:r w:rsidR="00DE5C9C" w:rsidRPr="00D679BE">
        <w:t xml:space="preserve">naar het Programma van Eisen, hoofdstuk </w:t>
      </w:r>
      <w:proofErr w:type="spellStart"/>
      <w:r w:rsidR="00DE5C9C" w:rsidRPr="00D679BE">
        <w:t>KPI’s</w:t>
      </w:r>
      <w:proofErr w:type="spellEnd"/>
      <w:r w:rsidR="00DE5C9C" w:rsidRPr="00D679BE">
        <w:t xml:space="preserve"> (KPI-3: Uitvalpercentage).</w:t>
      </w:r>
    </w:p>
    <w:p w14:paraId="73D4CBDB" w14:textId="77777777" w:rsidR="00DE5C9C" w:rsidRPr="00D679BE" w:rsidRDefault="00DE5C9C" w:rsidP="00116E00"/>
    <w:p w14:paraId="41FF6D06" w14:textId="40D20DEC" w:rsidR="00E92C3E" w:rsidRPr="00D679BE" w:rsidRDefault="00E92C3E">
      <w:pPr>
        <w:spacing w:after="200" w:line="276" w:lineRule="auto"/>
      </w:pPr>
      <w:bookmarkStart w:id="22" w:name="_Toc416263258"/>
      <w:r w:rsidRPr="00D679BE">
        <w:br w:type="page"/>
      </w:r>
    </w:p>
    <w:p w14:paraId="6F1823BA" w14:textId="394E988F" w:rsidR="00116E00" w:rsidRPr="00D679BE" w:rsidRDefault="00DF1A47" w:rsidP="00823F35">
      <w:pPr>
        <w:pStyle w:val="Kop1"/>
      </w:pPr>
      <w:bookmarkStart w:id="23" w:name="_Toc447114698"/>
      <w:bookmarkStart w:id="24" w:name="_Toc447114810"/>
      <w:bookmarkStart w:id="25" w:name="_Toc416263259"/>
      <w:bookmarkStart w:id="26" w:name="_Toc141364224"/>
      <w:bookmarkEnd w:id="22"/>
      <w:bookmarkEnd w:id="23"/>
      <w:bookmarkEnd w:id="24"/>
      <w:r w:rsidRPr="00D679BE">
        <w:lastRenderedPageBreak/>
        <w:t>KPI-</w:t>
      </w:r>
      <w:r w:rsidR="008614F5" w:rsidRPr="00D679BE">
        <w:t>4</w:t>
      </w:r>
      <w:r w:rsidR="00027DDF">
        <w:t xml:space="preserve"> </w:t>
      </w:r>
      <w:r w:rsidRPr="00D679BE">
        <w:t>Aanlevering rapportages</w:t>
      </w:r>
      <w:bookmarkEnd w:id="25"/>
      <w:bookmarkEnd w:id="26"/>
    </w:p>
    <w:p w14:paraId="31FF263A" w14:textId="71558783" w:rsidR="000E0E4B" w:rsidRPr="00D679BE" w:rsidRDefault="00116E00" w:rsidP="00627299">
      <w:pPr>
        <w:tabs>
          <w:tab w:val="num" w:pos="0"/>
        </w:tabs>
      </w:pPr>
      <w:r w:rsidRPr="00D679BE">
        <w:rPr>
          <w:b/>
        </w:rPr>
        <w:t>Achtergrond</w:t>
      </w:r>
      <w:r w:rsidR="00627299" w:rsidRPr="00D679BE">
        <w:rPr>
          <w:b/>
        </w:rPr>
        <w:br/>
      </w:r>
      <w:r w:rsidRPr="00D679BE">
        <w:t xml:space="preserve">De opdrachtnemer is verplicht periodiek </w:t>
      </w:r>
      <w:r w:rsidR="00A44977" w:rsidRPr="00D679BE">
        <w:t xml:space="preserve">correcte en volledige </w:t>
      </w:r>
      <w:r w:rsidRPr="00D679BE">
        <w:t xml:space="preserve">rapportages op te leveren. </w:t>
      </w:r>
    </w:p>
    <w:p w14:paraId="793CB315" w14:textId="0DFFCE5D" w:rsidR="004D1DD1" w:rsidRPr="00D679BE" w:rsidRDefault="004D1DD1" w:rsidP="00627299">
      <w:pPr>
        <w:tabs>
          <w:tab w:val="num" w:pos="0"/>
        </w:tabs>
      </w:pPr>
    </w:p>
    <w:p w14:paraId="317C594B" w14:textId="63DF48BD" w:rsidR="004D1DD1" w:rsidRPr="00D679BE" w:rsidRDefault="004D1DD1" w:rsidP="00627299">
      <w:pPr>
        <w:tabs>
          <w:tab w:val="num" w:pos="0"/>
        </w:tabs>
      </w:pPr>
      <w:r w:rsidRPr="00D679BE">
        <w:t xml:space="preserve">Doel van deze KPI is ervoor te zorgen dat </w:t>
      </w:r>
      <w:r w:rsidR="00333BE8" w:rsidRPr="00D679BE">
        <w:t>O</w:t>
      </w:r>
      <w:r w:rsidRPr="00D679BE">
        <w:t xml:space="preserve">pdrachtgever over ten minste de benodigde informatie beschikt om de prestaties op overige </w:t>
      </w:r>
      <w:proofErr w:type="spellStart"/>
      <w:r w:rsidRPr="00D679BE">
        <w:t>KPI’s</w:t>
      </w:r>
      <w:proofErr w:type="spellEnd"/>
      <w:r w:rsidRPr="00D679BE">
        <w:t xml:space="preserve"> te bepalen. </w:t>
      </w:r>
    </w:p>
    <w:p w14:paraId="246A5AEF" w14:textId="77777777" w:rsidR="00A44977" w:rsidRPr="00D679BE" w:rsidRDefault="00A44977" w:rsidP="00627299">
      <w:pPr>
        <w:tabs>
          <w:tab w:val="num" w:pos="0"/>
        </w:tabs>
        <w:rPr>
          <w:b/>
        </w:rPr>
      </w:pPr>
    </w:p>
    <w:p w14:paraId="182368DF" w14:textId="047B38E0" w:rsidR="00DE5C9C" w:rsidRPr="00D679BE" w:rsidRDefault="00C62CC3" w:rsidP="00A5423D">
      <w:pPr>
        <w:tabs>
          <w:tab w:val="num" w:pos="0"/>
        </w:tabs>
      </w:pPr>
      <w:r w:rsidRPr="00D679BE">
        <w:rPr>
          <w:b/>
        </w:rPr>
        <w:t>Inrichting KPI</w:t>
      </w:r>
      <w:r w:rsidRPr="00D679BE">
        <w:rPr>
          <w:b/>
        </w:rPr>
        <w:br/>
      </w:r>
      <w:r w:rsidR="00DE5C9C" w:rsidRPr="00D679BE">
        <w:t xml:space="preserve">Voor wat betreft de inrichting van de KPI </w:t>
      </w:r>
      <w:r w:rsidR="006B7FC0" w:rsidRPr="00D679BE">
        <w:t>wordt verwezen</w:t>
      </w:r>
      <w:r w:rsidR="00027DDF">
        <w:t xml:space="preserve"> </w:t>
      </w:r>
      <w:r w:rsidR="00DE5C9C" w:rsidRPr="00D679BE">
        <w:t xml:space="preserve">naar het Programma van Eisen, hoofdstuk </w:t>
      </w:r>
      <w:proofErr w:type="spellStart"/>
      <w:r w:rsidR="00DE5C9C" w:rsidRPr="00D679BE">
        <w:t>KPI’s</w:t>
      </w:r>
      <w:proofErr w:type="spellEnd"/>
      <w:r w:rsidR="00DE5C9C" w:rsidRPr="00D679BE">
        <w:t xml:space="preserve"> (KPI-4: Aanleveringsbetrouwbaarheid rapportages).</w:t>
      </w:r>
    </w:p>
    <w:p w14:paraId="51499103" w14:textId="0E4CFAC2" w:rsidR="00DE5C9C" w:rsidRPr="00D679BE" w:rsidRDefault="00DE5C9C" w:rsidP="00A5423D">
      <w:pPr>
        <w:tabs>
          <w:tab w:val="num" w:pos="0"/>
        </w:tabs>
      </w:pPr>
    </w:p>
    <w:p w14:paraId="3A3C8FB6" w14:textId="57DDB6D8" w:rsidR="00DE5C9C" w:rsidRPr="00D679BE" w:rsidRDefault="00DE5C9C" w:rsidP="00A5423D">
      <w:pPr>
        <w:tabs>
          <w:tab w:val="num" w:pos="0"/>
        </w:tabs>
      </w:pPr>
      <w:r w:rsidRPr="00D679BE">
        <w:t xml:space="preserve">In figuur 1 </w:t>
      </w:r>
      <w:r w:rsidR="001E7F8E" w:rsidRPr="00D679BE">
        <w:t xml:space="preserve">is als voorbeeld een meetmomenten met de daarbij behorende rapportage momenten weergeven. </w:t>
      </w:r>
    </w:p>
    <w:p w14:paraId="2B508950" w14:textId="75365F06" w:rsidR="00962207" w:rsidRPr="00D679BE" w:rsidRDefault="00DE5C9C" w:rsidP="00A5423D">
      <w:pPr>
        <w:tabs>
          <w:tab w:val="num" w:pos="0"/>
        </w:tabs>
      </w:pPr>
      <w:r w:rsidRPr="00D679BE">
        <w:rPr>
          <w:noProof/>
        </w:rPr>
        <mc:AlternateContent>
          <mc:Choice Requires="wps">
            <w:drawing>
              <wp:anchor distT="0" distB="0" distL="114300" distR="114300" simplePos="0" relativeHeight="251661312" behindDoc="0" locked="0" layoutInCell="1" allowOverlap="1" wp14:anchorId="41E85E85" wp14:editId="4437699B">
                <wp:simplePos x="0" y="0"/>
                <wp:positionH relativeFrom="column">
                  <wp:posOffset>0</wp:posOffset>
                </wp:positionH>
                <wp:positionV relativeFrom="paragraph">
                  <wp:posOffset>1725295</wp:posOffset>
                </wp:positionV>
                <wp:extent cx="5505450" cy="635"/>
                <wp:effectExtent l="0" t="0" r="0" b="0"/>
                <wp:wrapNone/>
                <wp:docPr id="14" name="Tekstvak 14"/>
                <wp:cNvGraphicFramePr/>
                <a:graphic xmlns:a="http://schemas.openxmlformats.org/drawingml/2006/main">
                  <a:graphicData uri="http://schemas.microsoft.com/office/word/2010/wordprocessingShape">
                    <wps:wsp>
                      <wps:cNvSpPr txBox="1"/>
                      <wps:spPr>
                        <a:xfrm>
                          <a:off x="0" y="0"/>
                          <a:ext cx="5505450" cy="635"/>
                        </a:xfrm>
                        <a:prstGeom prst="rect">
                          <a:avLst/>
                        </a:prstGeom>
                        <a:solidFill>
                          <a:prstClr val="white"/>
                        </a:solidFill>
                        <a:ln>
                          <a:noFill/>
                        </a:ln>
                      </wps:spPr>
                      <wps:txbx>
                        <w:txbxContent>
                          <w:p w14:paraId="7CA7DE1D" w14:textId="0E67FFFD" w:rsidR="00863BE9" w:rsidRPr="006C2934" w:rsidRDefault="00863BE9" w:rsidP="00DE5C9C">
                            <w:pPr>
                              <w:pStyle w:val="Bijschrift"/>
                              <w:rPr>
                                <w:noProof/>
                                <w:szCs w:val="24"/>
                              </w:rPr>
                            </w:pPr>
                            <w:r>
                              <w:t xml:space="preserve">Figuur </w:t>
                            </w:r>
                            <w:r>
                              <w:rPr>
                                <w:noProof/>
                              </w:rPr>
                              <w:fldChar w:fldCharType="begin"/>
                            </w:r>
                            <w:r>
                              <w:rPr>
                                <w:noProof/>
                              </w:rPr>
                              <w:instrText xml:space="preserve"> SEQ Figuur \* ARABIC </w:instrText>
                            </w:r>
                            <w:r>
                              <w:rPr>
                                <w:noProof/>
                              </w:rPr>
                              <w:fldChar w:fldCharType="separate"/>
                            </w:r>
                            <w:r>
                              <w:rPr>
                                <w:noProof/>
                              </w:rPr>
                              <w:t>1</w:t>
                            </w:r>
                            <w:r>
                              <w:rPr>
                                <w:noProof/>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41E85E85" id="_x0000_t202" coordsize="21600,21600" o:spt="202" path="m,l,21600r21600,l21600,xe">
                <v:stroke joinstyle="miter"/>
                <v:path gradientshapeok="t" o:connecttype="rect"/>
              </v:shapetype>
              <v:shape id="Tekstvak 14" o:spid="_x0000_s1026" type="#_x0000_t202" style="position:absolute;margin-left:0;margin-top:135.85pt;width:433.5pt;height:.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" stroked="f">
                <v:textbox style="mso-fit-shape-to-text:t" inset="0,0,0,0">
                  <w:txbxContent>
                    <w:p w14:paraId="7CA7DE1D" w14:textId="0E67FFFD" w:rsidR="00863BE9" w:rsidRPr="006C2934" w:rsidRDefault="00863BE9" w:rsidP="00DE5C9C">
                      <w:pPr>
                        <w:pStyle w:val="Bijschrift"/>
                        <w:rPr>
                          <w:noProof/>
                          <w:szCs w:val="24"/>
                        </w:rPr>
                      </w:pPr>
                      <w:r>
                        <w:t xml:space="preserve">Figuur </w:t>
                      </w:r>
                      <w:r>
                        <w:rPr>
                          <w:noProof/>
                        </w:rPr>
                        <w:fldChar w:fldCharType="begin"/>
                      </w:r>
                      <w:r>
                        <w:rPr>
                          <w:noProof/>
                        </w:rPr>
                        <w:instrText xml:space="preserve"> SEQ Figuur \* ARABIC </w:instrText>
                      </w:r>
                      <w:r>
                        <w:rPr>
                          <w:noProof/>
                        </w:rPr>
                        <w:fldChar w:fldCharType="separate"/>
                      </w:r>
                      <w:r>
                        <w:rPr>
                          <w:noProof/>
                        </w:rPr>
                        <w:t>1</w:t>
                      </w:r>
                      <w:r>
                        <w:rPr>
                          <w:noProof/>
                        </w:rPr>
                        <w:fldChar w:fldCharType="end"/>
                      </w:r>
                    </w:p>
                  </w:txbxContent>
                </v:textbox>
              </v:shape>
            </w:pict>
          </mc:Fallback>
        </mc:AlternateContent>
      </w:r>
      <w:r w:rsidR="004D1DD1" w:rsidRPr="00D679BE">
        <w:rPr>
          <w:noProof/>
        </w:rPr>
        <mc:AlternateContent>
          <mc:Choice Requires="wpg">
            <w:drawing>
              <wp:anchor distT="0" distB="0" distL="114300" distR="114300" simplePos="0" relativeHeight="251659264" behindDoc="0" locked="0" layoutInCell="1" allowOverlap="1" wp14:anchorId="6A2BC5A8" wp14:editId="3ECF2FCF">
                <wp:simplePos x="0" y="0"/>
                <wp:positionH relativeFrom="margin">
                  <wp:align>left</wp:align>
                </wp:positionH>
                <wp:positionV relativeFrom="paragraph">
                  <wp:posOffset>101600</wp:posOffset>
                </wp:positionV>
                <wp:extent cx="5505450" cy="1567047"/>
                <wp:effectExtent l="0" t="0" r="38100" b="0"/>
                <wp:wrapNone/>
                <wp:docPr id="6" name="Groep 5">
                  <a:extLst xmlns:a="http://schemas.openxmlformats.org/drawingml/2006/main">
                    <a:ext uri="{FF2B5EF4-FFF2-40B4-BE49-F238E27FC236}">
                      <a16:creationId xmlns:a16="http://schemas.microsoft.com/office/drawing/2014/main" id="{8B9E2DE5-04CB-412C-9901-1AB4A4F4220B}"/>
                    </a:ext>
                  </a:extLst>
                </wp:docPr>
                <wp:cNvGraphicFramePr/>
                <a:graphic xmlns:a="http://schemas.openxmlformats.org/drawingml/2006/main">
                  <a:graphicData uri="http://schemas.microsoft.com/office/word/2010/wordprocessingGroup">
                    <wpg:wgp>
                      <wpg:cNvGrpSpPr/>
                      <wpg:grpSpPr>
                        <a:xfrm>
                          <a:off x="0" y="0"/>
                          <a:ext cx="5505450" cy="1567047"/>
                          <a:chOff x="0" y="0"/>
                          <a:chExt cx="7160089" cy="1677471"/>
                        </a:xfrm>
                      </wpg:grpSpPr>
                      <pic:pic xmlns:pic="http://schemas.openxmlformats.org/drawingml/2006/picture">
                        <pic:nvPicPr>
                          <pic:cNvPr id="2" name="Afbeelding 2">
                            <a:extLst>
                              <a:ext uri="{FF2B5EF4-FFF2-40B4-BE49-F238E27FC236}">
                                <a16:creationId xmlns:a16="http://schemas.microsoft.com/office/drawing/2014/main" id="{BF24FF0C-91B0-4276-AB19-76E533FFDE65}"/>
                              </a:ext>
                            </a:extLst>
                          </pic:cNvPr>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2347385" y="915355"/>
                            <a:ext cx="1389249" cy="567041"/>
                          </a:xfrm>
                          <a:prstGeom prst="rect">
                            <a:avLst/>
                          </a:prstGeom>
                        </pic:spPr>
                      </pic:pic>
                      <wps:wsp>
                        <wps:cNvPr id="3" name="Pijl: vijfhoek 3">
                          <a:extLst>
                            <a:ext uri="{FF2B5EF4-FFF2-40B4-BE49-F238E27FC236}">
                              <a16:creationId xmlns:a16="http://schemas.microsoft.com/office/drawing/2014/main" id="{83E77C7E-25CF-4B6C-B375-1BE761E3E8A9}"/>
                            </a:ext>
                          </a:extLst>
                        </wps:cNvPr>
                        <wps:cNvSpPr/>
                        <wps:spPr>
                          <a:xfrm>
                            <a:off x="0" y="6130"/>
                            <a:ext cx="2376264" cy="519360"/>
                          </a:xfrm>
                          <a:prstGeom prst="homePlate">
                            <a:avLst/>
                          </a:prstGeom>
                          <a:solidFill>
                            <a:srgbClr val="8FCAE7"/>
                          </a:solidFill>
                          <a:ln w="12700" cap="flat" cmpd="sng" algn="ctr">
                            <a:solidFill>
                              <a:srgbClr val="8FCAE7">
                                <a:shade val="50000"/>
                              </a:srgbClr>
                            </a:solidFill>
                            <a:prstDash val="solid"/>
                            <a:miter lim="800000"/>
                          </a:ln>
                          <a:effectLst/>
                        </wps:spPr>
                        <wps:txbx>
                          <w:txbxContent>
                            <w:p w14:paraId="3C2E2555" w14:textId="77777777" w:rsidR="00863BE9" w:rsidRDefault="00863BE9" w:rsidP="004D1DD1">
                              <w:pPr>
                                <w:pStyle w:val="Normaalweb"/>
                                <w:spacing w:before="0" w:beforeAutospacing="0" w:after="0" w:afterAutospacing="0"/>
                                <w:jc w:val="center"/>
                                <w:textAlignment w:val="baseline"/>
                              </w:pPr>
                              <w:r>
                                <w:rPr>
                                  <w:rFonts w:asciiTheme="minorHAnsi" w:hAnsi="Calibri" w:cstheme="minorBidi"/>
                                  <w:color w:val="FFFFFF" w:themeColor="light1"/>
                                  <w:kern w:val="24"/>
                                </w:rPr>
                                <w:t>Meetperiode 1</w:t>
                              </w:r>
                            </w:p>
                          </w:txbxContent>
                        </wps:txbx>
                        <wps:bodyPr rtlCol="0" anchor="ctr"/>
                      </wps:wsp>
                      <wps:wsp>
                        <wps:cNvPr id="4" name="Pijl: vijfhoek 4">
                          <a:extLst>
                            <a:ext uri="{FF2B5EF4-FFF2-40B4-BE49-F238E27FC236}">
                              <a16:creationId xmlns:a16="http://schemas.microsoft.com/office/drawing/2014/main" id="{00541A4D-9E40-4C4C-8855-1FF82105BA30}"/>
                            </a:ext>
                          </a:extLst>
                        </wps:cNvPr>
                        <wps:cNvSpPr/>
                        <wps:spPr>
                          <a:xfrm>
                            <a:off x="2385500" y="1279"/>
                            <a:ext cx="2376264" cy="519360"/>
                          </a:xfrm>
                          <a:prstGeom prst="homePlate">
                            <a:avLst/>
                          </a:prstGeom>
                          <a:solidFill>
                            <a:srgbClr val="8FCAE7"/>
                          </a:solidFill>
                          <a:ln w="12700" cap="flat" cmpd="sng" algn="ctr">
                            <a:solidFill>
                              <a:srgbClr val="8FCAE7">
                                <a:shade val="50000"/>
                              </a:srgbClr>
                            </a:solidFill>
                            <a:prstDash val="solid"/>
                            <a:miter lim="800000"/>
                          </a:ln>
                          <a:effectLst/>
                        </wps:spPr>
                        <wps:txbx>
                          <w:txbxContent>
                            <w:p w14:paraId="293EB24E" w14:textId="77777777" w:rsidR="00863BE9" w:rsidRDefault="00863BE9" w:rsidP="004D1DD1">
                              <w:pPr>
                                <w:pStyle w:val="Normaalweb"/>
                                <w:spacing w:before="0" w:beforeAutospacing="0" w:after="0" w:afterAutospacing="0"/>
                                <w:jc w:val="center"/>
                                <w:textAlignment w:val="baseline"/>
                              </w:pPr>
                              <w:r>
                                <w:rPr>
                                  <w:rFonts w:asciiTheme="minorHAnsi" w:hAnsi="Calibri" w:cstheme="minorBidi"/>
                                  <w:color w:val="FFFFFF" w:themeColor="light1"/>
                                  <w:kern w:val="24"/>
                                </w:rPr>
                                <w:t>Meetperiode 2</w:t>
                              </w:r>
                            </w:p>
                          </w:txbxContent>
                        </wps:txbx>
                        <wps:bodyPr rtlCol="0" anchor="ctr"/>
                      </wps:wsp>
                      <wps:wsp>
                        <wps:cNvPr id="5" name="Pijl: vijfhoek 5">
                          <a:extLst>
                            <a:ext uri="{FF2B5EF4-FFF2-40B4-BE49-F238E27FC236}">
                              <a16:creationId xmlns:a16="http://schemas.microsoft.com/office/drawing/2014/main" id="{846B27FA-89D9-4366-A774-2F788C9331BC}"/>
                            </a:ext>
                          </a:extLst>
                        </wps:cNvPr>
                        <wps:cNvSpPr/>
                        <wps:spPr>
                          <a:xfrm>
                            <a:off x="4783825" y="0"/>
                            <a:ext cx="2376264" cy="519360"/>
                          </a:xfrm>
                          <a:prstGeom prst="homePlate">
                            <a:avLst/>
                          </a:prstGeom>
                          <a:solidFill>
                            <a:srgbClr val="8FCAE7"/>
                          </a:solidFill>
                          <a:ln w="12700" cap="flat" cmpd="sng" algn="ctr">
                            <a:solidFill>
                              <a:srgbClr val="8FCAE7">
                                <a:shade val="50000"/>
                              </a:srgbClr>
                            </a:solidFill>
                            <a:prstDash val="solid"/>
                            <a:miter lim="800000"/>
                          </a:ln>
                          <a:effectLst/>
                        </wps:spPr>
                        <wps:txbx>
                          <w:txbxContent>
                            <w:p w14:paraId="1073DBA7" w14:textId="77777777" w:rsidR="00863BE9" w:rsidRDefault="00863BE9" w:rsidP="004D1DD1">
                              <w:pPr>
                                <w:pStyle w:val="Normaalweb"/>
                                <w:spacing w:before="0" w:beforeAutospacing="0" w:after="0" w:afterAutospacing="0"/>
                                <w:jc w:val="center"/>
                                <w:textAlignment w:val="baseline"/>
                              </w:pPr>
                              <w:r>
                                <w:rPr>
                                  <w:rFonts w:asciiTheme="minorHAnsi" w:hAnsi="Calibri" w:cstheme="minorBidi"/>
                                  <w:color w:val="FFFFFF" w:themeColor="light1"/>
                                  <w:kern w:val="24"/>
                                </w:rPr>
                                <w:t>Meetperiode 3</w:t>
                              </w:r>
                            </w:p>
                          </w:txbxContent>
                        </wps:txbx>
                        <wps:bodyPr rtlCol="0" anchor="ctr"/>
                      </wps:wsp>
                      <wps:wsp>
                        <wps:cNvPr id="7" name="Tijdelijke aanduiding voor inhoud 8">
                          <a:extLst>
                            <a:ext uri="{FF2B5EF4-FFF2-40B4-BE49-F238E27FC236}">
                              <a16:creationId xmlns:a16="http://schemas.microsoft.com/office/drawing/2014/main" id="{1CBB1A91-3350-4891-820B-DFB9ADDDA1C8}"/>
                            </a:ext>
                          </a:extLst>
                        </wps:cNvPr>
                        <wps:cNvSpPr txBox="1">
                          <a:spLocks/>
                        </wps:cNvSpPr>
                        <wps:spPr>
                          <a:xfrm>
                            <a:off x="432048" y="577094"/>
                            <a:ext cx="1389250" cy="259686"/>
                          </a:xfrm>
                          <a:prstGeom prst="rect">
                            <a:avLst/>
                          </a:prstGeom>
                        </wps:spPr>
                        <wps:txbx>
                          <w:txbxContent>
                            <w:p w14:paraId="6BE8EC83" w14:textId="77777777" w:rsidR="00863BE9" w:rsidRPr="004D1DD1" w:rsidRDefault="00863BE9" w:rsidP="004D1DD1">
                              <w:pPr>
                                <w:pStyle w:val="Normaalweb"/>
                                <w:spacing w:before="0" w:beforeAutospacing="0" w:after="0" w:afterAutospacing="0"/>
                                <w:rPr>
                                  <w:sz w:val="18"/>
                                  <w:szCs w:val="18"/>
                                </w:rPr>
                              </w:pPr>
                              <w:r w:rsidRPr="004D1DD1">
                                <w:rPr>
                                  <w:rFonts w:ascii="Arial" w:hAnsi="Arial" w:cs="Arial"/>
                                  <w:color w:val="808080" w:themeColor="background1" w:themeShade="80"/>
                                  <w:kern w:val="24"/>
                                  <w:sz w:val="18"/>
                                  <w:szCs w:val="18"/>
                                </w:rPr>
                                <w:t>6 maanden</w:t>
                              </w:r>
                            </w:p>
                          </w:txbxContent>
                        </wps:txbx>
                        <wps:bodyPr/>
                      </wps:wsp>
                      <wps:wsp>
                        <wps:cNvPr id="8" name="Tijdelijke aanduiding voor inhoud 8">
                          <a:extLst>
                            <a:ext uri="{FF2B5EF4-FFF2-40B4-BE49-F238E27FC236}">
                              <a16:creationId xmlns:a16="http://schemas.microsoft.com/office/drawing/2014/main" id="{909CDF0B-7B07-4373-AF4F-E4F8C09FEF9F}"/>
                            </a:ext>
                          </a:extLst>
                        </wps:cNvPr>
                        <wps:cNvSpPr txBox="1">
                          <a:spLocks/>
                        </wps:cNvSpPr>
                        <wps:spPr>
                          <a:xfrm>
                            <a:off x="2808312" y="577094"/>
                            <a:ext cx="1389250" cy="259686"/>
                          </a:xfrm>
                          <a:prstGeom prst="rect">
                            <a:avLst/>
                          </a:prstGeom>
                        </wps:spPr>
                        <wps:txbx>
                          <w:txbxContent>
                            <w:p w14:paraId="1250E330" w14:textId="77777777" w:rsidR="00863BE9" w:rsidRPr="004D1DD1" w:rsidRDefault="00863BE9" w:rsidP="004D1DD1">
                              <w:pPr>
                                <w:pStyle w:val="Normaalweb"/>
                                <w:spacing w:before="0" w:beforeAutospacing="0" w:after="0" w:afterAutospacing="0"/>
                                <w:rPr>
                                  <w:sz w:val="18"/>
                                  <w:szCs w:val="18"/>
                                </w:rPr>
                              </w:pPr>
                              <w:r w:rsidRPr="004D1DD1">
                                <w:rPr>
                                  <w:rFonts w:ascii="Arial" w:hAnsi="Arial" w:cs="Arial"/>
                                  <w:color w:val="808080" w:themeColor="background1" w:themeShade="80"/>
                                  <w:kern w:val="24"/>
                                  <w:sz w:val="18"/>
                                  <w:szCs w:val="18"/>
                                </w:rPr>
                                <w:t>6 maanden</w:t>
                              </w:r>
                            </w:p>
                          </w:txbxContent>
                        </wps:txbx>
                        <wps:bodyPr/>
                      </wps:wsp>
                      <wps:wsp>
                        <wps:cNvPr id="9" name="Tijdelijke aanduiding voor inhoud 8">
                          <a:extLst>
                            <a:ext uri="{FF2B5EF4-FFF2-40B4-BE49-F238E27FC236}">
                              <a16:creationId xmlns:a16="http://schemas.microsoft.com/office/drawing/2014/main" id="{6E39A19A-04B6-4EF0-A0A6-F42E9457F9C5}"/>
                            </a:ext>
                          </a:extLst>
                        </wps:cNvPr>
                        <wps:cNvSpPr txBox="1">
                          <a:spLocks/>
                        </wps:cNvSpPr>
                        <wps:spPr>
                          <a:xfrm>
                            <a:off x="5277332" y="577094"/>
                            <a:ext cx="1389250" cy="259686"/>
                          </a:xfrm>
                          <a:prstGeom prst="rect">
                            <a:avLst/>
                          </a:prstGeom>
                        </wps:spPr>
                        <wps:txbx>
                          <w:txbxContent>
                            <w:p w14:paraId="5D187DA2" w14:textId="77777777" w:rsidR="00863BE9" w:rsidRPr="004D1DD1" w:rsidRDefault="00863BE9" w:rsidP="004D1DD1">
                              <w:pPr>
                                <w:pStyle w:val="Normaalweb"/>
                                <w:spacing w:before="0" w:beforeAutospacing="0" w:after="0" w:afterAutospacing="0"/>
                                <w:rPr>
                                  <w:sz w:val="18"/>
                                  <w:szCs w:val="18"/>
                                </w:rPr>
                              </w:pPr>
                              <w:r w:rsidRPr="004D1DD1">
                                <w:rPr>
                                  <w:rFonts w:ascii="Arial" w:hAnsi="Arial" w:cs="Arial"/>
                                  <w:color w:val="808080" w:themeColor="background1" w:themeShade="80"/>
                                  <w:kern w:val="24"/>
                                  <w:sz w:val="18"/>
                                  <w:szCs w:val="18"/>
                                </w:rPr>
                                <w:t>6 maanden</w:t>
                              </w:r>
                            </w:p>
                          </w:txbxContent>
                        </wps:txbx>
                        <wps:bodyPr/>
                      </wps:wsp>
                      <pic:pic xmlns:pic="http://schemas.openxmlformats.org/drawingml/2006/picture">
                        <pic:nvPicPr>
                          <pic:cNvPr id="10" name="Afbeelding 10">
                            <a:extLst>
                              <a:ext uri="{FF2B5EF4-FFF2-40B4-BE49-F238E27FC236}">
                                <a16:creationId xmlns:a16="http://schemas.microsoft.com/office/drawing/2014/main" id="{2DC07707-0FDB-4819-A812-150272F08D62}"/>
                              </a:ext>
                            </a:extLst>
                          </pic:cNvPr>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4761764" y="896932"/>
                            <a:ext cx="1389250" cy="567041"/>
                          </a:xfrm>
                          <a:prstGeom prst="rect">
                            <a:avLst/>
                          </a:prstGeom>
                        </pic:spPr>
                      </pic:pic>
                      <wps:wsp>
                        <wps:cNvPr id="11" name="Tijdelijke aanduiding voor inhoud 8">
                          <a:extLst>
                            <a:ext uri="{FF2B5EF4-FFF2-40B4-BE49-F238E27FC236}">
                              <a16:creationId xmlns:a16="http://schemas.microsoft.com/office/drawing/2014/main" id="{AFE3130F-D8AE-49C5-98A8-CA92B5D6BCB5}"/>
                            </a:ext>
                          </a:extLst>
                        </wps:cNvPr>
                        <wps:cNvSpPr txBox="1">
                          <a:spLocks/>
                        </wps:cNvSpPr>
                        <wps:spPr>
                          <a:xfrm>
                            <a:off x="2116996" y="1417784"/>
                            <a:ext cx="1267380" cy="259687"/>
                          </a:xfrm>
                          <a:prstGeom prst="rect">
                            <a:avLst/>
                          </a:prstGeom>
                        </wps:spPr>
                        <wps:txbx>
                          <w:txbxContent>
                            <w:p w14:paraId="6BD86699" w14:textId="77777777" w:rsidR="00863BE9" w:rsidRPr="004D1DD1" w:rsidRDefault="00863BE9" w:rsidP="004D1DD1">
                              <w:pPr>
                                <w:pStyle w:val="Normaalweb"/>
                                <w:spacing w:before="0" w:beforeAutospacing="0" w:after="0" w:afterAutospacing="0"/>
                                <w:rPr>
                                  <w:sz w:val="18"/>
                                  <w:szCs w:val="18"/>
                                </w:rPr>
                              </w:pPr>
                              <w:r w:rsidRPr="004D1DD1">
                                <w:rPr>
                                  <w:rFonts w:ascii="Arial" w:hAnsi="Arial" w:cs="Arial"/>
                                  <w:color w:val="808080" w:themeColor="background1" w:themeShade="80"/>
                                  <w:kern w:val="24"/>
                                  <w:sz w:val="18"/>
                                  <w:szCs w:val="18"/>
                                </w:rPr>
                                <w:t>Rapportage 1</w:t>
                              </w:r>
                            </w:p>
                          </w:txbxContent>
                        </wps:txbx>
                        <wps:bodyPr/>
                      </wps:wsp>
                      <wps:wsp>
                        <wps:cNvPr id="12" name="Tijdelijke aanduiding voor inhoud 8">
                          <a:extLst>
                            <a:ext uri="{FF2B5EF4-FFF2-40B4-BE49-F238E27FC236}">
                              <a16:creationId xmlns:a16="http://schemas.microsoft.com/office/drawing/2014/main" id="{35A94890-FDA1-4CA5-BD6F-409860653748}"/>
                            </a:ext>
                          </a:extLst>
                        </wps:cNvPr>
                        <wps:cNvSpPr txBox="1">
                          <a:spLocks/>
                        </wps:cNvSpPr>
                        <wps:spPr>
                          <a:xfrm>
                            <a:off x="4526055" y="1402293"/>
                            <a:ext cx="1267380" cy="259686"/>
                          </a:xfrm>
                          <a:prstGeom prst="rect">
                            <a:avLst/>
                          </a:prstGeom>
                        </wps:spPr>
                        <wps:txbx>
                          <w:txbxContent>
                            <w:p w14:paraId="532F6749" w14:textId="77777777" w:rsidR="00863BE9" w:rsidRPr="004D1DD1" w:rsidRDefault="00863BE9" w:rsidP="004D1DD1">
                              <w:pPr>
                                <w:pStyle w:val="Normaalweb"/>
                                <w:spacing w:before="0" w:beforeAutospacing="0" w:after="0" w:afterAutospacing="0"/>
                                <w:rPr>
                                  <w:sz w:val="18"/>
                                  <w:szCs w:val="18"/>
                                </w:rPr>
                              </w:pPr>
                              <w:r w:rsidRPr="004D1DD1">
                                <w:rPr>
                                  <w:rFonts w:ascii="Arial" w:hAnsi="Arial" w:cs="Arial"/>
                                  <w:color w:val="808080" w:themeColor="background1" w:themeShade="80"/>
                                  <w:kern w:val="24"/>
                                  <w:sz w:val="18"/>
                                  <w:szCs w:val="18"/>
                                </w:rPr>
                                <w:t>Rapportage 2</w:t>
                              </w:r>
                            </w:p>
                          </w:txbxContent>
                        </wps:txbx>
                        <wps:bodyPr/>
                      </wps:wsp>
                    </wpg:wgp>
                  </a:graphicData>
                </a:graphic>
                <wp14:sizeRelH relativeFrom="margin">
                  <wp14:pctWidth>0</wp14:pctWidth>
                </wp14:sizeRelH>
                <wp14:sizeRelV relativeFrom="margin">
                  <wp14:pctHeight>0</wp14:pctHeight>
                </wp14:sizeRelV>
              </wp:anchor>
            </w:drawing>
          </mc:Choice>
          <mc:Fallback>
            <w:pict>
              <v:group w14:anchorId="6A2BC5A8" id="Groep 5" o:spid="_x0000_s1027" style="position:absolute;margin-left:0;margin-top:8pt;width:433.5pt;height:123.4pt;z-index:251659264;mso-position-horizontal:left;mso-position-horizontal-relative:margin;mso-width-relative:margin;mso-height-relative:margin" coordsize="71600,167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2" o:spid="_x0000_s1028" type="#_x0000_t75" style="position:absolute;left:23473;top:9153;width:13893;height:56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">
                  <v:imagedata r:id="rId20" o:title=""/>
                </v:shape>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ijl: vijfhoek 3" o:spid="_x0000_s1029" type="#_x0000_t15" style="position:absolute;top:61;width:23762;height:51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" adj="19240" fillcolor="#8fcae7" strokecolor="#6894aa" strokeweight="1pt">
                  <v:textbox>
                    <w:txbxContent>
                      <w:p w14:paraId="3C2E2555" w14:textId="77777777" w:rsidR="00863BE9" w:rsidRDefault="00863BE9" w:rsidP="004D1DD1">
                        <w:pPr>
                          <w:pStyle w:val="Normaalweb"/>
                          <w:spacing w:before="0" w:beforeAutospacing="0" w:after="0" w:afterAutospacing="0"/>
                          <w:jc w:val="center"/>
                          <w:textAlignment w:val="baseline"/>
                        </w:pPr>
                        <w:r>
                          <w:rPr>
                            <w:rFonts w:asciiTheme="minorHAnsi" w:hAnsi="Calibri" w:cstheme="minorBidi"/>
                            <w:color w:val="FFFFFF" w:themeColor="light1"/>
                            <w:kern w:val="24"/>
                          </w:rPr>
                          <w:t>Meetperiode 1</w:t>
                        </w:r>
                      </w:p>
                    </w:txbxContent>
                  </v:textbox>
                </v:shape>
                <v:shape id="Pijl: vijfhoek 4" o:spid="_x0000_s1030" type="#_x0000_t15" style="position:absolute;left:23855;top:12;width:23762;height:51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" adj="19240" fillcolor="#8fcae7" strokecolor="#6894aa" strokeweight="1pt">
                  <v:textbox>
                    <w:txbxContent>
                      <w:p w14:paraId="293EB24E" w14:textId="77777777" w:rsidR="00863BE9" w:rsidRDefault="00863BE9" w:rsidP="004D1DD1">
                        <w:pPr>
                          <w:pStyle w:val="Normaalweb"/>
                          <w:spacing w:before="0" w:beforeAutospacing="0" w:after="0" w:afterAutospacing="0"/>
                          <w:jc w:val="center"/>
                          <w:textAlignment w:val="baseline"/>
                        </w:pPr>
                        <w:r>
                          <w:rPr>
                            <w:rFonts w:asciiTheme="minorHAnsi" w:hAnsi="Calibri" w:cstheme="minorBidi"/>
                            <w:color w:val="FFFFFF" w:themeColor="light1"/>
                            <w:kern w:val="24"/>
                          </w:rPr>
                          <w:t>Meetperiode 2</w:t>
                        </w:r>
                      </w:p>
                    </w:txbxContent>
                  </v:textbox>
                </v:shape>
                <v:shape id="Pijl: vijfhoek 5" o:spid="_x0000_s1031" type="#_x0000_t15" style="position:absolute;left:47838;width:23762;height:51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" adj="19240" fillcolor="#8fcae7" strokecolor="#6894aa" strokeweight="1pt">
                  <v:textbox>
                    <w:txbxContent>
                      <w:p w14:paraId="1073DBA7" w14:textId="77777777" w:rsidR="00863BE9" w:rsidRDefault="00863BE9" w:rsidP="004D1DD1">
                        <w:pPr>
                          <w:pStyle w:val="Normaalweb"/>
                          <w:spacing w:before="0" w:beforeAutospacing="0" w:after="0" w:afterAutospacing="0"/>
                          <w:jc w:val="center"/>
                          <w:textAlignment w:val="baseline"/>
                        </w:pPr>
                        <w:r>
                          <w:rPr>
                            <w:rFonts w:asciiTheme="minorHAnsi" w:hAnsi="Calibri" w:cstheme="minorBidi"/>
                            <w:color w:val="FFFFFF" w:themeColor="light1"/>
                            <w:kern w:val="24"/>
                          </w:rPr>
                          <w:t>Meetperiode 3</w:t>
                        </w:r>
                      </w:p>
                    </w:txbxContent>
                  </v:textbox>
                </v:shape>
                <v:shape id="Tijdelijke aanduiding voor inhoud 8" o:spid="_x0000_s1032" type="#_x0000_t202" style="position:absolute;left:4320;top:5770;width:13892;height:2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6BE8EC83" w14:textId="77777777" w:rsidR="00863BE9" w:rsidRPr="004D1DD1" w:rsidRDefault="00863BE9" w:rsidP="004D1DD1">
                        <w:pPr>
                          <w:pStyle w:val="Normaalweb"/>
                          <w:spacing w:before="0" w:beforeAutospacing="0" w:after="0" w:afterAutospacing="0"/>
                          <w:rPr>
                            <w:sz w:val="18"/>
                            <w:szCs w:val="18"/>
                          </w:rPr>
                        </w:pPr>
                        <w:r w:rsidRPr="004D1DD1">
                          <w:rPr>
                            <w:rFonts w:ascii="Arial" w:hAnsi="Arial" w:cs="Arial"/>
                            <w:color w:val="808080" w:themeColor="background1" w:themeShade="80"/>
                            <w:kern w:val="24"/>
                            <w:sz w:val="18"/>
                            <w:szCs w:val="18"/>
                          </w:rPr>
                          <w:t>6 maanden</w:t>
                        </w:r>
                      </w:p>
                    </w:txbxContent>
                  </v:textbox>
                </v:shape>
                <v:shape id="Tijdelijke aanduiding voor inhoud 8" o:spid="_x0000_s1033" type="#_x0000_t202" style="position:absolute;left:28083;top:5770;width:13892;height:2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1250E330" w14:textId="77777777" w:rsidR="00863BE9" w:rsidRPr="004D1DD1" w:rsidRDefault="00863BE9" w:rsidP="004D1DD1">
                        <w:pPr>
                          <w:pStyle w:val="Normaalweb"/>
                          <w:spacing w:before="0" w:beforeAutospacing="0" w:after="0" w:afterAutospacing="0"/>
                          <w:rPr>
                            <w:sz w:val="18"/>
                            <w:szCs w:val="18"/>
                          </w:rPr>
                        </w:pPr>
                        <w:r w:rsidRPr="004D1DD1">
                          <w:rPr>
                            <w:rFonts w:ascii="Arial" w:hAnsi="Arial" w:cs="Arial"/>
                            <w:color w:val="808080" w:themeColor="background1" w:themeShade="80"/>
                            <w:kern w:val="24"/>
                            <w:sz w:val="18"/>
                            <w:szCs w:val="18"/>
                          </w:rPr>
                          <w:t>6 maanden</w:t>
                        </w:r>
                      </w:p>
                    </w:txbxContent>
                  </v:textbox>
                </v:shape>
                <v:shape id="Tijdelijke aanduiding voor inhoud 8" o:spid="_x0000_s1034" type="#_x0000_t202" style="position:absolute;left:52773;top:5770;width:13892;height:2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5D187DA2" w14:textId="77777777" w:rsidR="00863BE9" w:rsidRPr="004D1DD1" w:rsidRDefault="00863BE9" w:rsidP="004D1DD1">
                        <w:pPr>
                          <w:pStyle w:val="Normaalweb"/>
                          <w:spacing w:before="0" w:beforeAutospacing="0" w:after="0" w:afterAutospacing="0"/>
                          <w:rPr>
                            <w:sz w:val="18"/>
                            <w:szCs w:val="18"/>
                          </w:rPr>
                        </w:pPr>
                        <w:r w:rsidRPr="004D1DD1">
                          <w:rPr>
                            <w:rFonts w:ascii="Arial" w:hAnsi="Arial" w:cs="Arial"/>
                            <w:color w:val="808080" w:themeColor="background1" w:themeShade="80"/>
                            <w:kern w:val="24"/>
                            <w:sz w:val="18"/>
                            <w:szCs w:val="18"/>
                          </w:rPr>
                          <w:t>6 maanden</w:t>
                        </w:r>
                      </w:p>
                    </w:txbxContent>
                  </v:textbox>
                </v:shape>
                <v:shape id="Afbeelding 10" o:spid="_x0000_s1035" type="#_x0000_t75" style="position:absolute;left:47617;top:8969;width:13893;height:56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">
                  <v:imagedata r:id="rId20" o:title=""/>
                </v:shape>
                <v:shape id="Tijdelijke aanduiding voor inhoud 8" o:spid="_x0000_s1036" type="#_x0000_t202" style="position:absolute;left:21169;top:14177;width:12674;height:2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6BD86699" w14:textId="77777777" w:rsidR="00863BE9" w:rsidRPr="004D1DD1" w:rsidRDefault="00863BE9" w:rsidP="004D1DD1">
                        <w:pPr>
                          <w:pStyle w:val="Normaalweb"/>
                          <w:spacing w:before="0" w:beforeAutospacing="0" w:after="0" w:afterAutospacing="0"/>
                          <w:rPr>
                            <w:sz w:val="18"/>
                            <w:szCs w:val="18"/>
                          </w:rPr>
                        </w:pPr>
                        <w:r w:rsidRPr="004D1DD1">
                          <w:rPr>
                            <w:rFonts w:ascii="Arial" w:hAnsi="Arial" w:cs="Arial"/>
                            <w:color w:val="808080" w:themeColor="background1" w:themeShade="80"/>
                            <w:kern w:val="24"/>
                            <w:sz w:val="18"/>
                            <w:szCs w:val="18"/>
                          </w:rPr>
                          <w:t>Rapportage 1</w:t>
                        </w:r>
                      </w:p>
                    </w:txbxContent>
                  </v:textbox>
                </v:shape>
                <v:shape id="Tijdelijke aanduiding voor inhoud 8" o:spid="_x0000_s1037" type="#_x0000_t202" style="position:absolute;left:45260;top:14022;width:12674;height:2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532F6749" w14:textId="77777777" w:rsidR="00863BE9" w:rsidRPr="004D1DD1" w:rsidRDefault="00863BE9" w:rsidP="004D1DD1">
                        <w:pPr>
                          <w:pStyle w:val="Normaalweb"/>
                          <w:spacing w:before="0" w:beforeAutospacing="0" w:after="0" w:afterAutospacing="0"/>
                          <w:rPr>
                            <w:sz w:val="18"/>
                            <w:szCs w:val="18"/>
                          </w:rPr>
                        </w:pPr>
                        <w:r w:rsidRPr="004D1DD1">
                          <w:rPr>
                            <w:rFonts w:ascii="Arial" w:hAnsi="Arial" w:cs="Arial"/>
                            <w:color w:val="808080" w:themeColor="background1" w:themeShade="80"/>
                            <w:kern w:val="24"/>
                            <w:sz w:val="18"/>
                            <w:szCs w:val="18"/>
                          </w:rPr>
                          <w:t>Rapportage 2</w:t>
                        </w:r>
                      </w:p>
                    </w:txbxContent>
                  </v:textbox>
                </v:shape>
                <w10:wrap anchorx="margin"/>
              </v:group>
            </w:pict>
          </mc:Fallback>
        </mc:AlternateContent>
      </w:r>
    </w:p>
    <w:p w14:paraId="4D6BABDA" w14:textId="2EC44EAE" w:rsidR="00962207" w:rsidRPr="00D679BE" w:rsidRDefault="00962207" w:rsidP="00A5423D">
      <w:pPr>
        <w:tabs>
          <w:tab w:val="num" w:pos="0"/>
        </w:tabs>
      </w:pPr>
    </w:p>
    <w:p w14:paraId="1B7C1825" w14:textId="02B71425" w:rsidR="00962207" w:rsidRPr="00D679BE" w:rsidRDefault="00962207" w:rsidP="00A5423D">
      <w:pPr>
        <w:tabs>
          <w:tab w:val="num" w:pos="0"/>
        </w:tabs>
      </w:pPr>
    </w:p>
    <w:p w14:paraId="2ECE75A1" w14:textId="77777777" w:rsidR="0057549D" w:rsidRPr="00D679BE" w:rsidRDefault="0057549D" w:rsidP="00A5423D">
      <w:pPr>
        <w:tabs>
          <w:tab w:val="num" w:pos="0"/>
        </w:tabs>
      </w:pPr>
    </w:p>
    <w:p w14:paraId="71B0DA3E" w14:textId="77777777" w:rsidR="004D1DD1" w:rsidRPr="00D679BE" w:rsidRDefault="004D1DD1">
      <w:pPr>
        <w:spacing w:after="200" w:line="276" w:lineRule="auto"/>
        <w:rPr>
          <w:szCs w:val="18"/>
        </w:rPr>
      </w:pPr>
    </w:p>
    <w:p w14:paraId="3CFC3274" w14:textId="77777777" w:rsidR="004D1DD1" w:rsidRPr="00D679BE" w:rsidRDefault="004D1DD1">
      <w:pPr>
        <w:spacing w:after="200" w:line="276" w:lineRule="auto"/>
        <w:rPr>
          <w:szCs w:val="18"/>
        </w:rPr>
      </w:pPr>
    </w:p>
    <w:p w14:paraId="53B4B628" w14:textId="77777777" w:rsidR="004D1DD1" w:rsidRPr="00D679BE" w:rsidRDefault="004D1DD1">
      <w:pPr>
        <w:spacing w:after="200" w:line="276" w:lineRule="auto"/>
        <w:rPr>
          <w:szCs w:val="18"/>
        </w:rPr>
      </w:pPr>
    </w:p>
    <w:p w14:paraId="29DFD0B6" w14:textId="77777777" w:rsidR="004D1DD1" w:rsidRPr="00D679BE" w:rsidRDefault="004D1DD1">
      <w:pPr>
        <w:spacing w:after="200" w:line="276" w:lineRule="auto"/>
        <w:rPr>
          <w:szCs w:val="18"/>
        </w:rPr>
      </w:pPr>
    </w:p>
    <w:p w14:paraId="56B34191" w14:textId="77777777" w:rsidR="004D1DD1" w:rsidRPr="00D679BE" w:rsidRDefault="004D1DD1">
      <w:pPr>
        <w:spacing w:after="200" w:line="276" w:lineRule="auto"/>
        <w:rPr>
          <w:szCs w:val="18"/>
        </w:rPr>
      </w:pPr>
    </w:p>
    <w:p w14:paraId="3FAF0527" w14:textId="27730B0A" w:rsidR="00E92C3E" w:rsidRPr="00D679BE" w:rsidRDefault="00E92C3E">
      <w:pPr>
        <w:spacing w:after="200" w:line="276" w:lineRule="auto"/>
      </w:pPr>
      <w:r w:rsidRPr="00D679BE">
        <w:br w:type="page"/>
      </w:r>
    </w:p>
    <w:p w14:paraId="59A130A1" w14:textId="1B6528D0" w:rsidR="00EF617D" w:rsidRPr="00D679BE" w:rsidRDefault="00EF617D" w:rsidP="00823F35">
      <w:pPr>
        <w:pStyle w:val="Kop1"/>
      </w:pPr>
      <w:bookmarkStart w:id="27" w:name="_Toc447113904"/>
      <w:bookmarkStart w:id="28" w:name="_Toc141364225"/>
      <w:r w:rsidRPr="00D679BE">
        <w:lastRenderedPageBreak/>
        <w:t>KPI-</w:t>
      </w:r>
      <w:r w:rsidR="008614F5" w:rsidRPr="00D679BE">
        <w:t>5</w:t>
      </w:r>
      <w:r w:rsidR="00027DDF">
        <w:t xml:space="preserve"> </w:t>
      </w:r>
      <w:r w:rsidRPr="00D679BE">
        <w:t>Rekenfactor gemiddeld tarief</w:t>
      </w:r>
      <w:bookmarkEnd w:id="27"/>
      <w:bookmarkEnd w:id="28"/>
    </w:p>
    <w:p w14:paraId="01B6EDE2" w14:textId="430C0F90" w:rsidR="004D1DD1" w:rsidRPr="00D679BE" w:rsidRDefault="004D1DD1" w:rsidP="004D1DD1">
      <w:pPr>
        <w:tabs>
          <w:tab w:val="num" w:pos="0"/>
        </w:tabs>
      </w:pPr>
      <w:r w:rsidRPr="00D679BE">
        <w:rPr>
          <w:b/>
        </w:rPr>
        <w:t>Achtergrond</w:t>
      </w:r>
      <w:r w:rsidRPr="00D679BE">
        <w:t xml:space="preserve">. </w:t>
      </w:r>
    </w:p>
    <w:p w14:paraId="13F8F6EA" w14:textId="1F35BE1A" w:rsidR="00E252E2" w:rsidRPr="00D679BE" w:rsidRDefault="00E252E2" w:rsidP="00E252E2">
      <w:r w:rsidRPr="00D679BE">
        <w:t xml:space="preserve">Het is om de belang dat de </w:t>
      </w:r>
      <w:r w:rsidR="00D63752">
        <w:t>o</w:t>
      </w:r>
      <w:r w:rsidRPr="00D679BE">
        <w:t xml:space="preserve">pdrachtnemers geschikte </w:t>
      </w:r>
      <w:r w:rsidR="00333BE8" w:rsidRPr="00D679BE">
        <w:t>K</w:t>
      </w:r>
      <w:r w:rsidRPr="00D679BE">
        <w:t>andidaten tegen scherpe, doch marktconforme tarieven aanbieden:</w:t>
      </w:r>
    </w:p>
    <w:p w14:paraId="51251944" w14:textId="56584229" w:rsidR="00E252E2" w:rsidRPr="00D679BE" w:rsidRDefault="008627DC" w:rsidP="00E252E2">
      <w:pPr>
        <w:numPr>
          <w:ilvl w:val="0"/>
          <w:numId w:val="1"/>
        </w:numPr>
      </w:pPr>
      <w:r>
        <w:t>S</w:t>
      </w:r>
      <w:r w:rsidR="00E252E2" w:rsidRPr="00D679BE">
        <w:t>cherpe tarieven dragen bij aan doelmatige besteding van overheidsgeld;</w:t>
      </w:r>
    </w:p>
    <w:p w14:paraId="21EE7535" w14:textId="25D46135" w:rsidR="0090635E" w:rsidRPr="00D679BE" w:rsidRDefault="008627DC" w:rsidP="00E252E2">
      <w:pPr>
        <w:numPr>
          <w:ilvl w:val="0"/>
          <w:numId w:val="1"/>
        </w:numPr>
      </w:pPr>
      <w:r>
        <w:t>S</w:t>
      </w:r>
      <w:r w:rsidR="0090635E" w:rsidRPr="00D679BE">
        <w:t xml:space="preserve">tructureel te lage tarieven zorgen er echter voor dat </w:t>
      </w:r>
      <w:r>
        <w:t>Deelnemer</w:t>
      </w:r>
      <w:r w:rsidR="0090635E" w:rsidRPr="00D679BE">
        <w:t xml:space="preserve">s op termijn onvoldoende geschikt aanbod van </w:t>
      </w:r>
      <w:r w:rsidR="00695257">
        <w:t>Kandida</w:t>
      </w:r>
      <w:r w:rsidR="0090635E" w:rsidRPr="00D679BE">
        <w:t>ten zullen ontvangen en een verhoogd risico hebben ten aanzien van de continuïteit of kwaliteit van met opdrachten uit te voeren werkzaamheden;</w:t>
      </w:r>
      <w:r w:rsidR="00027DDF">
        <w:t xml:space="preserve"> </w:t>
      </w:r>
      <w:r w:rsidR="0090635E" w:rsidRPr="00D679BE">
        <w:t xml:space="preserve"> </w:t>
      </w:r>
    </w:p>
    <w:p w14:paraId="174730A1" w14:textId="032587A4" w:rsidR="00E252E2" w:rsidRPr="00D679BE" w:rsidRDefault="008627DC" w:rsidP="00E252E2">
      <w:pPr>
        <w:numPr>
          <w:ilvl w:val="0"/>
          <w:numId w:val="1"/>
        </w:numPr>
      </w:pPr>
      <w:r>
        <w:t>Z</w:t>
      </w:r>
      <w:r w:rsidR="00E252E2" w:rsidRPr="00D679BE">
        <w:t xml:space="preserve">owel voor de aanbesteding van deze raamovereenkomsten als voor de minicompetities per </w:t>
      </w:r>
      <w:r>
        <w:t>A</w:t>
      </w:r>
      <w:r w:rsidR="00E252E2" w:rsidRPr="00D679BE">
        <w:t xml:space="preserve">anvraag/opdracht binnen deze raamovereenkomst, de beste inschrijver(s) gekozen zal moeten worden op basis van de beste prijs-kwaliteitverhouding. Toepassing van een prijscriterium is van belang voor deze aanbesteding, maar </w:t>
      </w:r>
      <w:r w:rsidR="00695257">
        <w:t>Opdrachtgever</w:t>
      </w:r>
      <w:r w:rsidR="00E252E2" w:rsidRPr="00D679BE">
        <w:t xml:space="preserve"> wenst geen </w:t>
      </w:r>
      <w:r w:rsidR="008A294B" w:rsidRPr="00D679BE">
        <w:t>standaard/</w:t>
      </w:r>
      <w:r w:rsidR="00E252E2" w:rsidRPr="00D679BE">
        <w:t>vaste of maximum uurtarieven in de raamovereenkomst vast te leggen, gezien de diversiteit aan mogelijke profielen</w:t>
      </w:r>
      <w:r w:rsidR="008A294B" w:rsidRPr="00D679BE">
        <w:t>,</w:t>
      </w:r>
      <w:r w:rsidR="00E252E2" w:rsidRPr="00D679BE">
        <w:t xml:space="preserve"> </w:t>
      </w:r>
      <w:r w:rsidR="0090635E" w:rsidRPr="00D679BE">
        <w:t xml:space="preserve">(fluctuerende) </w:t>
      </w:r>
      <w:r w:rsidR="00E252E2" w:rsidRPr="00D679BE">
        <w:t>schaarste in de markt</w:t>
      </w:r>
      <w:r w:rsidR="0090635E" w:rsidRPr="00D679BE">
        <w:t>,</w:t>
      </w:r>
      <w:r w:rsidR="00E252E2" w:rsidRPr="00D679BE">
        <w:t xml:space="preserve"> </w:t>
      </w:r>
      <w:r w:rsidR="008A294B" w:rsidRPr="00D679BE">
        <w:t>dynamiek in de vele I-domeinen</w:t>
      </w:r>
      <w:r w:rsidR="0090635E" w:rsidRPr="00D679BE">
        <w:t xml:space="preserve"> en prijselasticiteit</w:t>
      </w:r>
      <w:r w:rsidR="00E252E2" w:rsidRPr="00D679BE">
        <w:t>;</w:t>
      </w:r>
    </w:p>
    <w:p w14:paraId="4E664E2D" w14:textId="4E214535" w:rsidR="008A294B" w:rsidRPr="00D679BE" w:rsidRDefault="008627DC" w:rsidP="00E252E2">
      <w:pPr>
        <w:numPr>
          <w:ilvl w:val="0"/>
          <w:numId w:val="1"/>
        </w:numPr>
      </w:pPr>
      <w:r>
        <w:t>M</w:t>
      </w:r>
      <w:r w:rsidR="008A294B" w:rsidRPr="00D679BE">
        <w:t xml:space="preserve">arktwerking moet zorgen voor optimale en reële tarieven waarmee </w:t>
      </w:r>
      <w:r w:rsidR="00695257">
        <w:t>Kandida</w:t>
      </w:r>
      <w:r w:rsidR="008A294B" w:rsidRPr="00D679BE">
        <w:t xml:space="preserve">ten aangeboden worden, die passen bij de kwaliteit van de </w:t>
      </w:r>
      <w:r w:rsidR="00695257">
        <w:t>Kandida</w:t>
      </w:r>
      <w:r w:rsidR="008A294B" w:rsidRPr="00D679BE">
        <w:t xml:space="preserve">ten, de complexiteit van de opdracht c.q. uit te voeren werkzaamheden en de schaarste/krapte in de markt. </w:t>
      </w:r>
    </w:p>
    <w:p w14:paraId="05972F29" w14:textId="77777777" w:rsidR="00E252E2" w:rsidRPr="00D679BE" w:rsidRDefault="00E252E2" w:rsidP="004D1DD1">
      <w:pPr>
        <w:tabs>
          <w:tab w:val="num" w:pos="0"/>
        </w:tabs>
      </w:pPr>
    </w:p>
    <w:p w14:paraId="1A558229" w14:textId="6D5CF009" w:rsidR="004D1DD1" w:rsidRPr="00D679BE" w:rsidRDefault="004D1DD1" w:rsidP="004D1DD1">
      <w:pPr>
        <w:tabs>
          <w:tab w:val="num" w:pos="0"/>
        </w:tabs>
      </w:pPr>
      <w:r w:rsidRPr="00D679BE">
        <w:t xml:space="preserve">Doel van deze KPI is ervoor te zorgen dat </w:t>
      </w:r>
      <w:r w:rsidR="008627DC">
        <w:t>Deelnemer</w:t>
      </w:r>
      <w:r w:rsidRPr="00D679BE">
        <w:t xml:space="preserve">(s) </w:t>
      </w:r>
      <w:r w:rsidR="00E252E2" w:rsidRPr="00D679BE">
        <w:t xml:space="preserve">scherpe, doch marktconforme tarieven voor </w:t>
      </w:r>
      <w:r w:rsidR="00695257">
        <w:t>Kandida</w:t>
      </w:r>
      <w:r w:rsidR="00E252E2" w:rsidRPr="00D679BE">
        <w:t>ten aangeboden krijgt</w:t>
      </w:r>
      <w:r w:rsidR="008A294B" w:rsidRPr="00D679BE">
        <w:t>, rekening houdende met bovenstaande overwegingen</w:t>
      </w:r>
      <w:r w:rsidRPr="00D679BE">
        <w:t xml:space="preserve">. </w:t>
      </w:r>
    </w:p>
    <w:p w14:paraId="678BAA72" w14:textId="77777777" w:rsidR="004D1DD1" w:rsidRPr="00D679BE" w:rsidRDefault="004D1DD1" w:rsidP="00CD4B52"/>
    <w:p w14:paraId="27444926" w14:textId="41D506CD" w:rsidR="004D1DD1" w:rsidRPr="00D679BE" w:rsidRDefault="004D1DD1" w:rsidP="00CD4B52">
      <w:r w:rsidRPr="00D679BE">
        <w:rPr>
          <w:b/>
        </w:rPr>
        <w:t>Inrichting KPI</w:t>
      </w:r>
    </w:p>
    <w:p w14:paraId="05A7D23A" w14:textId="5BE964E4" w:rsidR="001E7F8E" w:rsidRPr="00D679BE" w:rsidRDefault="001E7F8E" w:rsidP="00CD4B52">
      <w:r w:rsidRPr="00D679BE">
        <w:t xml:space="preserve">Voor wat betreft de inrichting van de KPI </w:t>
      </w:r>
      <w:r w:rsidR="006B7FC0" w:rsidRPr="00D679BE">
        <w:t>wordt verwezen</w:t>
      </w:r>
      <w:r w:rsidRPr="00D679BE">
        <w:t xml:space="preserve"> naar het Programma van Eisen, hoofdstuk </w:t>
      </w:r>
      <w:proofErr w:type="spellStart"/>
      <w:r w:rsidRPr="00D679BE">
        <w:t>KPI’s</w:t>
      </w:r>
      <w:proofErr w:type="spellEnd"/>
      <w:r w:rsidRPr="00D679BE">
        <w:t xml:space="preserve"> (KPI-5: Rekenfactor gemiddeld tarief).</w:t>
      </w:r>
    </w:p>
    <w:p w14:paraId="683C4CD2" w14:textId="77777777" w:rsidR="001E67CD" w:rsidRPr="00D679BE" w:rsidRDefault="001E67CD" w:rsidP="00CD4B52"/>
    <w:p w14:paraId="0A8EBECA" w14:textId="3729FD5C" w:rsidR="009133A5" w:rsidRPr="00D679BE" w:rsidRDefault="00AC15FB" w:rsidP="00CD4B52">
      <w:r w:rsidRPr="00D679BE">
        <w:t>Met de</w:t>
      </w:r>
      <w:r w:rsidR="00BC564E" w:rsidRPr="00D679BE">
        <w:t xml:space="preserve"> beschreven</w:t>
      </w:r>
      <w:r w:rsidRPr="00D679BE">
        <w:t xml:space="preserve"> systematiek vergelijkt </w:t>
      </w:r>
      <w:r w:rsidR="00695257">
        <w:t>Opdrachtgever</w:t>
      </w:r>
      <w:r w:rsidRPr="00D679BE">
        <w:t xml:space="preserve"> </w:t>
      </w:r>
      <w:r w:rsidR="0074055B" w:rsidRPr="00D679BE">
        <w:t xml:space="preserve">in een meetperiode </w:t>
      </w:r>
      <w:r w:rsidRPr="00D679BE">
        <w:t xml:space="preserve">de prijs van het ‘boodschappenmandje’ (lees: het gewogen gemiddelde tarief per opdrachtnemer) met een bepaalde referentieprijs (gewogen gemiddeld overheidstarief, dat op basis van dezelfde uitgangspunten wordt berekend als het boodschappenmandje, maal de door opdrachtnemer bij inschrijving opgegeven rekenfactor). Opdrachtgever beoogt hiermee </w:t>
      </w:r>
      <w:r w:rsidR="0074055B" w:rsidRPr="00D679BE">
        <w:t xml:space="preserve">zoveel als mogelijk </w:t>
      </w:r>
      <w:r w:rsidRPr="00D679BE">
        <w:t xml:space="preserve">‘de minicompetitie zijn werk te laten doen’, oftewel opdrachtnemers de gelegenheid te geven per </w:t>
      </w:r>
      <w:r w:rsidR="008627DC">
        <w:t>A</w:t>
      </w:r>
      <w:r w:rsidRPr="00D679BE">
        <w:t>anvraag een marktconforme aanbieding</w:t>
      </w:r>
      <w:r w:rsidR="00850EE9" w:rsidRPr="00D679BE">
        <w:t xml:space="preserve"> te laten doen. Opdrachtnemers worden </w:t>
      </w:r>
      <w:r w:rsidR="0074055B" w:rsidRPr="00D679BE">
        <w:t xml:space="preserve">echter </w:t>
      </w:r>
      <w:r w:rsidR="00E947AE" w:rsidRPr="00D679BE">
        <w:t xml:space="preserve">mede door deze ‘rekenfactor’ </w:t>
      </w:r>
      <w:r w:rsidR="0074055B" w:rsidRPr="00D679BE">
        <w:t xml:space="preserve">wel </w:t>
      </w:r>
      <w:r w:rsidR="00E947AE" w:rsidRPr="00D679BE">
        <w:t>gestimuleerd</w:t>
      </w:r>
      <w:r w:rsidR="00850EE9" w:rsidRPr="00D679BE">
        <w:t xml:space="preserve"> een competitief prijsbeleid te voeren en de prijs van de ‘boodschappenmandjes’ af te weg</w:t>
      </w:r>
      <w:r w:rsidR="00E947AE" w:rsidRPr="00D679BE">
        <w:t xml:space="preserve">en ten opzichte van de garantie die zij </w:t>
      </w:r>
      <w:r w:rsidR="00234D29" w:rsidRPr="00D679BE">
        <w:t xml:space="preserve">bij de aanbesteding </w:t>
      </w:r>
      <w:r w:rsidR="00E947AE" w:rsidRPr="00D679BE">
        <w:t xml:space="preserve">in hun inschrijving hierover hebben afgegeven. </w:t>
      </w:r>
      <w:r w:rsidR="0074055B" w:rsidRPr="00D679BE">
        <w:t xml:space="preserve">Hiermee komt </w:t>
      </w:r>
      <w:r w:rsidR="00695257">
        <w:t>Opdrachtgever</w:t>
      </w:r>
      <w:r w:rsidR="0074055B" w:rsidRPr="00D679BE">
        <w:t xml:space="preserve"> tevens tegemoet aan de </w:t>
      </w:r>
      <w:r w:rsidR="005C62E4" w:rsidRPr="00D679BE">
        <w:t xml:space="preserve">noodzaak om </w:t>
      </w:r>
      <w:r w:rsidR="0074055B" w:rsidRPr="00D679BE">
        <w:t>tijdens de aanbesteding voor de raamovereenkomsten een prijscriterium in het gunningsmodel toe te passen, dat relevant is voor de uitvoering van de minicompetities</w:t>
      </w:r>
      <w:r w:rsidR="00234D29" w:rsidRPr="00D679BE">
        <w:t xml:space="preserve"> maar tegelijkertijd niet teveel beperkingen in zich heeft.</w:t>
      </w:r>
      <w:r w:rsidR="0074055B" w:rsidRPr="00D679BE">
        <w:t xml:space="preserve"> </w:t>
      </w:r>
      <w:r w:rsidR="00A258B5" w:rsidRPr="00D679BE">
        <w:br/>
      </w:r>
    </w:p>
    <w:p w14:paraId="5416AE64" w14:textId="7B9DEADD" w:rsidR="008627DC" w:rsidRDefault="00E947AE" w:rsidP="00CD4B52">
      <w:bookmarkStart w:id="29" w:name="_Hlk219297748"/>
      <w:r w:rsidRPr="00D679BE">
        <w:t xml:space="preserve">Indien er sprake is van een onvoorzien toenemende schaarste en opdrachtnemers </w:t>
      </w:r>
      <w:r w:rsidR="00A258B5" w:rsidRPr="00D679BE">
        <w:t>als gevolg van</w:t>
      </w:r>
      <w:r w:rsidRPr="00D679BE">
        <w:t xml:space="preserve"> </w:t>
      </w:r>
      <w:r w:rsidR="00A258B5" w:rsidRPr="00D679BE">
        <w:t>het prijsregulerend effect van</w:t>
      </w:r>
      <w:r w:rsidRPr="00D679BE">
        <w:t xml:space="preserve"> deze rekenfactor niet</w:t>
      </w:r>
      <w:r w:rsidR="00234D29" w:rsidRPr="00D679BE">
        <w:t>/nauwelijks</w:t>
      </w:r>
      <w:r w:rsidR="00A258B5" w:rsidRPr="00D679BE">
        <w:t xml:space="preserve"> meer</w:t>
      </w:r>
      <w:r w:rsidRPr="00D679BE">
        <w:t xml:space="preserve"> ‘marktconform’ kunnen aanbieden, kan de </w:t>
      </w:r>
      <w:r w:rsidR="008627DC">
        <w:t>D</w:t>
      </w:r>
      <w:r w:rsidR="00C11A5A" w:rsidRPr="00D679BE">
        <w:t>eelnemer</w:t>
      </w:r>
      <w:r w:rsidRPr="00D679BE">
        <w:t xml:space="preserve"> de volgende maatregel nemen om te voorkomen dat opdrachtnemers genoodzaakt zijn niet aan te bieden of </w:t>
      </w:r>
      <w:r w:rsidR="00A258B5" w:rsidRPr="00D679BE">
        <w:t>lagere</w:t>
      </w:r>
      <w:r w:rsidRPr="00D679BE">
        <w:t xml:space="preserve"> kwaliteit</w:t>
      </w:r>
      <w:r w:rsidR="00A258B5" w:rsidRPr="00D679BE">
        <w:t xml:space="preserve"> </w:t>
      </w:r>
      <w:r w:rsidR="008627DC">
        <w:t>K</w:t>
      </w:r>
      <w:r w:rsidR="00A258B5" w:rsidRPr="00D679BE">
        <w:t xml:space="preserve">andidaten </w:t>
      </w:r>
      <w:r w:rsidRPr="00D679BE">
        <w:t>aan te bieden:</w:t>
      </w:r>
    </w:p>
    <w:p w14:paraId="5D46032B" w14:textId="77777777" w:rsidR="008627DC" w:rsidRDefault="008627DC" w:rsidP="008627DC">
      <w:pPr>
        <w:numPr>
          <w:ilvl w:val="0"/>
          <w:numId w:val="1"/>
        </w:numPr>
      </w:pPr>
      <w:r>
        <w:t>B</w:t>
      </w:r>
      <w:r w:rsidR="00E947AE" w:rsidRPr="00D679BE">
        <w:t xml:space="preserve">ij geen of geen geschikte aanbiedingen op een </w:t>
      </w:r>
      <w:r>
        <w:t>Aanvraag</w:t>
      </w:r>
      <w:r w:rsidR="00E947AE" w:rsidRPr="00D679BE">
        <w:t xml:space="preserve"> als gevolg van hoge schaarste, zet de </w:t>
      </w:r>
      <w:r>
        <w:t>D</w:t>
      </w:r>
      <w:r w:rsidR="00C11A5A" w:rsidRPr="00D679BE">
        <w:t>eelnemer</w:t>
      </w:r>
      <w:r w:rsidR="00E947AE" w:rsidRPr="00D679BE">
        <w:t xml:space="preserve"> de functie bij een volgende </w:t>
      </w:r>
      <w:r>
        <w:t>Aanvraag</w:t>
      </w:r>
      <w:r w:rsidR="00E947AE" w:rsidRPr="00D679BE">
        <w:t xml:space="preserve"> uit in een hogere </w:t>
      </w:r>
      <w:r w:rsidR="000A5FE5">
        <w:t>salarisschaal Rijk</w:t>
      </w:r>
      <w:r w:rsidR="00E947AE" w:rsidRPr="00D679BE">
        <w:t>;</w:t>
      </w:r>
    </w:p>
    <w:bookmarkEnd w:id="29"/>
    <w:p w14:paraId="028EE5CB" w14:textId="77777777" w:rsidR="009133A5" w:rsidRPr="00D679BE" w:rsidRDefault="009133A5" w:rsidP="00CD4B52"/>
    <w:p w14:paraId="3F124894" w14:textId="46339A65" w:rsidR="009133A5" w:rsidRPr="00D679BE" w:rsidRDefault="009133A5" w:rsidP="009133A5">
      <w:r w:rsidRPr="00D679BE">
        <w:t xml:space="preserve">Ter beeldvorming ziet u hieronder </w:t>
      </w:r>
      <w:r w:rsidR="001E7F8E" w:rsidRPr="00D679BE">
        <w:t xml:space="preserve">in figuur 2 </w:t>
      </w:r>
      <w:r w:rsidRPr="00D679BE">
        <w:t>een vereenvoudigde weergave van het effect van de Rekenfactor gemiddeld tarief weergegeven, uitgaande van drie profielen in het ‘boodschappenmandje’</w:t>
      </w:r>
      <w:r w:rsidR="005D2615" w:rsidRPr="00D679BE">
        <w:t xml:space="preserve"> van een meetperiode</w:t>
      </w:r>
      <w:r w:rsidRPr="00D679BE">
        <w:t xml:space="preserve">. De Rekenfactor bepaalt hierbij </w:t>
      </w:r>
      <w:r w:rsidR="00253299" w:rsidRPr="00D679BE">
        <w:t xml:space="preserve">de hefboom en </w:t>
      </w:r>
      <w:r w:rsidRPr="00D679BE">
        <w:t>het kantelpunt.</w:t>
      </w:r>
      <w:r w:rsidR="00253299" w:rsidRPr="00D679BE">
        <w:t xml:space="preserve"> De rechterkant met daarbij het (gewogen) gemiddelde tarief van opdrachtnemer mag niet zodanig zwaar wegen dat de ‘wip’ naar deze kant gaat overhellen. </w:t>
      </w:r>
    </w:p>
    <w:p w14:paraId="6AC99A7C" w14:textId="77777777" w:rsidR="001E7F8E" w:rsidRPr="00D679BE" w:rsidRDefault="009133A5" w:rsidP="001E7F8E">
      <w:pPr>
        <w:keepNext/>
      </w:pPr>
      <w:r w:rsidRPr="00D679BE">
        <w:rPr>
          <w:noProof/>
          <w:szCs w:val="18"/>
        </w:rPr>
        <w:lastRenderedPageBreak/>
        <w:drawing>
          <wp:inline distT="0" distB="0" distL="0" distR="0" wp14:anchorId="4FBD9B91" wp14:editId="0E2BF844">
            <wp:extent cx="5178511" cy="2967487"/>
            <wp:effectExtent l="0" t="0" r="0" b="4445"/>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192052" cy="2975247"/>
                    </a:xfrm>
                    <a:prstGeom prst="rect">
                      <a:avLst/>
                    </a:prstGeom>
                    <a:noFill/>
                  </pic:spPr>
                </pic:pic>
              </a:graphicData>
            </a:graphic>
          </wp:inline>
        </w:drawing>
      </w:r>
    </w:p>
    <w:p w14:paraId="3B773993" w14:textId="07D5F634" w:rsidR="009133A5" w:rsidRPr="00D679BE" w:rsidRDefault="001E7F8E" w:rsidP="001E7F8E">
      <w:pPr>
        <w:pStyle w:val="Bijschrift"/>
      </w:pPr>
      <w:r w:rsidRPr="00D679BE">
        <w:t xml:space="preserve">Figuur </w:t>
      </w:r>
      <w:r w:rsidR="00A87AA0" w:rsidRPr="00D679BE">
        <w:rPr>
          <w:noProof/>
        </w:rPr>
        <w:fldChar w:fldCharType="begin"/>
      </w:r>
      <w:r w:rsidR="00A87AA0" w:rsidRPr="00D679BE">
        <w:rPr>
          <w:noProof/>
        </w:rPr>
        <w:instrText xml:space="preserve"> SEQ Figuur \* ARABIC </w:instrText>
      </w:r>
      <w:r w:rsidR="00A87AA0" w:rsidRPr="00D679BE">
        <w:rPr>
          <w:noProof/>
        </w:rPr>
        <w:fldChar w:fldCharType="separate"/>
      </w:r>
      <w:r w:rsidRPr="00D679BE">
        <w:rPr>
          <w:noProof/>
        </w:rPr>
        <w:t>2</w:t>
      </w:r>
      <w:r w:rsidR="00A87AA0" w:rsidRPr="00D679BE">
        <w:rPr>
          <w:noProof/>
        </w:rPr>
        <w:fldChar w:fldCharType="end"/>
      </w:r>
    </w:p>
    <w:p w14:paraId="50F7D2F6" w14:textId="77777777" w:rsidR="00CD4B52" w:rsidRPr="00D679BE" w:rsidRDefault="00CD4B52" w:rsidP="00CD4B52">
      <w:pPr>
        <w:rPr>
          <w:b/>
        </w:rPr>
      </w:pPr>
      <w:r w:rsidRPr="00D679BE">
        <w:rPr>
          <w:b/>
        </w:rPr>
        <w:t xml:space="preserve">Voorbeeld toepassing </w:t>
      </w:r>
    </w:p>
    <w:p w14:paraId="4E650E18" w14:textId="2C3CE599" w:rsidR="00CD4B52" w:rsidRPr="00D679BE" w:rsidRDefault="00CD4B52" w:rsidP="00CD4B52">
      <w:pPr>
        <w:spacing w:after="200" w:line="276" w:lineRule="auto"/>
        <w:rPr>
          <w:rFonts w:eastAsia="Calibri"/>
        </w:rPr>
      </w:pPr>
      <w:r w:rsidRPr="00D679BE">
        <w:rPr>
          <w:rFonts w:eastAsia="Calibri"/>
        </w:rPr>
        <w:t xml:space="preserve">In dit voorbeeld heeft een opdrachtnemer op 4 </w:t>
      </w:r>
      <w:r w:rsidR="00695257">
        <w:rPr>
          <w:rFonts w:eastAsia="Calibri"/>
        </w:rPr>
        <w:t>Aanvra</w:t>
      </w:r>
      <w:r w:rsidRPr="00D679BE">
        <w:rPr>
          <w:rFonts w:eastAsia="Calibri"/>
        </w:rPr>
        <w:t xml:space="preserve">gen, die in de meetperiode vallen, aanbiedingen gedaan die allen voldoen aan de gestelde eisen in de </w:t>
      </w:r>
      <w:r w:rsidR="008627DC">
        <w:rPr>
          <w:rFonts w:eastAsia="Calibri"/>
        </w:rPr>
        <w:t>Aanvraag</w:t>
      </w:r>
      <w:r w:rsidRPr="00D679BE">
        <w:rPr>
          <w:rFonts w:eastAsia="Calibri"/>
        </w:rPr>
        <w:t xml:space="preserve">. </w:t>
      </w:r>
    </w:p>
    <w:tbl>
      <w:tblPr>
        <w:tblW w:w="8157" w:type="dxa"/>
        <w:tblInd w:w="55" w:type="dxa"/>
        <w:tblBorders>
          <w:top w:val="single" w:sz="8" w:space="0" w:color="4BACC6"/>
          <w:left w:val="single" w:sz="8" w:space="0" w:color="4BACC6"/>
          <w:bottom w:val="single" w:sz="8" w:space="0" w:color="4BACC6"/>
          <w:right w:val="single" w:sz="8" w:space="0" w:color="4BACC6"/>
        </w:tblBorders>
        <w:tblLayout w:type="fixed"/>
        <w:tblCellMar>
          <w:left w:w="70" w:type="dxa"/>
          <w:right w:w="70" w:type="dxa"/>
        </w:tblCellMar>
        <w:tblLook w:val="04A0" w:firstRow="1" w:lastRow="0" w:firstColumn="1" w:lastColumn="0" w:noHBand="0" w:noVBand="1"/>
      </w:tblPr>
      <w:tblGrid>
        <w:gridCol w:w="1325"/>
        <w:gridCol w:w="1326"/>
        <w:gridCol w:w="1325"/>
        <w:gridCol w:w="1326"/>
        <w:gridCol w:w="1325"/>
        <w:gridCol w:w="1530"/>
      </w:tblGrid>
      <w:tr w:rsidR="00B82350" w:rsidRPr="00D679BE" w14:paraId="04AA4FDE" w14:textId="77777777" w:rsidTr="001A16DC">
        <w:trPr>
          <w:trHeight w:val="960"/>
        </w:trPr>
        <w:tc>
          <w:tcPr>
            <w:tcW w:w="1325" w:type="dxa"/>
            <w:vMerge w:val="restart"/>
            <w:shd w:val="clear" w:color="000000" w:fill="DBE5F1"/>
            <w:noWrap/>
            <w:vAlign w:val="center"/>
            <w:hideMark/>
          </w:tcPr>
          <w:p w14:paraId="56A98950" w14:textId="77777777" w:rsidR="00B82350" w:rsidRPr="00D679BE" w:rsidRDefault="00B82350">
            <w:pPr>
              <w:jc w:val="center"/>
              <w:rPr>
                <w:b/>
                <w:bCs/>
                <w:color w:val="000000"/>
                <w:szCs w:val="18"/>
              </w:rPr>
            </w:pPr>
            <w:r w:rsidRPr="00D679BE">
              <w:rPr>
                <w:b/>
                <w:bCs/>
                <w:color w:val="000000"/>
                <w:szCs w:val="18"/>
              </w:rPr>
              <w:t>Aanvraag</w:t>
            </w:r>
          </w:p>
        </w:tc>
        <w:tc>
          <w:tcPr>
            <w:tcW w:w="1326" w:type="dxa"/>
            <w:vMerge w:val="restart"/>
            <w:shd w:val="clear" w:color="000000" w:fill="DBE5F1"/>
            <w:vAlign w:val="center"/>
            <w:hideMark/>
          </w:tcPr>
          <w:p w14:paraId="4105B587" w14:textId="77777777" w:rsidR="00B82350" w:rsidRPr="00D679BE" w:rsidRDefault="00B82350">
            <w:pPr>
              <w:jc w:val="center"/>
              <w:rPr>
                <w:b/>
                <w:bCs/>
                <w:color w:val="000000"/>
                <w:szCs w:val="18"/>
              </w:rPr>
            </w:pPr>
            <w:r w:rsidRPr="00D679BE">
              <w:rPr>
                <w:b/>
                <w:bCs/>
                <w:color w:val="000000"/>
                <w:szCs w:val="18"/>
              </w:rPr>
              <w:t>Aantal uur Initiële inhuur termijn</w:t>
            </w:r>
          </w:p>
        </w:tc>
        <w:tc>
          <w:tcPr>
            <w:tcW w:w="1325" w:type="dxa"/>
            <w:shd w:val="clear" w:color="000000" w:fill="DBE5F1"/>
            <w:vAlign w:val="center"/>
            <w:hideMark/>
          </w:tcPr>
          <w:p w14:paraId="1311D25D" w14:textId="65CFDE74" w:rsidR="00B82350" w:rsidRPr="00D679BE" w:rsidRDefault="00B82350">
            <w:pPr>
              <w:jc w:val="center"/>
              <w:rPr>
                <w:b/>
                <w:bCs/>
                <w:color w:val="000000"/>
                <w:szCs w:val="18"/>
              </w:rPr>
            </w:pPr>
            <w:r w:rsidRPr="00D679BE">
              <w:rPr>
                <w:b/>
                <w:bCs/>
                <w:color w:val="000000"/>
                <w:szCs w:val="18"/>
              </w:rPr>
              <w:t>Tarief opdracht</w:t>
            </w:r>
            <w:r w:rsidR="001A16DC">
              <w:rPr>
                <w:b/>
                <w:bCs/>
                <w:color w:val="000000"/>
                <w:szCs w:val="18"/>
              </w:rPr>
              <w:t>-</w:t>
            </w:r>
            <w:r w:rsidRPr="00D679BE">
              <w:rPr>
                <w:b/>
                <w:bCs/>
                <w:color w:val="000000"/>
                <w:szCs w:val="18"/>
              </w:rPr>
              <w:t>nemer</w:t>
            </w:r>
          </w:p>
        </w:tc>
        <w:tc>
          <w:tcPr>
            <w:tcW w:w="1326" w:type="dxa"/>
            <w:vMerge w:val="restart"/>
            <w:shd w:val="clear" w:color="000000" w:fill="DBE5F1"/>
            <w:noWrap/>
            <w:vAlign w:val="center"/>
            <w:hideMark/>
          </w:tcPr>
          <w:p w14:paraId="3B6E2AEA" w14:textId="77777777" w:rsidR="000A5FE5" w:rsidRDefault="000A5FE5">
            <w:pPr>
              <w:jc w:val="center"/>
              <w:rPr>
                <w:b/>
                <w:bCs/>
                <w:color w:val="000000"/>
                <w:szCs w:val="18"/>
              </w:rPr>
            </w:pPr>
            <w:r>
              <w:rPr>
                <w:b/>
                <w:bCs/>
                <w:color w:val="000000"/>
                <w:szCs w:val="18"/>
              </w:rPr>
              <w:t>Salaris</w:t>
            </w:r>
          </w:p>
          <w:p w14:paraId="2DBFF6DA" w14:textId="14F2A344" w:rsidR="00B82350" w:rsidRPr="00D679BE" w:rsidRDefault="000A5FE5">
            <w:pPr>
              <w:jc w:val="center"/>
              <w:rPr>
                <w:b/>
                <w:bCs/>
                <w:color w:val="000000"/>
                <w:szCs w:val="18"/>
              </w:rPr>
            </w:pPr>
            <w:r>
              <w:rPr>
                <w:b/>
                <w:bCs/>
                <w:color w:val="000000"/>
                <w:szCs w:val="18"/>
              </w:rPr>
              <w:t>schaal Rijk</w:t>
            </w:r>
          </w:p>
        </w:tc>
        <w:tc>
          <w:tcPr>
            <w:tcW w:w="1325" w:type="dxa"/>
            <w:vMerge w:val="restart"/>
            <w:shd w:val="clear" w:color="000000" w:fill="DBE5F1"/>
            <w:vAlign w:val="center"/>
            <w:hideMark/>
          </w:tcPr>
          <w:p w14:paraId="386DE475" w14:textId="77777777" w:rsidR="00B82350" w:rsidRPr="00D679BE" w:rsidRDefault="00B82350">
            <w:pPr>
              <w:jc w:val="right"/>
              <w:rPr>
                <w:b/>
                <w:bCs/>
                <w:color w:val="000000"/>
                <w:szCs w:val="18"/>
              </w:rPr>
            </w:pPr>
            <w:r w:rsidRPr="00D679BE">
              <w:rPr>
                <w:b/>
                <w:bCs/>
                <w:color w:val="000000"/>
                <w:szCs w:val="18"/>
              </w:rPr>
              <w:t>Initiële Inhuur bedrag</w:t>
            </w:r>
          </w:p>
        </w:tc>
        <w:tc>
          <w:tcPr>
            <w:tcW w:w="1530" w:type="dxa"/>
            <w:vMerge w:val="restart"/>
            <w:shd w:val="clear" w:color="000000" w:fill="DBE5F1"/>
            <w:vAlign w:val="center"/>
            <w:hideMark/>
          </w:tcPr>
          <w:p w14:paraId="6AE23F7B" w14:textId="77777777" w:rsidR="00B82350" w:rsidRPr="00D679BE" w:rsidRDefault="00B82350">
            <w:pPr>
              <w:jc w:val="center"/>
              <w:rPr>
                <w:b/>
                <w:bCs/>
                <w:color w:val="000000"/>
                <w:szCs w:val="18"/>
              </w:rPr>
            </w:pPr>
            <w:r w:rsidRPr="00D679BE">
              <w:rPr>
                <w:b/>
                <w:bCs/>
                <w:color w:val="000000"/>
                <w:szCs w:val="18"/>
              </w:rPr>
              <w:t>Uitgerekend gemiddeld ta</w:t>
            </w:r>
            <w:r w:rsidRPr="00D679BE">
              <w:rPr>
                <w:b/>
                <w:bCs/>
                <w:i/>
                <w:iCs/>
                <w:color w:val="000000"/>
                <w:szCs w:val="18"/>
              </w:rPr>
              <w:t>r</w:t>
            </w:r>
            <w:r w:rsidRPr="00D679BE">
              <w:rPr>
                <w:b/>
                <w:bCs/>
                <w:color w:val="000000"/>
                <w:szCs w:val="18"/>
              </w:rPr>
              <w:t>ief</w:t>
            </w:r>
          </w:p>
        </w:tc>
      </w:tr>
      <w:tr w:rsidR="00B82350" w:rsidRPr="00D679BE" w14:paraId="2D06B51B" w14:textId="77777777" w:rsidTr="001A16DC">
        <w:trPr>
          <w:trHeight w:val="315"/>
        </w:trPr>
        <w:tc>
          <w:tcPr>
            <w:tcW w:w="1325" w:type="dxa"/>
            <w:vMerge/>
            <w:vAlign w:val="center"/>
            <w:hideMark/>
          </w:tcPr>
          <w:p w14:paraId="14C6A6A2" w14:textId="77777777" w:rsidR="00B82350" w:rsidRPr="00D679BE" w:rsidRDefault="00B82350">
            <w:pPr>
              <w:rPr>
                <w:b/>
                <w:bCs/>
                <w:color w:val="000000"/>
                <w:szCs w:val="18"/>
              </w:rPr>
            </w:pPr>
          </w:p>
        </w:tc>
        <w:tc>
          <w:tcPr>
            <w:tcW w:w="1326" w:type="dxa"/>
            <w:vMerge/>
            <w:vAlign w:val="center"/>
            <w:hideMark/>
          </w:tcPr>
          <w:p w14:paraId="23F3440F" w14:textId="77777777" w:rsidR="00B82350" w:rsidRPr="00D679BE" w:rsidRDefault="00B82350">
            <w:pPr>
              <w:rPr>
                <w:b/>
                <w:bCs/>
                <w:color w:val="000000"/>
                <w:szCs w:val="18"/>
              </w:rPr>
            </w:pPr>
          </w:p>
        </w:tc>
        <w:tc>
          <w:tcPr>
            <w:tcW w:w="1325" w:type="dxa"/>
            <w:shd w:val="clear" w:color="000000" w:fill="DBE5F1"/>
            <w:vAlign w:val="center"/>
            <w:hideMark/>
          </w:tcPr>
          <w:p w14:paraId="4686B78F" w14:textId="77777777" w:rsidR="00B82350" w:rsidRPr="00D679BE" w:rsidRDefault="00B82350">
            <w:pPr>
              <w:jc w:val="center"/>
              <w:rPr>
                <w:b/>
                <w:bCs/>
                <w:color w:val="000000"/>
                <w:szCs w:val="18"/>
              </w:rPr>
            </w:pPr>
            <w:r w:rsidRPr="00D679BE">
              <w:rPr>
                <w:b/>
                <w:bCs/>
                <w:color w:val="000000"/>
                <w:szCs w:val="18"/>
              </w:rPr>
              <w:t>excl. BTW</w:t>
            </w:r>
          </w:p>
        </w:tc>
        <w:tc>
          <w:tcPr>
            <w:tcW w:w="1326" w:type="dxa"/>
            <w:vMerge/>
            <w:vAlign w:val="center"/>
            <w:hideMark/>
          </w:tcPr>
          <w:p w14:paraId="393CC70F" w14:textId="77777777" w:rsidR="00B82350" w:rsidRPr="00D679BE" w:rsidRDefault="00B82350">
            <w:pPr>
              <w:rPr>
                <w:b/>
                <w:bCs/>
                <w:color w:val="000000"/>
                <w:szCs w:val="18"/>
              </w:rPr>
            </w:pPr>
          </w:p>
        </w:tc>
        <w:tc>
          <w:tcPr>
            <w:tcW w:w="1325" w:type="dxa"/>
            <w:vMerge/>
            <w:vAlign w:val="center"/>
            <w:hideMark/>
          </w:tcPr>
          <w:p w14:paraId="6BAD69AE" w14:textId="77777777" w:rsidR="00B82350" w:rsidRPr="00D679BE" w:rsidRDefault="00B82350">
            <w:pPr>
              <w:rPr>
                <w:b/>
                <w:bCs/>
                <w:color w:val="000000"/>
                <w:szCs w:val="18"/>
              </w:rPr>
            </w:pPr>
          </w:p>
        </w:tc>
        <w:tc>
          <w:tcPr>
            <w:tcW w:w="1530" w:type="dxa"/>
            <w:vMerge/>
            <w:vAlign w:val="center"/>
            <w:hideMark/>
          </w:tcPr>
          <w:p w14:paraId="76BC333D" w14:textId="77777777" w:rsidR="00B82350" w:rsidRPr="00D679BE" w:rsidRDefault="00B82350">
            <w:pPr>
              <w:rPr>
                <w:b/>
                <w:bCs/>
                <w:color w:val="000000"/>
                <w:szCs w:val="18"/>
              </w:rPr>
            </w:pPr>
          </w:p>
        </w:tc>
      </w:tr>
      <w:tr w:rsidR="00B82350" w:rsidRPr="00D679BE" w14:paraId="46E87F31" w14:textId="77777777" w:rsidTr="001A16DC">
        <w:trPr>
          <w:trHeight w:val="315"/>
        </w:trPr>
        <w:tc>
          <w:tcPr>
            <w:tcW w:w="1325" w:type="dxa"/>
            <w:noWrap/>
            <w:vAlign w:val="center"/>
            <w:hideMark/>
          </w:tcPr>
          <w:p w14:paraId="755E8FB7" w14:textId="77777777" w:rsidR="00B82350" w:rsidRPr="00D679BE" w:rsidRDefault="00B82350">
            <w:pPr>
              <w:jc w:val="center"/>
              <w:rPr>
                <w:b/>
                <w:bCs/>
                <w:color w:val="000000"/>
                <w:szCs w:val="18"/>
              </w:rPr>
            </w:pPr>
            <w:r w:rsidRPr="00D679BE">
              <w:rPr>
                <w:b/>
                <w:bCs/>
                <w:color w:val="000000"/>
                <w:szCs w:val="18"/>
              </w:rPr>
              <w:t>1</w:t>
            </w:r>
          </w:p>
        </w:tc>
        <w:tc>
          <w:tcPr>
            <w:tcW w:w="1326" w:type="dxa"/>
            <w:noWrap/>
            <w:vAlign w:val="center"/>
            <w:hideMark/>
          </w:tcPr>
          <w:p w14:paraId="47BC678D" w14:textId="77777777" w:rsidR="00B82350" w:rsidRPr="00D679BE" w:rsidRDefault="00B82350">
            <w:pPr>
              <w:jc w:val="center"/>
              <w:rPr>
                <w:color w:val="000000"/>
                <w:szCs w:val="18"/>
              </w:rPr>
            </w:pPr>
            <w:r w:rsidRPr="00D679BE">
              <w:rPr>
                <w:color w:val="000000"/>
                <w:szCs w:val="18"/>
              </w:rPr>
              <w:t>300</w:t>
            </w:r>
          </w:p>
        </w:tc>
        <w:tc>
          <w:tcPr>
            <w:tcW w:w="1325" w:type="dxa"/>
            <w:noWrap/>
            <w:vAlign w:val="center"/>
            <w:hideMark/>
          </w:tcPr>
          <w:p w14:paraId="21DD60AB" w14:textId="7262775F" w:rsidR="00B82350" w:rsidRPr="00D679BE" w:rsidRDefault="00B82350">
            <w:pPr>
              <w:jc w:val="center"/>
              <w:rPr>
                <w:color w:val="000000"/>
                <w:szCs w:val="18"/>
              </w:rPr>
            </w:pPr>
            <w:r w:rsidRPr="00D679BE">
              <w:rPr>
                <w:color w:val="000000"/>
                <w:szCs w:val="18"/>
              </w:rPr>
              <w:t>€ 5</w:t>
            </w:r>
            <w:r w:rsidR="003E3A5F">
              <w:rPr>
                <w:color w:val="000000"/>
                <w:szCs w:val="18"/>
              </w:rPr>
              <w:t>4</w:t>
            </w:r>
          </w:p>
        </w:tc>
        <w:tc>
          <w:tcPr>
            <w:tcW w:w="1326" w:type="dxa"/>
            <w:noWrap/>
            <w:vAlign w:val="center"/>
            <w:hideMark/>
          </w:tcPr>
          <w:p w14:paraId="44D24ECC" w14:textId="77777777" w:rsidR="00B82350" w:rsidRPr="00D679BE" w:rsidRDefault="00B82350">
            <w:pPr>
              <w:jc w:val="center"/>
              <w:rPr>
                <w:color w:val="000000"/>
                <w:szCs w:val="18"/>
              </w:rPr>
            </w:pPr>
            <w:r w:rsidRPr="00D679BE">
              <w:rPr>
                <w:color w:val="000000"/>
                <w:szCs w:val="18"/>
              </w:rPr>
              <w:t>8</w:t>
            </w:r>
          </w:p>
        </w:tc>
        <w:tc>
          <w:tcPr>
            <w:tcW w:w="1325" w:type="dxa"/>
            <w:noWrap/>
            <w:vAlign w:val="center"/>
            <w:hideMark/>
          </w:tcPr>
          <w:p w14:paraId="5325B74F" w14:textId="2EE34CF6" w:rsidR="00B82350" w:rsidRPr="00D679BE" w:rsidRDefault="00B82350">
            <w:pPr>
              <w:jc w:val="right"/>
              <w:rPr>
                <w:color w:val="000000"/>
                <w:szCs w:val="18"/>
              </w:rPr>
            </w:pPr>
            <w:r w:rsidRPr="00D679BE">
              <w:rPr>
                <w:color w:val="000000"/>
                <w:szCs w:val="18"/>
              </w:rPr>
              <w:t>€ 1</w:t>
            </w:r>
            <w:r w:rsidR="003E3A5F">
              <w:rPr>
                <w:color w:val="000000"/>
                <w:szCs w:val="18"/>
              </w:rPr>
              <w:t>6</w:t>
            </w:r>
            <w:r w:rsidRPr="00D679BE">
              <w:rPr>
                <w:color w:val="000000"/>
                <w:szCs w:val="18"/>
              </w:rPr>
              <w:t>.</w:t>
            </w:r>
            <w:r w:rsidR="003E3A5F">
              <w:rPr>
                <w:color w:val="000000"/>
                <w:szCs w:val="18"/>
              </w:rPr>
              <w:t>2</w:t>
            </w:r>
            <w:r w:rsidRPr="00D679BE">
              <w:rPr>
                <w:color w:val="000000"/>
                <w:szCs w:val="18"/>
              </w:rPr>
              <w:t>00</w:t>
            </w:r>
          </w:p>
        </w:tc>
        <w:tc>
          <w:tcPr>
            <w:tcW w:w="1530" w:type="dxa"/>
            <w:noWrap/>
            <w:hideMark/>
          </w:tcPr>
          <w:p w14:paraId="68F62B50" w14:textId="77777777" w:rsidR="00B82350" w:rsidRPr="00D679BE" w:rsidRDefault="00B82350">
            <w:pPr>
              <w:rPr>
                <w:color w:val="000000"/>
                <w:sz w:val="22"/>
                <w:szCs w:val="22"/>
              </w:rPr>
            </w:pPr>
            <w:r w:rsidRPr="00D679BE">
              <w:rPr>
                <w:color w:val="000000"/>
                <w:sz w:val="22"/>
                <w:szCs w:val="22"/>
              </w:rPr>
              <w:t> </w:t>
            </w:r>
          </w:p>
        </w:tc>
      </w:tr>
      <w:tr w:rsidR="00B82350" w:rsidRPr="00D679BE" w14:paraId="23C24EB6" w14:textId="77777777" w:rsidTr="001A16DC">
        <w:trPr>
          <w:trHeight w:val="315"/>
        </w:trPr>
        <w:tc>
          <w:tcPr>
            <w:tcW w:w="1325" w:type="dxa"/>
            <w:noWrap/>
            <w:vAlign w:val="center"/>
            <w:hideMark/>
          </w:tcPr>
          <w:p w14:paraId="6064608D" w14:textId="77777777" w:rsidR="00B82350" w:rsidRPr="00D679BE" w:rsidRDefault="00B82350">
            <w:pPr>
              <w:jc w:val="center"/>
              <w:rPr>
                <w:b/>
                <w:bCs/>
                <w:color w:val="000000"/>
                <w:szCs w:val="18"/>
              </w:rPr>
            </w:pPr>
            <w:r w:rsidRPr="00D679BE">
              <w:rPr>
                <w:b/>
                <w:bCs/>
                <w:color w:val="000000"/>
                <w:szCs w:val="18"/>
              </w:rPr>
              <w:t>2</w:t>
            </w:r>
          </w:p>
        </w:tc>
        <w:tc>
          <w:tcPr>
            <w:tcW w:w="1326" w:type="dxa"/>
            <w:noWrap/>
            <w:vAlign w:val="center"/>
            <w:hideMark/>
          </w:tcPr>
          <w:p w14:paraId="05D8F4B1" w14:textId="77777777" w:rsidR="00B82350" w:rsidRPr="00D679BE" w:rsidRDefault="00B82350">
            <w:pPr>
              <w:jc w:val="center"/>
              <w:rPr>
                <w:color w:val="000000"/>
                <w:szCs w:val="18"/>
              </w:rPr>
            </w:pPr>
            <w:r w:rsidRPr="00D679BE">
              <w:rPr>
                <w:color w:val="000000"/>
                <w:szCs w:val="18"/>
              </w:rPr>
              <w:t>50</w:t>
            </w:r>
          </w:p>
        </w:tc>
        <w:tc>
          <w:tcPr>
            <w:tcW w:w="1325" w:type="dxa"/>
            <w:noWrap/>
            <w:vAlign w:val="center"/>
            <w:hideMark/>
          </w:tcPr>
          <w:p w14:paraId="6F2FDA41" w14:textId="650BA0CF" w:rsidR="00B82350" w:rsidRPr="00D679BE" w:rsidRDefault="00B82350">
            <w:pPr>
              <w:jc w:val="center"/>
              <w:rPr>
                <w:color w:val="000000"/>
                <w:szCs w:val="18"/>
              </w:rPr>
            </w:pPr>
            <w:r w:rsidRPr="00D679BE">
              <w:rPr>
                <w:color w:val="000000"/>
                <w:szCs w:val="18"/>
              </w:rPr>
              <w:t>€ 8</w:t>
            </w:r>
            <w:r w:rsidR="003E3A5F">
              <w:rPr>
                <w:color w:val="000000"/>
                <w:szCs w:val="18"/>
              </w:rPr>
              <w:t>8</w:t>
            </w:r>
          </w:p>
        </w:tc>
        <w:tc>
          <w:tcPr>
            <w:tcW w:w="1326" w:type="dxa"/>
            <w:noWrap/>
            <w:vAlign w:val="center"/>
            <w:hideMark/>
          </w:tcPr>
          <w:p w14:paraId="19D4D30C" w14:textId="77777777" w:rsidR="00B82350" w:rsidRPr="00D679BE" w:rsidRDefault="00B82350">
            <w:pPr>
              <w:jc w:val="center"/>
              <w:rPr>
                <w:color w:val="000000"/>
                <w:szCs w:val="18"/>
              </w:rPr>
            </w:pPr>
            <w:r w:rsidRPr="00D679BE">
              <w:rPr>
                <w:color w:val="000000"/>
                <w:szCs w:val="18"/>
              </w:rPr>
              <w:t>11</w:t>
            </w:r>
          </w:p>
        </w:tc>
        <w:tc>
          <w:tcPr>
            <w:tcW w:w="1325" w:type="dxa"/>
            <w:noWrap/>
            <w:vAlign w:val="center"/>
            <w:hideMark/>
          </w:tcPr>
          <w:p w14:paraId="14B12856" w14:textId="4306A192" w:rsidR="00B82350" w:rsidRPr="00D679BE" w:rsidRDefault="00B82350">
            <w:pPr>
              <w:jc w:val="right"/>
              <w:rPr>
                <w:color w:val="000000"/>
                <w:szCs w:val="18"/>
              </w:rPr>
            </w:pPr>
            <w:r w:rsidRPr="00D679BE">
              <w:rPr>
                <w:color w:val="000000"/>
                <w:szCs w:val="18"/>
              </w:rPr>
              <w:t>€ 4.</w:t>
            </w:r>
            <w:r w:rsidR="003E3A5F">
              <w:rPr>
                <w:color w:val="000000"/>
                <w:szCs w:val="18"/>
              </w:rPr>
              <w:t>40</w:t>
            </w:r>
            <w:r w:rsidRPr="00D679BE">
              <w:rPr>
                <w:color w:val="000000"/>
                <w:szCs w:val="18"/>
              </w:rPr>
              <w:t>0</w:t>
            </w:r>
          </w:p>
        </w:tc>
        <w:tc>
          <w:tcPr>
            <w:tcW w:w="1530" w:type="dxa"/>
            <w:noWrap/>
            <w:hideMark/>
          </w:tcPr>
          <w:p w14:paraId="6B652ED3" w14:textId="77777777" w:rsidR="00B82350" w:rsidRPr="00D679BE" w:rsidRDefault="00B82350">
            <w:pPr>
              <w:rPr>
                <w:color w:val="000000"/>
                <w:sz w:val="22"/>
                <w:szCs w:val="22"/>
              </w:rPr>
            </w:pPr>
            <w:r w:rsidRPr="00D679BE">
              <w:rPr>
                <w:color w:val="000000"/>
                <w:sz w:val="22"/>
                <w:szCs w:val="22"/>
              </w:rPr>
              <w:t> </w:t>
            </w:r>
          </w:p>
        </w:tc>
      </w:tr>
      <w:tr w:rsidR="00B82350" w:rsidRPr="00D679BE" w14:paraId="31A2F4B4" w14:textId="77777777" w:rsidTr="001A16DC">
        <w:trPr>
          <w:trHeight w:val="315"/>
        </w:trPr>
        <w:tc>
          <w:tcPr>
            <w:tcW w:w="1325" w:type="dxa"/>
            <w:noWrap/>
            <w:vAlign w:val="center"/>
            <w:hideMark/>
          </w:tcPr>
          <w:p w14:paraId="705271E8" w14:textId="77777777" w:rsidR="00B82350" w:rsidRPr="00D679BE" w:rsidRDefault="00B82350">
            <w:pPr>
              <w:jc w:val="center"/>
              <w:rPr>
                <w:b/>
                <w:bCs/>
                <w:color w:val="000000"/>
                <w:szCs w:val="18"/>
              </w:rPr>
            </w:pPr>
            <w:r w:rsidRPr="00D679BE">
              <w:rPr>
                <w:b/>
                <w:bCs/>
                <w:color w:val="000000"/>
                <w:szCs w:val="18"/>
              </w:rPr>
              <w:t>3</w:t>
            </w:r>
          </w:p>
        </w:tc>
        <w:tc>
          <w:tcPr>
            <w:tcW w:w="1326" w:type="dxa"/>
            <w:noWrap/>
            <w:vAlign w:val="center"/>
            <w:hideMark/>
          </w:tcPr>
          <w:p w14:paraId="25E8D0A9" w14:textId="77777777" w:rsidR="00B82350" w:rsidRPr="00D679BE" w:rsidRDefault="00B82350">
            <w:pPr>
              <w:jc w:val="center"/>
              <w:rPr>
                <w:color w:val="000000"/>
                <w:szCs w:val="18"/>
              </w:rPr>
            </w:pPr>
            <w:r w:rsidRPr="00D679BE">
              <w:rPr>
                <w:color w:val="000000"/>
                <w:szCs w:val="18"/>
              </w:rPr>
              <w:t>800</w:t>
            </w:r>
          </w:p>
        </w:tc>
        <w:tc>
          <w:tcPr>
            <w:tcW w:w="1325" w:type="dxa"/>
            <w:noWrap/>
            <w:vAlign w:val="center"/>
            <w:hideMark/>
          </w:tcPr>
          <w:p w14:paraId="6F99B524" w14:textId="014AA1D1" w:rsidR="00B82350" w:rsidRPr="00D679BE" w:rsidRDefault="00B82350">
            <w:pPr>
              <w:jc w:val="center"/>
              <w:rPr>
                <w:color w:val="000000"/>
                <w:szCs w:val="18"/>
              </w:rPr>
            </w:pPr>
            <w:r w:rsidRPr="00D679BE">
              <w:rPr>
                <w:color w:val="000000"/>
                <w:szCs w:val="18"/>
              </w:rPr>
              <w:t xml:space="preserve">€ </w:t>
            </w:r>
            <w:r w:rsidR="003E3A5F">
              <w:rPr>
                <w:color w:val="000000"/>
                <w:szCs w:val="18"/>
              </w:rPr>
              <w:t>71</w:t>
            </w:r>
          </w:p>
        </w:tc>
        <w:tc>
          <w:tcPr>
            <w:tcW w:w="1326" w:type="dxa"/>
            <w:noWrap/>
            <w:vAlign w:val="center"/>
            <w:hideMark/>
          </w:tcPr>
          <w:p w14:paraId="76C7066F" w14:textId="77777777" w:rsidR="00B82350" w:rsidRPr="00D679BE" w:rsidRDefault="00B82350">
            <w:pPr>
              <w:jc w:val="center"/>
              <w:rPr>
                <w:color w:val="000000"/>
                <w:szCs w:val="18"/>
              </w:rPr>
            </w:pPr>
            <w:r w:rsidRPr="00D679BE">
              <w:rPr>
                <w:color w:val="000000"/>
                <w:szCs w:val="18"/>
              </w:rPr>
              <w:t>10</w:t>
            </w:r>
          </w:p>
        </w:tc>
        <w:tc>
          <w:tcPr>
            <w:tcW w:w="1325" w:type="dxa"/>
            <w:noWrap/>
            <w:vAlign w:val="center"/>
            <w:hideMark/>
          </w:tcPr>
          <w:p w14:paraId="4C4EC0CB" w14:textId="72DCA069" w:rsidR="00B82350" w:rsidRPr="00D679BE" w:rsidRDefault="00B82350">
            <w:pPr>
              <w:jc w:val="right"/>
              <w:rPr>
                <w:color w:val="000000"/>
                <w:szCs w:val="18"/>
              </w:rPr>
            </w:pPr>
            <w:r w:rsidRPr="00D679BE">
              <w:rPr>
                <w:color w:val="000000"/>
                <w:szCs w:val="18"/>
              </w:rPr>
              <w:t>€ 5</w:t>
            </w:r>
            <w:r w:rsidR="003E3A5F">
              <w:rPr>
                <w:color w:val="000000"/>
                <w:szCs w:val="18"/>
              </w:rPr>
              <w:t>6</w:t>
            </w:r>
            <w:r w:rsidRPr="00D679BE">
              <w:rPr>
                <w:color w:val="000000"/>
                <w:szCs w:val="18"/>
              </w:rPr>
              <w:t>.</w:t>
            </w:r>
            <w:r w:rsidR="003E3A5F">
              <w:rPr>
                <w:color w:val="000000"/>
                <w:szCs w:val="18"/>
              </w:rPr>
              <w:t>8</w:t>
            </w:r>
            <w:r w:rsidRPr="00D679BE">
              <w:rPr>
                <w:color w:val="000000"/>
                <w:szCs w:val="18"/>
              </w:rPr>
              <w:t>00</w:t>
            </w:r>
          </w:p>
        </w:tc>
        <w:tc>
          <w:tcPr>
            <w:tcW w:w="1530" w:type="dxa"/>
            <w:noWrap/>
            <w:hideMark/>
          </w:tcPr>
          <w:p w14:paraId="0446F7F4" w14:textId="77777777" w:rsidR="00B82350" w:rsidRPr="00D679BE" w:rsidRDefault="00B82350">
            <w:pPr>
              <w:rPr>
                <w:color w:val="000000"/>
                <w:sz w:val="22"/>
                <w:szCs w:val="22"/>
              </w:rPr>
            </w:pPr>
            <w:r w:rsidRPr="00D679BE">
              <w:rPr>
                <w:color w:val="000000"/>
                <w:sz w:val="22"/>
                <w:szCs w:val="22"/>
              </w:rPr>
              <w:t> </w:t>
            </w:r>
          </w:p>
        </w:tc>
      </w:tr>
      <w:tr w:rsidR="00B82350" w:rsidRPr="00D679BE" w14:paraId="5486788E" w14:textId="77777777" w:rsidTr="001A16DC">
        <w:trPr>
          <w:trHeight w:val="315"/>
        </w:trPr>
        <w:tc>
          <w:tcPr>
            <w:tcW w:w="1325" w:type="dxa"/>
            <w:noWrap/>
            <w:vAlign w:val="center"/>
            <w:hideMark/>
          </w:tcPr>
          <w:p w14:paraId="5392658C" w14:textId="77777777" w:rsidR="00B82350" w:rsidRPr="00D679BE" w:rsidRDefault="00B82350">
            <w:pPr>
              <w:jc w:val="center"/>
              <w:rPr>
                <w:b/>
                <w:bCs/>
                <w:color w:val="000000"/>
                <w:szCs w:val="18"/>
              </w:rPr>
            </w:pPr>
            <w:r w:rsidRPr="00D679BE">
              <w:rPr>
                <w:b/>
                <w:bCs/>
                <w:color w:val="000000"/>
                <w:szCs w:val="18"/>
              </w:rPr>
              <w:t>4</w:t>
            </w:r>
          </w:p>
        </w:tc>
        <w:tc>
          <w:tcPr>
            <w:tcW w:w="1326" w:type="dxa"/>
            <w:noWrap/>
            <w:vAlign w:val="center"/>
            <w:hideMark/>
          </w:tcPr>
          <w:p w14:paraId="324E82A1" w14:textId="77777777" w:rsidR="00B82350" w:rsidRPr="00D679BE" w:rsidRDefault="00B82350">
            <w:pPr>
              <w:jc w:val="center"/>
              <w:rPr>
                <w:color w:val="000000"/>
                <w:szCs w:val="18"/>
              </w:rPr>
            </w:pPr>
            <w:r w:rsidRPr="00D679BE">
              <w:rPr>
                <w:color w:val="000000"/>
                <w:szCs w:val="18"/>
              </w:rPr>
              <w:t>1600</w:t>
            </w:r>
          </w:p>
        </w:tc>
        <w:tc>
          <w:tcPr>
            <w:tcW w:w="1325" w:type="dxa"/>
            <w:noWrap/>
            <w:vAlign w:val="center"/>
            <w:hideMark/>
          </w:tcPr>
          <w:p w14:paraId="08F61B01" w14:textId="48BAAFE8" w:rsidR="00B82350" w:rsidRPr="00D679BE" w:rsidRDefault="00B82350">
            <w:pPr>
              <w:jc w:val="center"/>
              <w:rPr>
                <w:color w:val="000000"/>
                <w:szCs w:val="18"/>
              </w:rPr>
            </w:pPr>
            <w:r w:rsidRPr="00D679BE">
              <w:rPr>
                <w:color w:val="000000"/>
                <w:szCs w:val="18"/>
              </w:rPr>
              <w:t>€ 7</w:t>
            </w:r>
            <w:r w:rsidR="003E3A5F">
              <w:rPr>
                <w:color w:val="000000"/>
                <w:szCs w:val="18"/>
              </w:rPr>
              <w:t>9</w:t>
            </w:r>
          </w:p>
        </w:tc>
        <w:tc>
          <w:tcPr>
            <w:tcW w:w="1326" w:type="dxa"/>
            <w:noWrap/>
            <w:vAlign w:val="center"/>
            <w:hideMark/>
          </w:tcPr>
          <w:p w14:paraId="6476B7E6" w14:textId="77777777" w:rsidR="00B82350" w:rsidRPr="00D679BE" w:rsidRDefault="00B82350">
            <w:pPr>
              <w:jc w:val="center"/>
              <w:rPr>
                <w:color w:val="000000"/>
                <w:szCs w:val="18"/>
              </w:rPr>
            </w:pPr>
            <w:r w:rsidRPr="00D679BE">
              <w:rPr>
                <w:color w:val="000000"/>
                <w:szCs w:val="18"/>
              </w:rPr>
              <w:t>11</w:t>
            </w:r>
          </w:p>
        </w:tc>
        <w:tc>
          <w:tcPr>
            <w:tcW w:w="1325" w:type="dxa"/>
            <w:noWrap/>
            <w:vAlign w:val="center"/>
            <w:hideMark/>
          </w:tcPr>
          <w:p w14:paraId="3979D7C9" w14:textId="31C20B6A" w:rsidR="00B82350" w:rsidRPr="00D679BE" w:rsidRDefault="00B82350">
            <w:pPr>
              <w:jc w:val="right"/>
              <w:rPr>
                <w:color w:val="000000"/>
                <w:szCs w:val="18"/>
              </w:rPr>
            </w:pPr>
            <w:r w:rsidRPr="00D679BE">
              <w:rPr>
                <w:color w:val="000000"/>
                <w:szCs w:val="18"/>
              </w:rPr>
              <w:t>€ 1</w:t>
            </w:r>
            <w:r w:rsidR="008C259D" w:rsidRPr="00D679BE">
              <w:rPr>
                <w:color w:val="000000"/>
                <w:szCs w:val="18"/>
              </w:rPr>
              <w:t>2</w:t>
            </w:r>
            <w:r w:rsidR="003E3A5F">
              <w:rPr>
                <w:color w:val="000000"/>
                <w:szCs w:val="18"/>
              </w:rPr>
              <w:t>6</w:t>
            </w:r>
            <w:r w:rsidRPr="00D679BE">
              <w:rPr>
                <w:color w:val="000000"/>
                <w:szCs w:val="18"/>
              </w:rPr>
              <w:t>.</w:t>
            </w:r>
            <w:r w:rsidR="003E3A5F">
              <w:rPr>
                <w:color w:val="000000"/>
                <w:szCs w:val="18"/>
              </w:rPr>
              <w:t>4</w:t>
            </w:r>
            <w:r w:rsidRPr="00D679BE">
              <w:rPr>
                <w:color w:val="000000"/>
                <w:szCs w:val="18"/>
              </w:rPr>
              <w:t>00</w:t>
            </w:r>
          </w:p>
        </w:tc>
        <w:tc>
          <w:tcPr>
            <w:tcW w:w="1530" w:type="dxa"/>
            <w:noWrap/>
            <w:hideMark/>
          </w:tcPr>
          <w:p w14:paraId="1257FCB5" w14:textId="77777777" w:rsidR="00B82350" w:rsidRPr="00D679BE" w:rsidRDefault="00B82350">
            <w:pPr>
              <w:rPr>
                <w:color w:val="000000"/>
                <w:sz w:val="22"/>
                <w:szCs w:val="22"/>
              </w:rPr>
            </w:pPr>
            <w:r w:rsidRPr="00D679BE">
              <w:rPr>
                <w:color w:val="000000"/>
                <w:sz w:val="22"/>
                <w:szCs w:val="22"/>
              </w:rPr>
              <w:t> </w:t>
            </w:r>
          </w:p>
        </w:tc>
      </w:tr>
      <w:tr w:rsidR="00B82350" w:rsidRPr="00D679BE" w14:paraId="6B8B8241" w14:textId="77777777" w:rsidTr="001A16DC">
        <w:trPr>
          <w:trHeight w:val="315"/>
        </w:trPr>
        <w:tc>
          <w:tcPr>
            <w:tcW w:w="1325" w:type="dxa"/>
            <w:noWrap/>
            <w:vAlign w:val="center"/>
            <w:hideMark/>
          </w:tcPr>
          <w:p w14:paraId="45CBC065" w14:textId="77777777" w:rsidR="00B82350" w:rsidRPr="00D679BE" w:rsidRDefault="00B82350">
            <w:pPr>
              <w:jc w:val="center"/>
              <w:rPr>
                <w:b/>
                <w:bCs/>
                <w:color w:val="000000"/>
                <w:szCs w:val="18"/>
              </w:rPr>
            </w:pPr>
            <w:r w:rsidRPr="00D679BE">
              <w:rPr>
                <w:b/>
                <w:bCs/>
                <w:color w:val="000000"/>
                <w:szCs w:val="18"/>
              </w:rPr>
              <w:t>TOTAAL</w:t>
            </w:r>
          </w:p>
        </w:tc>
        <w:tc>
          <w:tcPr>
            <w:tcW w:w="1326" w:type="dxa"/>
            <w:noWrap/>
            <w:vAlign w:val="center"/>
            <w:hideMark/>
          </w:tcPr>
          <w:p w14:paraId="34A0B03E" w14:textId="77777777" w:rsidR="00B82350" w:rsidRPr="00D679BE" w:rsidRDefault="00B82350">
            <w:pPr>
              <w:jc w:val="center"/>
              <w:rPr>
                <w:b/>
                <w:bCs/>
                <w:color w:val="000000"/>
                <w:szCs w:val="18"/>
              </w:rPr>
            </w:pPr>
            <w:r w:rsidRPr="00D679BE">
              <w:rPr>
                <w:b/>
                <w:bCs/>
                <w:color w:val="000000"/>
                <w:szCs w:val="18"/>
              </w:rPr>
              <w:t>2750</w:t>
            </w:r>
          </w:p>
        </w:tc>
        <w:tc>
          <w:tcPr>
            <w:tcW w:w="1325" w:type="dxa"/>
            <w:noWrap/>
            <w:hideMark/>
          </w:tcPr>
          <w:p w14:paraId="1396144A" w14:textId="77777777" w:rsidR="00B82350" w:rsidRPr="00D679BE" w:rsidRDefault="00B82350">
            <w:pPr>
              <w:rPr>
                <w:color w:val="000000"/>
                <w:sz w:val="22"/>
                <w:szCs w:val="22"/>
              </w:rPr>
            </w:pPr>
            <w:r w:rsidRPr="00D679BE">
              <w:rPr>
                <w:color w:val="000000"/>
                <w:sz w:val="22"/>
                <w:szCs w:val="22"/>
              </w:rPr>
              <w:t> </w:t>
            </w:r>
          </w:p>
        </w:tc>
        <w:tc>
          <w:tcPr>
            <w:tcW w:w="1326" w:type="dxa"/>
            <w:noWrap/>
            <w:hideMark/>
          </w:tcPr>
          <w:p w14:paraId="7F952595" w14:textId="77777777" w:rsidR="00B82350" w:rsidRPr="00D679BE" w:rsidRDefault="00B82350">
            <w:pPr>
              <w:rPr>
                <w:color w:val="000000"/>
                <w:sz w:val="22"/>
                <w:szCs w:val="22"/>
              </w:rPr>
            </w:pPr>
            <w:r w:rsidRPr="00D679BE">
              <w:rPr>
                <w:color w:val="000000"/>
                <w:sz w:val="22"/>
                <w:szCs w:val="22"/>
              </w:rPr>
              <w:t> </w:t>
            </w:r>
          </w:p>
        </w:tc>
        <w:tc>
          <w:tcPr>
            <w:tcW w:w="1325" w:type="dxa"/>
            <w:noWrap/>
            <w:vAlign w:val="center"/>
            <w:hideMark/>
          </w:tcPr>
          <w:p w14:paraId="17CFC901" w14:textId="249D2B8C" w:rsidR="00B82350" w:rsidRPr="00D679BE" w:rsidRDefault="00B82350">
            <w:pPr>
              <w:jc w:val="right"/>
              <w:rPr>
                <w:b/>
                <w:bCs/>
                <w:color w:val="000000"/>
                <w:szCs w:val="18"/>
              </w:rPr>
            </w:pPr>
            <w:r w:rsidRPr="00D679BE">
              <w:rPr>
                <w:b/>
                <w:bCs/>
                <w:color w:val="000000"/>
                <w:szCs w:val="18"/>
              </w:rPr>
              <w:t xml:space="preserve">€ </w:t>
            </w:r>
            <w:r w:rsidR="003E3A5F">
              <w:rPr>
                <w:b/>
                <w:bCs/>
                <w:color w:val="000000"/>
                <w:szCs w:val="18"/>
              </w:rPr>
              <w:t>20</w:t>
            </w:r>
            <w:r w:rsidR="00F71D59">
              <w:rPr>
                <w:b/>
                <w:bCs/>
                <w:color w:val="000000"/>
                <w:szCs w:val="18"/>
              </w:rPr>
              <w:t>3.80</w:t>
            </w:r>
            <w:r w:rsidRPr="00D679BE">
              <w:rPr>
                <w:b/>
                <w:bCs/>
                <w:color w:val="000000"/>
                <w:szCs w:val="18"/>
              </w:rPr>
              <w:t>0</w:t>
            </w:r>
          </w:p>
        </w:tc>
        <w:tc>
          <w:tcPr>
            <w:tcW w:w="1530" w:type="dxa"/>
            <w:noWrap/>
            <w:vAlign w:val="center"/>
            <w:hideMark/>
          </w:tcPr>
          <w:p w14:paraId="195EF937" w14:textId="3D1CDAE4" w:rsidR="00B82350" w:rsidRPr="00D679BE" w:rsidRDefault="00B82350">
            <w:pPr>
              <w:jc w:val="center"/>
              <w:rPr>
                <w:b/>
                <w:bCs/>
                <w:color w:val="000000"/>
                <w:szCs w:val="18"/>
              </w:rPr>
            </w:pPr>
            <w:r w:rsidRPr="00D679BE">
              <w:rPr>
                <w:b/>
                <w:bCs/>
                <w:color w:val="000000"/>
                <w:szCs w:val="18"/>
              </w:rPr>
              <w:t xml:space="preserve">€ </w:t>
            </w:r>
            <w:r w:rsidR="008C259D" w:rsidRPr="00D679BE">
              <w:rPr>
                <w:b/>
                <w:bCs/>
                <w:color w:val="000000"/>
                <w:szCs w:val="18"/>
              </w:rPr>
              <w:t>7</w:t>
            </w:r>
            <w:r w:rsidR="00510560">
              <w:rPr>
                <w:b/>
                <w:bCs/>
                <w:color w:val="000000"/>
                <w:szCs w:val="18"/>
              </w:rPr>
              <w:t>4</w:t>
            </w:r>
            <w:r w:rsidRPr="00D679BE">
              <w:rPr>
                <w:b/>
                <w:bCs/>
                <w:color w:val="000000"/>
                <w:szCs w:val="18"/>
              </w:rPr>
              <w:t>,</w:t>
            </w:r>
            <w:r w:rsidR="00F71D59">
              <w:rPr>
                <w:b/>
                <w:bCs/>
                <w:color w:val="000000"/>
                <w:szCs w:val="18"/>
              </w:rPr>
              <w:t>11</w:t>
            </w:r>
          </w:p>
        </w:tc>
      </w:tr>
    </w:tbl>
    <w:p w14:paraId="46DEA9B0" w14:textId="77777777" w:rsidR="00CD4B52" w:rsidRPr="00D679BE" w:rsidRDefault="00CD4B52" w:rsidP="00CD4B52">
      <w:pPr>
        <w:spacing w:line="240" w:lineRule="auto"/>
        <w:rPr>
          <w:rFonts w:eastAsia="Calibri"/>
        </w:rPr>
      </w:pPr>
    </w:p>
    <w:p w14:paraId="6720A30C" w14:textId="652AA179" w:rsidR="00CD4B52" w:rsidRPr="00D679BE" w:rsidRDefault="00CD4B52" w:rsidP="00CD4B52">
      <w:pPr>
        <w:spacing w:after="200" w:line="276" w:lineRule="auto"/>
        <w:rPr>
          <w:rFonts w:eastAsia="Calibri"/>
        </w:rPr>
      </w:pPr>
      <w:r w:rsidRPr="00D679BE">
        <w:rPr>
          <w:rFonts w:eastAsia="Calibri"/>
        </w:rPr>
        <w:t xml:space="preserve">Als nu dezelfde berekening wordt toegepast voor de geldende </w:t>
      </w:r>
      <w:r w:rsidRPr="00D679BE">
        <w:rPr>
          <w:rFonts w:eastAsia="Calibri"/>
          <w:b/>
        </w:rPr>
        <w:t>overheidstarieven</w:t>
      </w:r>
      <w:r w:rsidRPr="00D679BE">
        <w:rPr>
          <w:rFonts w:eastAsia="Calibri"/>
        </w:rPr>
        <w:t xml:space="preserve"> dan krijgen </w:t>
      </w:r>
      <w:r w:rsidR="004553BA" w:rsidRPr="00D679BE">
        <w:rPr>
          <w:rFonts w:eastAsia="Calibri"/>
        </w:rPr>
        <w:t>we de volgende berekening:</w:t>
      </w:r>
    </w:p>
    <w:tbl>
      <w:tblPr>
        <w:tblW w:w="8157" w:type="dxa"/>
        <w:tblInd w:w="55" w:type="dxa"/>
        <w:tblBorders>
          <w:top w:val="single" w:sz="8" w:space="0" w:color="4BACC6"/>
          <w:left w:val="single" w:sz="8" w:space="0" w:color="4BACC6"/>
          <w:bottom w:val="single" w:sz="8" w:space="0" w:color="4BACC6"/>
          <w:right w:val="single" w:sz="8" w:space="0" w:color="4BACC6"/>
        </w:tblBorders>
        <w:tblLayout w:type="fixed"/>
        <w:tblCellMar>
          <w:left w:w="70" w:type="dxa"/>
          <w:right w:w="70" w:type="dxa"/>
        </w:tblCellMar>
        <w:tblLook w:val="04A0" w:firstRow="1" w:lastRow="0" w:firstColumn="1" w:lastColumn="0" w:noHBand="0" w:noVBand="1"/>
      </w:tblPr>
      <w:tblGrid>
        <w:gridCol w:w="1325"/>
        <w:gridCol w:w="1326"/>
        <w:gridCol w:w="1325"/>
        <w:gridCol w:w="1326"/>
        <w:gridCol w:w="1325"/>
        <w:gridCol w:w="1530"/>
      </w:tblGrid>
      <w:tr w:rsidR="00922B6E" w:rsidRPr="00D679BE" w14:paraId="2C25FAB6" w14:textId="77777777" w:rsidTr="001A16DC">
        <w:trPr>
          <w:trHeight w:val="960"/>
        </w:trPr>
        <w:tc>
          <w:tcPr>
            <w:tcW w:w="1325" w:type="dxa"/>
            <w:vMerge w:val="restart"/>
            <w:shd w:val="clear" w:color="000000" w:fill="DBE5F1"/>
            <w:noWrap/>
            <w:vAlign w:val="center"/>
            <w:hideMark/>
          </w:tcPr>
          <w:p w14:paraId="4BCF5F2F" w14:textId="77777777" w:rsidR="00922B6E" w:rsidRPr="00D679BE" w:rsidRDefault="00922B6E" w:rsidP="007259B8">
            <w:pPr>
              <w:jc w:val="center"/>
              <w:rPr>
                <w:b/>
                <w:bCs/>
                <w:color w:val="000000"/>
                <w:szCs w:val="18"/>
              </w:rPr>
            </w:pPr>
            <w:r w:rsidRPr="00D679BE">
              <w:rPr>
                <w:b/>
                <w:bCs/>
                <w:color w:val="000000"/>
                <w:szCs w:val="18"/>
              </w:rPr>
              <w:t>Aanvraag</w:t>
            </w:r>
          </w:p>
        </w:tc>
        <w:tc>
          <w:tcPr>
            <w:tcW w:w="1326" w:type="dxa"/>
            <w:vMerge w:val="restart"/>
            <w:shd w:val="clear" w:color="000000" w:fill="DBE5F1"/>
            <w:vAlign w:val="center"/>
            <w:hideMark/>
          </w:tcPr>
          <w:p w14:paraId="6D836B0F" w14:textId="77777777" w:rsidR="00922B6E" w:rsidRPr="00D679BE" w:rsidRDefault="00922B6E" w:rsidP="007259B8">
            <w:pPr>
              <w:jc w:val="center"/>
              <w:rPr>
                <w:b/>
                <w:bCs/>
                <w:color w:val="000000"/>
                <w:szCs w:val="18"/>
              </w:rPr>
            </w:pPr>
            <w:r w:rsidRPr="00D679BE">
              <w:rPr>
                <w:b/>
                <w:bCs/>
                <w:color w:val="000000"/>
                <w:szCs w:val="18"/>
              </w:rPr>
              <w:t>Aantal uur Initiële inhuur termijn</w:t>
            </w:r>
          </w:p>
        </w:tc>
        <w:tc>
          <w:tcPr>
            <w:tcW w:w="1325" w:type="dxa"/>
            <w:shd w:val="clear" w:color="000000" w:fill="DBE5F1"/>
            <w:vAlign w:val="center"/>
            <w:hideMark/>
          </w:tcPr>
          <w:p w14:paraId="65AF083F" w14:textId="3D352C3D" w:rsidR="00922B6E" w:rsidRPr="00D679BE" w:rsidRDefault="00E82557" w:rsidP="007259B8">
            <w:pPr>
              <w:jc w:val="center"/>
              <w:rPr>
                <w:b/>
                <w:bCs/>
                <w:color w:val="000000"/>
                <w:szCs w:val="18"/>
              </w:rPr>
            </w:pPr>
            <w:proofErr w:type="spellStart"/>
            <w:r w:rsidRPr="00D679BE">
              <w:rPr>
                <w:b/>
                <w:bCs/>
                <w:color w:val="000000"/>
                <w:szCs w:val="18"/>
              </w:rPr>
              <w:t>Overheids</w:t>
            </w:r>
            <w:r w:rsidR="001A16DC">
              <w:rPr>
                <w:b/>
                <w:bCs/>
                <w:color w:val="000000"/>
                <w:szCs w:val="18"/>
              </w:rPr>
              <w:t>-</w:t>
            </w:r>
            <w:r w:rsidRPr="00D679BE">
              <w:rPr>
                <w:b/>
                <w:bCs/>
                <w:color w:val="000000"/>
                <w:szCs w:val="18"/>
              </w:rPr>
              <w:t>tarief</w:t>
            </w:r>
            <w:proofErr w:type="spellEnd"/>
          </w:p>
        </w:tc>
        <w:tc>
          <w:tcPr>
            <w:tcW w:w="1326" w:type="dxa"/>
            <w:vMerge w:val="restart"/>
            <w:shd w:val="clear" w:color="000000" w:fill="DBE5F1"/>
            <w:noWrap/>
            <w:vAlign w:val="center"/>
            <w:hideMark/>
          </w:tcPr>
          <w:p w14:paraId="077502CE" w14:textId="77777777" w:rsidR="000A5FE5" w:rsidRDefault="000A5FE5" w:rsidP="007259B8">
            <w:pPr>
              <w:jc w:val="center"/>
              <w:rPr>
                <w:b/>
                <w:bCs/>
                <w:color w:val="000000"/>
                <w:szCs w:val="18"/>
              </w:rPr>
            </w:pPr>
            <w:r>
              <w:rPr>
                <w:b/>
                <w:bCs/>
                <w:color w:val="000000"/>
                <w:szCs w:val="18"/>
              </w:rPr>
              <w:t>Salaris</w:t>
            </w:r>
          </w:p>
          <w:p w14:paraId="06DC4503" w14:textId="18B0FFAC" w:rsidR="00922B6E" w:rsidRPr="00D679BE" w:rsidRDefault="000A5FE5" w:rsidP="007259B8">
            <w:pPr>
              <w:jc w:val="center"/>
              <w:rPr>
                <w:b/>
                <w:bCs/>
                <w:color w:val="000000"/>
                <w:szCs w:val="18"/>
              </w:rPr>
            </w:pPr>
            <w:r>
              <w:rPr>
                <w:b/>
                <w:bCs/>
                <w:color w:val="000000"/>
                <w:szCs w:val="18"/>
              </w:rPr>
              <w:t>schaal Rijk</w:t>
            </w:r>
          </w:p>
        </w:tc>
        <w:tc>
          <w:tcPr>
            <w:tcW w:w="1325" w:type="dxa"/>
            <w:vMerge w:val="restart"/>
            <w:shd w:val="clear" w:color="000000" w:fill="DBE5F1"/>
            <w:vAlign w:val="center"/>
            <w:hideMark/>
          </w:tcPr>
          <w:p w14:paraId="4B503BB0" w14:textId="77777777" w:rsidR="00922B6E" w:rsidRPr="00D679BE" w:rsidRDefault="00922B6E" w:rsidP="007259B8">
            <w:pPr>
              <w:jc w:val="right"/>
              <w:rPr>
                <w:b/>
                <w:bCs/>
                <w:color w:val="000000"/>
                <w:szCs w:val="18"/>
              </w:rPr>
            </w:pPr>
            <w:r w:rsidRPr="00D679BE">
              <w:rPr>
                <w:b/>
                <w:bCs/>
                <w:color w:val="000000"/>
                <w:szCs w:val="18"/>
              </w:rPr>
              <w:t>Initiële Inhuur bedrag</w:t>
            </w:r>
          </w:p>
        </w:tc>
        <w:tc>
          <w:tcPr>
            <w:tcW w:w="1530" w:type="dxa"/>
            <w:vMerge w:val="restart"/>
            <w:shd w:val="clear" w:color="000000" w:fill="DBE5F1"/>
            <w:vAlign w:val="center"/>
            <w:hideMark/>
          </w:tcPr>
          <w:p w14:paraId="600EA03C" w14:textId="77777777" w:rsidR="00922B6E" w:rsidRPr="00D679BE" w:rsidRDefault="00922B6E" w:rsidP="007259B8">
            <w:pPr>
              <w:jc w:val="center"/>
              <w:rPr>
                <w:b/>
                <w:bCs/>
                <w:color w:val="000000"/>
                <w:szCs w:val="18"/>
              </w:rPr>
            </w:pPr>
            <w:r w:rsidRPr="00D679BE">
              <w:rPr>
                <w:b/>
                <w:bCs/>
                <w:color w:val="000000"/>
                <w:szCs w:val="18"/>
              </w:rPr>
              <w:t>Uitgerekend gemiddeld ta</w:t>
            </w:r>
            <w:r w:rsidRPr="00D679BE">
              <w:rPr>
                <w:b/>
                <w:bCs/>
                <w:i/>
                <w:iCs/>
                <w:color w:val="000000"/>
                <w:szCs w:val="18"/>
              </w:rPr>
              <w:t>r</w:t>
            </w:r>
            <w:r w:rsidRPr="00D679BE">
              <w:rPr>
                <w:b/>
                <w:bCs/>
                <w:color w:val="000000"/>
                <w:szCs w:val="18"/>
              </w:rPr>
              <w:t>ief</w:t>
            </w:r>
          </w:p>
        </w:tc>
      </w:tr>
      <w:tr w:rsidR="00922B6E" w:rsidRPr="00D679BE" w14:paraId="227B7CA0" w14:textId="77777777" w:rsidTr="001A16DC">
        <w:trPr>
          <w:trHeight w:val="315"/>
        </w:trPr>
        <w:tc>
          <w:tcPr>
            <w:tcW w:w="1325" w:type="dxa"/>
            <w:vMerge/>
            <w:vAlign w:val="center"/>
            <w:hideMark/>
          </w:tcPr>
          <w:p w14:paraId="480FD496" w14:textId="77777777" w:rsidR="00922B6E" w:rsidRPr="00D679BE" w:rsidRDefault="00922B6E" w:rsidP="007259B8">
            <w:pPr>
              <w:rPr>
                <w:b/>
                <w:bCs/>
                <w:color w:val="000000"/>
                <w:szCs w:val="18"/>
              </w:rPr>
            </w:pPr>
          </w:p>
        </w:tc>
        <w:tc>
          <w:tcPr>
            <w:tcW w:w="1326" w:type="dxa"/>
            <w:vMerge/>
            <w:vAlign w:val="center"/>
            <w:hideMark/>
          </w:tcPr>
          <w:p w14:paraId="225B4860" w14:textId="77777777" w:rsidR="00922B6E" w:rsidRPr="00D679BE" w:rsidRDefault="00922B6E" w:rsidP="007259B8">
            <w:pPr>
              <w:rPr>
                <w:b/>
                <w:bCs/>
                <w:color w:val="000000"/>
                <w:szCs w:val="18"/>
              </w:rPr>
            </w:pPr>
          </w:p>
        </w:tc>
        <w:tc>
          <w:tcPr>
            <w:tcW w:w="1325" w:type="dxa"/>
            <w:shd w:val="clear" w:color="000000" w:fill="DBE5F1"/>
            <w:vAlign w:val="center"/>
            <w:hideMark/>
          </w:tcPr>
          <w:p w14:paraId="22F44219" w14:textId="77777777" w:rsidR="00922B6E" w:rsidRPr="00D679BE" w:rsidRDefault="00922B6E" w:rsidP="007259B8">
            <w:pPr>
              <w:jc w:val="center"/>
              <w:rPr>
                <w:b/>
                <w:bCs/>
                <w:color w:val="000000"/>
                <w:szCs w:val="18"/>
              </w:rPr>
            </w:pPr>
            <w:r w:rsidRPr="00D679BE">
              <w:rPr>
                <w:b/>
                <w:bCs/>
                <w:color w:val="000000"/>
                <w:szCs w:val="18"/>
              </w:rPr>
              <w:t>excl. BTW</w:t>
            </w:r>
          </w:p>
        </w:tc>
        <w:tc>
          <w:tcPr>
            <w:tcW w:w="1326" w:type="dxa"/>
            <w:vMerge/>
            <w:vAlign w:val="center"/>
            <w:hideMark/>
          </w:tcPr>
          <w:p w14:paraId="0F988DE7" w14:textId="77777777" w:rsidR="00922B6E" w:rsidRPr="00D679BE" w:rsidRDefault="00922B6E" w:rsidP="007259B8">
            <w:pPr>
              <w:rPr>
                <w:b/>
                <w:bCs/>
                <w:color w:val="000000"/>
                <w:szCs w:val="18"/>
              </w:rPr>
            </w:pPr>
          </w:p>
        </w:tc>
        <w:tc>
          <w:tcPr>
            <w:tcW w:w="1325" w:type="dxa"/>
            <w:vMerge/>
            <w:vAlign w:val="center"/>
            <w:hideMark/>
          </w:tcPr>
          <w:p w14:paraId="6A88A212" w14:textId="77777777" w:rsidR="00922B6E" w:rsidRPr="00D679BE" w:rsidRDefault="00922B6E" w:rsidP="007259B8">
            <w:pPr>
              <w:rPr>
                <w:b/>
                <w:bCs/>
                <w:color w:val="000000"/>
                <w:szCs w:val="18"/>
              </w:rPr>
            </w:pPr>
          </w:p>
        </w:tc>
        <w:tc>
          <w:tcPr>
            <w:tcW w:w="1530" w:type="dxa"/>
            <w:vMerge/>
            <w:vAlign w:val="center"/>
            <w:hideMark/>
          </w:tcPr>
          <w:p w14:paraId="16BE6D80" w14:textId="77777777" w:rsidR="00922B6E" w:rsidRPr="00D679BE" w:rsidRDefault="00922B6E" w:rsidP="007259B8">
            <w:pPr>
              <w:rPr>
                <w:b/>
                <w:bCs/>
                <w:color w:val="000000"/>
                <w:szCs w:val="18"/>
              </w:rPr>
            </w:pPr>
          </w:p>
        </w:tc>
      </w:tr>
      <w:tr w:rsidR="00922B6E" w:rsidRPr="00D679BE" w14:paraId="49FE1D97" w14:textId="77777777" w:rsidTr="001A16DC">
        <w:trPr>
          <w:trHeight w:val="315"/>
        </w:trPr>
        <w:tc>
          <w:tcPr>
            <w:tcW w:w="1325" w:type="dxa"/>
            <w:noWrap/>
            <w:vAlign w:val="center"/>
            <w:hideMark/>
          </w:tcPr>
          <w:p w14:paraId="7668D7A5" w14:textId="77777777" w:rsidR="00922B6E" w:rsidRPr="00D679BE" w:rsidRDefault="00922B6E" w:rsidP="007259B8">
            <w:pPr>
              <w:jc w:val="center"/>
              <w:rPr>
                <w:b/>
                <w:bCs/>
                <w:color w:val="000000"/>
                <w:szCs w:val="18"/>
              </w:rPr>
            </w:pPr>
            <w:r w:rsidRPr="00D679BE">
              <w:rPr>
                <w:b/>
                <w:bCs/>
                <w:color w:val="000000"/>
                <w:szCs w:val="18"/>
              </w:rPr>
              <w:t>1</w:t>
            </w:r>
          </w:p>
        </w:tc>
        <w:tc>
          <w:tcPr>
            <w:tcW w:w="1326" w:type="dxa"/>
            <w:noWrap/>
            <w:vAlign w:val="center"/>
            <w:hideMark/>
          </w:tcPr>
          <w:p w14:paraId="2F25C6C2" w14:textId="77777777" w:rsidR="00922B6E" w:rsidRPr="00D679BE" w:rsidRDefault="00922B6E" w:rsidP="007259B8">
            <w:pPr>
              <w:jc w:val="center"/>
              <w:rPr>
                <w:color w:val="000000"/>
                <w:szCs w:val="18"/>
              </w:rPr>
            </w:pPr>
            <w:r w:rsidRPr="00D679BE">
              <w:rPr>
                <w:color w:val="000000"/>
                <w:szCs w:val="18"/>
              </w:rPr>
              <w:t>300</w:t>
            </w:r>
          </w:p>
        </w:tc>
        <w:tc>
          <w:tcPr>
            <w:tcW w:w="1325" w:type="dxa"/>
            <w:noWrap/>
            <w:vAlign w:val="center"/>
            <w:hideMark/>
          </w:tcPr>
          <w:p w14:paraId="5746D705" w14:textId="4996E2D6" w:rsidR="00922B6E" w:rsidRPr="00D679BE" w:rsidRDefault="00922B6E" w:rsidP="00922B6E">
            <w:pPr>
              <w:jc w:val="center"/>
              <w:rPr>
                <w:color w:val="000000"/>
                <w:szCs w:val="18"/>
              </w:rPr>
            </w:pPr>
            <w:r w:rsidRPr="00D679BE">
              <w:rPr>
                <w:color w:val="000000"/>
                <w:szCs w:val="18"/>
              </w:rPr>
              <w:t>€ 5</w:t>
            </w:r>
            <w:r w:rsidR="003E3A5F">
              <w:rPr>
                <w:color w:val="000000"/>
                <w:szCs w:val="18"/>
              </w:rPr>
              <w:t>9</w:t>
            </w:r>
          </w:p>
        </w:tc>
        <w:tc>
          <w:tcPr>
            <w:tcW w:w="1326" w:type="dxa"/>
            <w:noWrap/>
            <w:vAlign w:val="center"/>
            <w:hideMark/>
          </w:tcPr>
          <w:p w14:paraId="53B3ACC9" w14:textId="77777777" w:rsidR="00922B6E" w:rsidRPr="00D679BE" w:rsidRDefault="00922B6E" w:rsidP="007259B8">
            <w:pPr>
              <w:jc w:val="center"/>
              <w:rPr>
                <w:color w:val="000000"/>
                <w:szCs w:val="18"/>
              </w:rPr>
            </w:pPr>
            <w:r w:rsidRPr="00D679BE">
              <w:rPr>
                <w:color w:val="000000"/>
                <w:szCs w:val="18"/>
              </w:rPr>
              <w:t>8</w:t>
            </w:r>
          </w:p>
        </w:tc>
        <w:tc>
          <w:tcPr>
            <w:tcW w:w="1325" w:type="dxa"/>
            <w:noWrap/>
            <w:vAlign w:val="center"/>
            <w:hideMark/>
          </w:tcPr>
          <w:p w14:paraId="2EF89049" w14:textId="0D86ADB1" w:rsidR="00922B6E" w:rsidRPr="00D679BE" w:rsidRDefault="00922B6E" w:rsidP="00922B6E">
            <w:pPr>
              <w:jc w:val="right"/>
              <w:rPr>
                <w:color w:val="000000"/>
                <w:szCs w:val="18"/>
              </w:rPr>
            </w:pPr>
            <w:r w:rsidRPr="00D679BE">
              <w:rPr>
                <w:color w:val="000000"/>
                <w:szCs w:val="18"/>
              </w:rPr>
              <w:t>€ 1</w:t>
            </w:r>
            <w:r w:rsidR="007259B8" w:rsidRPr="00D679BE">
              <w:rPr>
                <w:color w:val="000000"/>
                <w:szCs w:val="18"/>
              </w:rPr>
              <w:t>7</w:t>
            </w:r>
            <w:r w:rsidRPr="00D679BE">
              <w:rPr>
                <w:color w:val="000000"/>
                <w:szCs w:val="18"/>
              </w:rPr>
              <w:t>.</w:t>
            </w:r>
            <w:r w:rsidR="003E3A5F">
              <w:rPr>
                <w:color w:val="000000"/>
                <w:szCs w:val="18"/>
              </w:rPr>
              <w:t>7</w:t>
            </w:r>
            <w:r w:rsidRPr="00D679BE">
              <w:rPr>
                <w:color w:val="000000"/>
                <w:szCs w:val="18"/>
              </w:rPr>
              <w:t>00</w:t>
            </w:r>
          </w:p>
        </w:tc>
        <w:tc>
          <w:tcPr>
            <w:tcW w:w="1530" w:type="dxa"/>
            <w:noWrap/>
            <w:hideMark/>
          </w:tcPr>
          <w:p w14:paraId="10C3FE43" w14:textId="77777777" w:rsidR="00922B6E" w:rsidRPr="00D679BE" w:rsidRDefault="00922B6E" w:rsidP="007259B8">
            <w:pPr>
              <w:rPr>
                <w:color w:val="000000"/>
                <w:sz w:val="22"/>
                <w:szCs w:val="22"/>
              </w:rPr>
            </w:pPr>
            <w:r w:rsidRPr="00D679BE">
              <w:rPr>
                <w:color w:val="000000"/>
                <w:sz w:val="22"/>
                <w:szCs w:val="22"/>
              </w:rPr>
              <w:t> </w:t>
            </w:r>
          </w:p>
        </w:tc>
      </w:tr>
      <w:tr w:rsidR="00922B6E" w:rsidRPr="00D679BE" w14:paraId="0D845A1A" w14:textId="77777777" w:rsidTr="001A16DC">
        <w:trPr>
          <w:trHeight w:val="315"/>
        </w:trPr>
        <w:tc>
          <w:tcPr>
            <w:tcW w:w="1325" w:type="dxa"/>
            <w:noWrap/>
            <w:vAlign w:val="center"/>
            <w:hideMark/>
          </w:tcPr>
          <w:p w14:paraId="34C20E1C" w14:textId="77777777" w:rsidR="00922B6E" w:rsidRPr="00D679BE" w:rsidRDefault="00922B6E" w:rsidP="007259B8">
            <w:pPr>
              <w:jc w:val="center"/>
              <w:rPr>
                <w:b/>
                <w:bCs/>
                <w:color w:val="000000"/>
                <w:szCs w:val="18"/>
              </w:rPr>
            </w:pPr>
            <w:r w:rsidRPr="00D679BE">
              <w:rPr>
                <w:b/>
                <w:bCs/>
                <w:color w:val="000000"/>
                <w:szCs w:val="18"/>
              </w:rPr>
              <w:t>2</w:t>
            </w:r>
          </w:p>
        </w:tc>
        <w:tc>
          <w:tcPr>
            <w:tcW w:w="1326" w:type="dxa"/>
            <w:noWrap/>
            <w:vAlign w:val="center"/>
            <w:hideMark/>
          </w:tcPr>
          <w:p w14:paraId="13A4235D" w14:textId="77777777" w:rsidR="00922B6E" w:rsidRPr="00D679BE" w:rsidRDefault="00922B6E" w:rsidP="007259B8">
            <w:pPr>
              <w:jc w:val="center"/>
              <w:rPr>
                <w:color w:val="000000"/>
                <w:szCs w:val="18"/>
              </w:rPr>
            </w:pPr>
            <w:r w:rsidRPr="00D679BE">
              <w:rPr>
                <w:color w:val="000000"/>
                <w:szCs w:val="18"/>
              </w:rPr>
              <w:t>50</w:t>
            </w:r>
          </w:p>
        </w:tc>
        <w:tc>
          <w:tcPr>
            <w:tcW w:w="1325" w:type="dxa"/>
            <w:noWrap/>
            <w:vAlign w:val="center"/>
            <w:hideMark/>
          </w:tcPr>
          <w:p w14:paraId="1AED5C70" w14:textId="482E3041" w:rsidR="00922B6E" w:rsidRPr="00D679BE" w:rsidRDefault="00922B6E" w:rsidP="007259B8">
            <w:pPr>
              <w:jc w:val="center"/>
              <w:rPr>
                <w:color w:val="000000"/>
                <w:szCs w:val="18"/>
              </w:rPr>
            </w:pPr>
            <w:r w:rsidRPr="00D679BE">
              <w:rPr>
                <w:color w:val="000000"/>
                <w:szCs w:val="18"/>
              </w:rPr>
              <w:t>€ 7</w:t>
            </w:r>
            <w:r w:rsidR="003E3A5F">
              <w:rPr>
                <w:color w:val="000000"/>
                <w:szCs w:val="18"/>
              </w:rPr>
              <w:t>7</w:t>
            </w:r>
          </w:p>
        </w:tc>
        <w:tc>
          <w:tcPr>
            <w:tcW w:w="1326" w:type="dxa"/>
            <w:noWrap/>
            <w:vAlign w:val="center"/>
            <w:hideMark/>
          </w:tcPr>
          <w:p w14:paraId="1EFFEA43" w14:textId="77777777" w:rsidR="00922B6E" w:rsidRPr="00D679BE" w:rsidRDefault="00922B6E" w:rsidP="007259B8">
            <w:pPr>
              <w:jc w:val="center"/>
              <w:rPr>
                <w:color w:val="000000"/>
                <w:szCs w:val="18"/>
              </w:rPr>
            </w:pPr>
            <w:r w:rsidRPr="00D679BE">
              <w:rPr>
                <w:color w:val="000000"/>
                <w:szCs w:val="18"/>
              </w:rPr>
              <w:t>11</w:t>
            </w:r>
          </w:p>
        </w:tc>
        <w:tc>
          <w:tcPr>
            <w:tcW w:w="1325" w:type="dxa"/>
            <w:noWrap/>
            <w:vAlign w:val="center"/>
            <w:hideMark/>
          </w:tcPr>
          <w:p w14:paraId="5ACAE14F" w14:textId="30C23D9E" w:rsidR="00922B6E" w:rsidRPr="00D679BE" w:rsidRDefault="00922B6E" w:rsidP="00922B6E">
            <w:pPr>
              <w:jc w:val="right"/>
              <w:rPr>
                <w:color w:val="000000"/>
                <w:szCs w:val="18"/>
              </w:rPr>
            </w:pPr>
            <w:r w:rsidRPr="00D679BE">
              <w:rPr>
                <w:color w:val="000000"/>
                <w:szCs w:val="18"/>
              </w:rPr>
              <w:t>€ 3.</w:t>
            </w:r>
            <w:r w:rsidR="003E3A5F">
              <w:rPr>
                <w:color w:val="000000"/>
                <w:szCs w:val="18"/>
              </w:rPr>
              <w:t>85</w:t>
            </w:r>
            <w:r w:rsidRPr="00D679BE">
              <w:rPr>
                <w:color w:val="000000"/>
                <w:szCs w:val="18"/>
              </w:rPr>
              <w:t>0</w:t>
            </w:r>
          </w:p>
        </w:tc>
        <w:tc>
          <w:tcPr>
            <w:tcW w:w="1530" w:type="dxa"/>
            <w:noWrap/>
            <w:hideMark/>
          </w:tcPr>
          <w:p w14:paraId="34326CCA" w14:textId="77777777" w:rsidR="00922B6E" w:rsidRPr="00D679BE" w:rsidRDefault="00922B6E" w:rsidP="007259B8">
            <w:pPr>
              <w:rPr>
                <w:color w:val="000000"/>
                <w:sz w:val="22"/>
                <w:szCs w:val="22"/>
              </w:rPr>
            </w:pPr>
            <w:r w:rsidRPr="00D679BE">
              <w:rPr>
                <w:color w:val="000000"/>
                <w:sz w:val="22"/>
                <w:szCs w:val="22"/>
              </w:rPr>
              <w:t> </w:t>
            </w:r>
          </w:p>
        </w:tc>
      </w:tr>
      <w:tr w:rsidR="00922B6E" w:rsidRPr="00D679BE" w14:paraId="25871E3D" w14:textId="77777777" w:rsidTr="001A16DC">
        <w:trPr>
          <w:trHeight w:val="315"/>
        </w:trPr>
        <w:tc>
          <w:tcPr>
            <w:tcW w:w="1325" w:type="dxa"/>
            <w:noWrap/>
            <w:vAlign w:val="center"/>
            <w:hideMark/>
          </w:tcPr>
          <w:p w14:paraId="29814D52" w14:textId="77777777" w:rsidR="00922B6E" w:rsidRPr="00D679BE" w:rsidRDefault="00922B6E" w:rsidP="007259B8">
            <w:pPr>
              <w:jc w:val="center"/>
              <w:rPr>
                <w:b/>
                <w:bCs/>
                <w:color w:val="000000"/>
                <w:szCs w:val="18"/>
              </w:rPr>
            </w:pPr>
            <w:r w:rsidRPr="00D679BE">
              <w:rPr>
                <w:b/>
                <w:bCs/>
                <w:color w:val="000000"/>
                <w:szCs w:val="18"/>
              </w:rPr>
              <w:t>3</w:t>
            </w:r>
          </w:p>
        </w:tc>
        <w:tc>
          <w:tcPr>
            <w:tcW w:w="1326" w:type="dxa"/>
            <w:noWrap/>
            <w:vAlign w:val="center"/>
            <w:hideMark/>
          </w:tcPr>
          <w:p w14:paraId="60800D44" w14:textId="77777777" w:rsidR="00922B6E" w:rsidRPr="00D679BE" w:rsidRDefault="00922B6E" w:rsidP="007259B8">
            <w:pPr>
              <w:jc w:val="center"/>
              <w:rPr>
                <w:color w:val="000000"/>
                <w:szCs w:val="18"/>
              </w:rPr>
            </w:pPr>
            <w:r w:rsidRPr="00D679BE">
              <w:rPr>
                <w:color w:val="000000"/>
                <w:szCs w:val="18"/>
              </w:rPr>
              <w:t>800</w:t>
            </w:r>
          </w:p>
        </w:tc>
        <w:tc>
          <w:tcPr>
            <w:tcW w:w="1325" w:type="dxa"/>
            <w:noWrap/>
            <w:vAlign w:val="center"/>
            <w:hideMark/>
          </w:tcPr>
          <w:p w14:paraId="2B89D8AC" w14:textId="4875E0C8" w:rsidR="00922B6E" w:rsidRPr="00D679BE" w:rsidRDefault="00922B6E" w:rsidP="00922B6E">
            <w:pPr>
              <w:jc w:val="center"/>
              <w:rPr>
                <w:color w:val="000000"/>
                <w:szCs w:val="18"/>
              </w:rPr>
            </w:pPr>
            <w:r w:rsidRPr="00D679BE">
              <w:rPr>
                <w:color w:val="000000"/>
                <w:szCs w:val="18"/>
              </w:rPr>
              <w:t>€ 6</w:t>
            </w:r>
            <w:r w:rsidR="003E3A5F">
              <w:rPr>
                <w:color w:val="000000"/>
                <w:szCs w:val="18"/>
              </w:rPr>
              <w:t>9</w:t>
            </w:r>
          </w:p>
        </w:tc>
        <w:tc>
          <w:tcPr>
            <w:tcW w:w="1326" w:type="dxa"/>
            <w:noWrap/>
            <w:vAlign w:val="center"/>
            <w:hideMark/>
          </w:tcPr>
          <w:p w14:paraId="624A18B2" w14:textId="77777777" w:rsidR="00922B6E" w:rsidRPr="00D679BE" w:rsidRDefault="00922B6E" w:rsidP="007259B8">
            <w:pPr>
              <w:jc w:val="center"/>
              <w:rPr>
                <w:color w:val="000000"/>
                <w:szCs w:val="18"/>
              </w:rPr>
            </w:pPr>
            <w:r w:rsidRPr="00D679BE">
              <w:rPr>
                <w:color w:val="000000"/>
                <w:szCs w:val="18"/>
              </w:rPr>
              <w:t>10</w:t>
            </w:r>
          </w:p>
        </w:tc>
        <w:tc>
          <w:tcPr>
            <w:tcW w:w="1325" w:type="dxa"/>
            <w:noWrap/>
            <w:vAlign w:val="center"/>
            <w:hideMark/>
          </w:tcPr>
          <w:p w14:paraId="4FA2592D" w14:textId="7F1460DC" w:rsidR="00922B6E" w:rsidRPr="00D679BE" w:rsidRDefault="00922B6E" w:rsidP="00922B6E">
            <w:pPr>
              <w:jc w:val="right"/>
              <w:rPr>
                <w:color w:val="000000"/>
                <w:szCs w:val="18"/>
              </w:rPr>
            </w:pPr>
            <w:r w:rsidRPr="00D679BE">
              <w:rPr>
                <w:color w:val="000000"/>
                <w:szCs w:val="18"/>
              </w:rPr>
              <w:t>€ 5</w:t>
            </w:r>
            <w:r w:rsidR="003E3A5F">
              <w:rPr>
                <w:color w:val="000000"/>
                <w:szCs w:val="18"/>
              </w:rPr>
              <w:t>5</w:t>
            </w:r>
            <w:r w:rsidRPr="00D679BE">
              <w:rPr>
                <w:color w:val="000000"/>
                <w:szCs w:val="18"/>
              </w:rPr>
              <w:t>.</w:t>
            </w:r>
            <w:r w:rsidR="003E3A5F">
              <w:rPr>
                <w:color w:val="000000"/>
                <w:szCs w:val="18"/>
              </w:rPr>
              <w:t>2</w:t>
            </w:r>
            <w:r w:rsidRPr="00D679BE">
              <w:rPr>
                <w:color w:val="000000"/>
                <w:szCs w:val="18"/>
              </w:rPr>
              <w:t>00</w:t>
            </w:r>
          </w:p>
        </w:tc>
        <w:tc>
          <w:tcPr>
            <w:tcW w:w="1530" w:type="dxa"/>
            <w:noWrap/>
            <w:hideMark/>
          </w:tcPr>
          <w:p w14:paraId="2243FE7F" w14:textId="77777777" w:rsidR="00922B6E" w:rsidRPr="00D679BE" w:rsidRDefault="00922B6E" w:rsidP="007259B8">
            <w:pPr>
              <w:rPr>
                <w:color w:val="000000"/>
                <w:sz w:val="22"/>
                <w:szCs w:val="22"/>
              </w:rPr>
            </w:pPr>
            <w:r w:rsidRPr="00D679BE">
              <w:rPr>
                <w:color w:val="000000"/>
                <w:sz w:val="22"/>
                <w:szCs w:val="22"/>
              </w:rPr>
              <w:t> </w:t>
            </w:r>
          </w:p>
        </w:tc>
      </w:tr>
      <w:tr w:rsidR="00922B6E" w:rsidRPr="00D679BE" w14:paraId="0C66CAEA" w14:textId="77777777" w:rsidTr="001A16DC">
        <w:trPr>
          <w:trHeight w:val="315"/>
        </w:trPr>
        <w:tc>
          <w:tcPr>
            <w:tcW w:w="1325" w:type="dxa"/>
            <w:noWrap/>
            <w:vAlign w:val="center"/>
            <w:hideMark/>
          </w:tcPr>
          <w:p w14:paraId="4B9FC44E" w14:textId="77777777" w:rsidR="00922B6E" w:rsidRPr="00D679BE" w:rsidRDefault="00922B6E" w:rsidP="007259B8">
            <w:pPr>
              <w:jc w:val="center"/>
              <w:rPr>
                <w:b/>
                <w:bCs/>
                <w:color w:val="000000"/>
                <w:szCs w:val="18"/>
              </w:rPr>
            </w:pPr>
            <w:r w:rsidRPr="00D679BE">
              <w:rPr>
                <w:b/>
                <w:bCs/>
                <w:color w:val="000000"/>
                <w:szCs w:val="18"/>
              </w:rPr>
              <w:t>4</w:t>
            </w:r>
          </w:p>
        </w:tc>
        <w:tc>
          <w:tcPr>
            <w:tcW w:w="1326" w:type="dxa"/>
            <w:noWrap/>
            <w:vAlign w:val="center"/>
            <w:hideMark/>
          </w:tcPr>
          <w:p w14:paraId="4B3ABC60" w14:textId="77777777" w:rsidR="00922B6E" w:rsidRPr="00D679BE" w:rsidRDefault="00922B6E" w:rsidP="007259B8">
            <w:pPr>
              <w:jc w:val="center"/>
              <w:rPr>
                <w:color w:val="000000"/>
                <w:szCs w:val="18"/>
              </w:rPr>
            </w:pPr>
            <w:r w:rsidRPr="00D679BE">
              <w:rPr>
                <w:color w:val="000000"/>
                <w:szCs w:val="18"/>
              </w:rPr>
              <w:t>1600</w:t>
            </w:r>
          </w:p>
        </w:tc>
        <w:tc>
          <w:tcPr>
            <w:tcW w:w="1325" w:type="dxa"/>
            <w:noWrap/>
            <w:vAlign w:val="center"/>
            <w:hideMark/>
          </w:tcPr>
          <w:p w14:paraId="27599920" w14:textId="3F6CEE29" w:rsidR="00922B6E" w:rsidRPr="00D679BE" w:rsidRDefault="00922B6E" w:rsidP="00922B6E">
            <w:pPr>
              <w:jc w:val="center"/>
              <w:rPr>
                <w:color w:val="000000"/>
                <w:szCs w:val="18"/>
              </w:rPr>
            </w:pPr>
            <w:r w:rsidRPr="00D679BE">
              <w:rPr>
                <w:color w:val="000000"/>
                <w:szCs w:val="18"/>
              </w:rPr>
              <w:t>€ 7</w:t>
            </w:r>
            <w:r w:rsidR="003E3A5F">
              <w:rPr>
                <w:color w:val="000000"/>
                <w:szCs w:val="18"/>
              </w:rPr>
              <w:t>7</w:t>
            </w:r>
          </w:p>
        </w:tc>
        <w:tc>
          <w:tcPr>
            <w:tcW w:w="1326" w:type="dxa"/>
            <w:noWrap/>
            <w:vAlign w:val="center"/>
            <w:hideMark/>
          </w:tcPr>
          <w:p w14:paraId="335429D5" w14:textId="77777777" w:rsidR="00922B6E" w:rsidRPr="00D679BE" w:rsidRDefault="00922B6E" w:rsidP="007259B8">
            <w:pPr>
              <w:jc w:val="center"/>
              <w:rPr>
                <w:color w:val="000000"/>
                <w:szCs w:val="18"/>
              </w:rPr>
            </w:pPr>
            <w:r w:rsidRPr="00D679BE">
              <w:rPr>
                <w:color w:val="000000"/>
                <w:szCs w:val="18"/>
              </w:rPr>
              <w:t>11</w:t>
            </w:r>
          </w:p>
        </w:tc>
        <w:tc>
          <w:tcPr>
            <w:tcW w:w="1325" w:type="dxa"/>
            <w:noWrap/>
            <w:vAlign w:val="center"/>
            <w:hideMark/>
          </w:tcPr>
          <w:p w14:paraId="3ED5959D" w14:textId="1C910733" w:rsidR="00922B6E" w:rsidRPr="00D679BE" w:rsidRDefault="00922B6E" w:rsidP="00922B6E">
            <w:pPr>
              <w:jc w:val="right"/>
              <w:rPr>
                <w:color w:val="000000"/>
                <w:szCs w:val="18"/>
              </w:rPr>
            </w:pPr>
            <w:r w:rsidRPr="00D679BE">
              <w:rPr>
                <w:color w:val="000000"/>
                <w:szCs w:val="18"/>
              </w:rPr>
              <w:t>€ 1</w:t>
            </w:r>
            <w:r w:rsidR="003E3A5F">
              <w:rPr>
                <w:color w:val="000000"/>
                <w:szCs w:val="18"/>
              </w:rPr>
              <w:t>23</w:t>
            </w:r>
            <w:r w:rsidRPr="00D679BE">
              <w:rPr>
                <w:color w:val="000000"/>
                <w:szCs w:val="18"/>
              </w:rPr>
              <w:t>.</w:t>
            </w:r>
            <w:r w:rsidR="003E3A5F">
              <w:rPr>
                <w:color w:val="000000"/>
                <w:szCs w:val="18"/>
              </w:rPr>
              <w:t>2</w:t>
            </w:r>
            <w:r w:rsidRPr="00D679BE">
              <w:rPr>
                <w:color w:val="000000"/>
                <w:szCs w:val="18"/>
              </w:rPr>
              <w:t>00</w:t>
            </w:r>
          </w:p>
        </w:tc>
        <w:tc>
          <w:tcPr>
            <w:tcW w:w="1530" w:type="dxa"/>
            <w:noWrap/>
            <w:hideMark/>
          </w:tcPr>
          <w:p w14:paraId="22D97B95" w14:textId="77777777" w:rsidR="00922B6E" w:rsidRPr="00D679BE" w:rsidRDefault="00922B6E" w:rsidP="007259B8">
            <w:pPr>
              <w:rPr>
                <w:color w:val="000000"/>
                <w:sz w:val="22"/>
                <w:szCs w:val="22"/>
              </w:rPr>
            </w:pPr>
            <w:r w:rsidRPr="00D679BE">
              <w:rPr>
                <w:color w:val="000000"/>
                <w:sz w:val="22"/>
                <w:szCs w:val="22"/>
              </w:rPr>
              <w:t> </w:t>
            </w:r>
          </w:p>
        </w:tc>
      </w:tr>
      <w:tr w:rsidR="00922B6E" w:rsidRPr="00D679BE" w14:paraId="26CF0B49" w14:textId="77777777" w:rsidTr="001A16DC">
        <w:trPr>
          <w:trHeight w:val="315"/>
        </w:trPr>
        <w:tc>
          <w:tcPr>
            <w:tcW w:w="1325" w:type="dxa"/>
            <w:noWrap/>
            <w:vAlign w:val="center"/>
            <w:hideMark/>
          </w:tcPr>
          <w:p w14:paraId="5E8326EE" w14:textId="77777777" w:rsidR="00922B6E" w:rsidRPr="00D679BE" w:rsidRDefault="00922B6E" w:rsidP="007259B8">
            <w:pPr>
              <w:jc w:val="center"/>
              <w:rPr>
                <w:b/>
                <w:bCs/>
                <w:color w:val="000000"/>
                <w:szCs w:val="18"/>
              </w:rPr>
            </w:pPr>
            <w:r w:rsidRPr="00D679BE">
              <w:rPr>
                <w:b/>
                <w:bCs/>
                <w:color w:val="000000"/>
                <w:szCs w:val="18"/>
              </w:rPr>
              <w:t>TOTAAL</w:t>
            </w:r>
          </w:p>
        </w:tc>
        <w:tc>
          <w:tcPr>
            <w:tcW w:w="1326" w:type="dxa"/>
            <w:noWrap/>
            <w:vAlign w:val="center"/>
            <w:hideMark/>
          </w:tcPr>
          <w:p w14:paraId="687973F1" w14:textId="77777777" w:rsidR="00922B6E" w:rsidRPr="00D679BE" w:rsidRDefault="00922B6E" w:rsidP="007259B8">
            <w:pPr>
              <w:jc w:val="center"/>
              <w:rPr>
                <w:b/>
                <w:bCs/>
                <w:color w:val="000000"/>
                <w:szCs w:val="18"/>
              </w:rPr>
            </w:pPr>
            <w:r w:rsidRPr="00D679BE">
              <w:rPr>
                <w:b/>
                <w:bCs/>
                <w:color w:val="000000"/>
                <w:szCs w:val="18"/>
              </w:rPr>
              <w:t>2750</w:t>
            </w:r>
          </w:p>
        </w:tc>
        <w:tc>
          <w:tcPr>
            <w:tcW w:w="1325" w:type="dxa"/>
            <w:noWrap/>
            <w:hideMark/>
          </w:tcPr>
          <w:p w14:paraId="1661CB94" w14:textId="77777777" w:rsidR="00922B6E" w:rsidRPr="00D679BE" w:rsidRDefault="00922B6E" w:rsidP="007259B8">
            <w:pPr>
              <w:rPr>
                <w:color w:val="000000"/>
                <w:sz w:val="22"/>
                <w:szCs w:val="22"/>
              </w:rPr>
            </w:pPr>
            <w:r w:rsidRPr="00D679BE">
              <w:rPr>
                <w:color w:val="000000"/>
                <w:sz w:val="22"/>
                <w:szCs w:val="22"/>
              </w:rPr>
              <w:t> </w:t>
            </w:r>
          </w:p>
        </w:tc>
        <w:tc>
          <w:tcPr>
            <w:tcW w:w="1326" w:type="dxa"/>
            <w:noWrap/>
            <w:hideMark/>
          </w:tcPr>
          <w:p w14:paraId="40CBBD3D" w14:textId="77777777" w:rsidR="00922B6E" w:rsidRPr="00D679BE" w:rsidRDefault="00922B6E" w:rsidP="007259B8">
            <w:pPr>
              <w:rPr>
                <w:color w:val="000000"/>
                <w:sz w:val="22"/>
                <w:szCs w:val="22"/>
              </w:rPr>
            </w:pPr>
            <w:r w:rsidRPr="00D679BE">
              <w:rPr>
                <w:color w:val="000000"/>
                <w:sz w:val="22"/>
                <w:szCs w:val="22"/>
              </w:rPr>
              <w:t> </w:t>
            </w:r>
          </w:p>
        </w:tc>
        <w:tc>
          <w:tcPr>
            <w:tcW w:w="1325" w:type="dxa"/>
            <w:noWrap/>
            <w:vAlign w:val="center"/>
            <w:hideMark/>
          </w:tcPr>
          <w:p w14:paraId="6327AA25" w14:textId="32C4EF66" w:rsidR="00922B6E" w:rsidRPr="00D679BE" w:rsidRDefault="00922B6E" w:rsidP="00922B6E">
            <w:pPr>
              <w:jc w:val="right"/>
              <w:rPr>
                <w:b/>
                <w:bCs/>
                <w:color w:val="000000"/>
                <w:szCs w:val="18"/>
              </w:rPr>
            </w:pPr>
            <w:r w:rsidRPr="00D679BE">
              <w:rPr>
                <w:b/>
                <w:bCs/>
                <w:color w:val="000000"/>
                <w:szCs w:val="18"/>
              </w:rPr>
              <w:t>€ 1</w:t>
            </w:r>
            <w:r w:rsidR="00E82557" w:rsidRPr="00D679BE">
              <w:rPr>
                <w:b/>
                <w:bCs/>
                <w:color w:val="000000"/>
                <w:szCs w:val="18"/>
              </w:rPr>
              <w:t>9</w:t>
            </w:r>
            <w:r w:rsidR="00510560">
              <w:rPr>
                <w:b/>
                <w:bCs/>
                <w:color w:val="000000"/>
                <w:szCs w:val="18"/>
              </w:rPr>
              <w:t>9</w:t>
            </w:r>
            <w:r w:rsidRPr="00D679BE">
              <w:rPr>
                <w:b/>
                <w:bCs/>
                <w:color w:val="000000"/>
                <w:szCs w:val="18"/>
              </w:rPr>
              <w:t>.</w:t>
            </w:r>
            <w:r w:rsidR="00510560">
              <w:rPr>
                <w:b/>
                <w:bCs/>
                <w:color w:val="000000"/>
                <w:szCs w:val="18"/>
              </w:rPr>
              <w:t>95</w:t>
            </w:r>
            <w:r w:rsidRPr="00D679BE">
              <w:rPr>
                <w:b/>
                <w:bCs/>
                <w:color w:val="000000"/>
                <w:szCs w:val="18"/>
              </w:rPr>
              <w:t>0</w:t>
            </w:r>
          </w:p>
        </w:tc>
        <w:tc>
          <w:tcPr>
            <w:tcW w:w="1530" w:type="dxa"/>
            <w:noWrap/>
            <w:vAlign w:val="center"/>
            <w:hideMark/>
          </w:tcPr>
          <w:p w14:paraId="03B7373F" w14:textId="2234CD63" w:rsidR="00922B6E" w:rsidRPr="00D679BE" w:rsidRDefault="00922B6E" w:rsidP="00922B6E">
            <w:pPr>
              <w:jc w:val="center"/>
              <w:rPr>
                <w:b/>
                <w:bCs/>
                <w:color w:val="000000"/>
                <w:szCs w:val="18"/>
              </w:rPr>
            </w:pPr>
            <w:r w:rsidRPr="00D679BE">
              <w:rPr>
                <w:b/>
                <w:bCs/>
                <w:color w:val="000000"/>
                <w:szCs w:val="18"/>
              </w:rPr>
              <w:t xml:space="preserve">€ </w:t>
            </w:r>
            <w:r w:rsidR="00E82557" w:rsidRPr="00D679BE">
              <w:rPr>
                <w:b/>
                <w:bCs/>
                <w:color w:val="000000"/>
                <w:szCs w:val="18"/>
              </w:rPr>
              <w:t>7</w:t>
            </w:r>
            <w:r w:rsidR="00510560">
              <w:rPr>
                <w:b/>
                <w:bCs/>
                <w:color w:val="000000"/>
                <w:szCs w:val="18"/>
              </w:rPr>
              <w:t>2</w:t>
            </w:r>
            <w:r w:rsidRPr="00D679BE">
              <w:rPr>
                <w:b/>
                <w:bCs/>
                <w:color w:val="000000"/>
                <w:szCs w:val="18"/>
              </w:rPr>
              <w:t>,</w:t>
            </w:r>
            <w:r w:rsidR="00510560">
              <w:rPr>
                <w:b/>
                <w:bCs/>
                <w:color w:val="000000"/>
                <w:szCs w:val="18"/>
              </w:rPr>
              <w:t>7</w:t>
            </w:r>
            <w:r w:rsidRPr="00D679BE">
              <w:rPr>
                <w:b/>
                <w:bCs/>
                <w:color w:val="000000"/>
                <w:szCs w:val="18"/>
              </w:rPr>
              <w:t>1</w:t>
            </w:r>
          </w:p>
        </w:tc>
      </w:tr>
    </w:tbl>
    <w:p w14:paraId="37BFD3E3" w14:textId="62037F2E" w:rsidR="00CD4B52" w:rsidRPr="00D679BE" w:rsidRDefault="00CD4B52" w:rsidP="00CD4B52">
      <w:pPr>
        <w:spacing w:after="200" w:line="276" w:lineRule="auto"/>
        <w:rPr>
          <w:rFonts w:eastAsia="Calibri"/>
          <w:b/>
        </w:rPr>
      </w:pPr>
      <w:r w:rsidRPr="00D679BE">
        <w:rPr>
          <w:rFonts w:eastAsia="Calibri"/>
          <w:b/>
        </w:rPr>
        <w:t>Vaststelling in twee verschillende situaties</w:t>
      </w:r>
      <w:r w:rsidR="001C3186">
        <w:rPr>
          <w:rFonts w:eastAsia="Calibri"/>
          <w:b/>
        </w:rPr>
        <w:t xml:space="preserve"> (fictief voorbeeld)</w:t>
      </w:r>
      <w:r w:rsidRPr="00D679BE">
        <w:rPr>
          <w:rFonts w:eastAsia="Calibri"/>
          <w:b/>
        </w:rPr>
        <w:t>:</w:t>
      </w:r>
    </w:p>
    <w:tbl>
      <w:tblPr>
        <w:tblW w:w="9691" w:type="dxa"/>
        <w:tblInd w:w="-200" w:type="dxa"/>
        <w:tblCellMar>
          <w:left w:w="70" w:type="dxa"/>
          <w:right w:w="70" w:type="dxa"/>
        </w:tblCellMar>
        <w:tblLook w:val="04A0" w:firstRow="1" w:lastRow="0" w:firstColumn="1" w:lastColumn="0" w:noHBand="0" w:noVBand="1"/>
      </w:tblPr>
      <w:tblGrid>
        <w:gridCol w:w="9691"/>
      </w:tblGrid>
      <w:tr w:rsidR="00B82350" w:rsidRPr="00D679BE" w14:paraId="3C9FEB58" w14:textId="77777777" w:rsidTr="00B82350">
        <w:trPr>
          <w:trHeight w:val="300"/>
        </w:trPr>
        <w:tc>
          <w:tcPr>
            <w:tcW w:w="9691" w:type="dxa"/>
            <w:tcBorders>
              <w:top w:val="nil"/>
              <w:left w:val="nil"/>
              <w:bottom w:val="nil"/>
              <w:right w:val="nil"/>
            </w:tcBorders>
            <w:noWrap/>
            <w:vAlign w:val="center"/>
            <w:hideMark/>
          </w:tcPr>
          <w:p w14:paraId="3C6CFFD9" w14:textId="75E20C00" w:rsidR="00B82350" w:rsidRPr="00D679BE" w:rsidRDefault="00B82350" w:rsidP="00B82350">
            <w:pPr>
              <w:spacing w:line="240" w:lineRule="auto"/>
              <w:ind w:firstLineChars="200" w:firstLine="360"/>
              <w:rPr>
                <w:color w:val="000000"/>
                <w:szCs w:val="18"/>
              </w:rPr>
            </w:pPr>
            <w:r w:rsidRPr="00D679BE">
              <w:rPr>
                <w:rFonts w:eastAsia="Calibri" w:cs="Calibri"/>
                <w:color w:val="000000"/>
                <w:szCs w:val="18"/>
              </w:rPr>
              <w:lastRenderedPageBreak/>
              <w:t>1.</w:t>
            </w:r>
            <w:r w:rsidR="00027DDF">
              <w:rPr>
                <w:rFonts w:eastAsia="Calibri"/>
                <w:color w:val="000000"/>
                <w:szCs w:val="18"/>
              </w:rPr>
              <w:t xml:space="preserve">   </w:t>
            </w:r>
            <w:r w:rsidRPr="00D679BE">
              <w:rPr>
                <w:rFonts w:eastAsia="Calibri" w:cs="Calibri"/>
                <w:color w:val="000000"/>
                <w:szCs w:val="18"/>
              </w:rPr>
              <w:t xml:space="preserve">Rekenfactor in Inschrijving van opdrachtnemer is </w:t>
            </w:r>
            <w:r w:rsidRPr="00D679BE">
              <w:rPr>
                <w:rFonts w:eastAsia="Calibri" w:cs="Calibri"/>
                <w:b/>
                <w:bCs/>
                <w:color w:val="000000"/>
                <w:szCs w:val="18"/>
              </w:rPr>
              <w:t>1,</w:t>
            </w:r>
            <w:r w:rsidR="001C3186">
              <w:rPr>
                <w:rFonts w:eastAsia="Calibri" w:cs="Calibri"/>
                <w:b/>
                <w:bCs/>
                <w:color w:val="000000"/>
                <w:szCs w:val="18"/>
              </w:rPr>
              <w:t>0</w:t>
            </w:r>
            <w:r w:rsidRPr="00D679BE">
              <w:rPr>
                <w:rFonts w:eastAsia="Calibri" w:cs="Calibri"/>
                <w:b/>
                <w:bCs/>
                <w:color w:val="000000"/>
                <w:szCs w:val="18"/>
              </w:rPr>
              <w:t>0</w:t>
            </w:r>
          </w:p>
        </w:tc>
      </w:tr>
      <w:tr w:rsidR="00B82350" w:rsidRPr="00D679BE" w14:paraId="4E0E9581" w14:textId="77777777" w:rsidTr="00B82350">
        <w:trPr>
          <w:trHeight w:val="300"/>
        </w:trPr>
        <w:tc>
          <w:tcPr>
            <w:tcW w:w="9691" w:type="dxa"/>
            <w:tcBorders>
              <w:top w:val="nil"/>
              <w:left w:val="nil"/>
              <w:bottom w:val="nil"/>
              <w:right w:val="nil"/>
            </w:tcBorders>
            <w:noWrap/>
            <w:vAlign w:val="center"/>
            <w:hideMark/>
          </w:tcPr>
          <w:p w14:paraId="5E145BB2" w14:textId="72638090" w:rsidR="00B82350" w:rsidRPr="008627DC" w:rsidRDefault="00B82350" w:rsidP="00027DDF">
            <w:pPr>
              <w:pStyle w:val="Lijstalinea"/>
              <w:numPr>
                <w:ilvl w:val="0"/>
                <w:numId w:val="16"/>
              </w:numPr>
              <w:spacing w:line="276" w:lineRule="auto"/>
              <w:ind w:left="1696" w:hanging="284"/>
              <w:rPr>
                <w:rFonts w:eastAsia="Calibri" w:cs="Calibri"/>
                <w:color w:val="000000"/>
                <w:szCs w:val="18"/>
              </w:rPr>
            </w:pPr>
            <w:r w:rsidRPr="00D679BE">
              <w:rPr>
                <w:rFonts w:eastAsia="Calibri" w:cs="Calibri"/>
                <w:color w:val="000000"/>
                <w:szCs w:val="18"/>
              </w:rPr>
              <w:t xml:space="preserve">KPI-grens is uitgerekend gemiddeld tarief overheidstarieven (€ </w:t>
            </w:r>
            <w:r w:rsidR="00E82557" w:rsidRPr="00D679BE">
              <w:rPr>
                <w:rFonts w:eastAsia="Calibri" w:cs="Calibri"/>
                <w:color w:val="000000"/>
                <w:szCs w:val="18"/>
              </w:rPr>
              <w:t>7</w:t>
            </w:r>
            <w:r w:rsidR="00510560">
              <w:rPr>
                <w:rFonts w:eastAsia="Calibri" w:cs="Calibri"/>
                <w:color w:val="000000"/>
                <w:szCs w:val="18"/>
              </w:rPr>
              <w:t>2</w:t>
            </w:r>
            <w:r w:rsidRPr="00D679BE">
              <w:rPr>
                <w:rFonts w:eastAsia="Calibri" w:cs="Calibri"/>
                <w:color w:val="000000"/>
                <w:szCs w:val="18"/>
              </w:rPr>
              <w:t>,</w:t>
            </w:r>
            <w:r w:rsidR="00510560">
              <w:rPr>
                <w:rFonts w:eastAsia="Calibri" w:cs="Calibri"/>
                <w:color w:val="000000"/>
                <w:szCs w:val="18"/>
              </w:rPr>
              <w:t>7</w:t>
            </w:r>
            <w:r w:rsidRPr="00D679BE">
              <w:rPr>
                <w:rFonts w:eastAsia="Calibri" w:cs="Calibri"/>
                <w:color w:val="000000"/>
                <w:szCs w:val="18"/>
              </w:rPr>
              <w:t xml:space="preserve">1) maal de opgegeven factor (1,0) is </w:t>
            </w:r>
            <w:r w:rsidRPr="008627DC">
              <w:rPr>
                <w:rFonts w:eastAsia="Calibri" w:cs="Calibri"/>
                <w:b/>
                <w:bCs/>
                <w:color w:val="000000"/>
                <w:szCs w:val="18"/>
              </w:rPr>
              <w:t>€ </w:t>
            </w:r>
            <w:r w:rsidR="001B03E3" w:rsidRPr="008627DC">
              <w:rPr>
                <w:rFonts w:eastAsia="Calibri" w:cs="Calibri"/>
                <w:b/>
                <w:bCs/>
                <w:color w:val="000000"/>
                <w:szCs w:val="18"/>
              </w:rPr>
              <w:t>7</w:t>
            </w:r>
            <w:r w:rsidR="00510560" w:rsidRPr="008627DC">
              <w:rPr>
                <w:rFonts w:eastAsia="Calibri" w:cs="Calibri"/>
                <w:b/>
                <w:bCs/>
                <w:color w:val="000000"/>
                <w:szCs w:val="18"/>
              </w:rPr>
              <w:t>2</w:t>
            </w:r>
            <w:r w:rsidRPr="008627DC">
              <w:rPr>
                <w:rFonts w:eastAsia="Calibri" w:cs="Calibri"/>
                <w:b/>
                <w:bCs/>
                <w:color w:val="000000"/>
                <w:szCs w:val="18"/>
              </w:rPr>
              <w:t>,</w:t>
            </w:r>
            <w:r w:rsidR="00510560" w:rsidRPr="008627DC">
              <w:rPr>
                <w:rFonts w:eastAsia="Calibri" w:cs="Calibri"/>
                <w:b/>
                <w:bCs/>
                <w:color w:val="000000"/>
                <w:szCs w:val="18"/>
              </w:rPr>
              <w:t>7</w:t>
            </w:r>
            <w:r w:rsidRPr="008627DC">
              <w:rPr>
                <w:rFonts w:eastAsia="Calibri" w:cs="Calibri"/>
                <w:b/>
                <w:bCs/>
                <w:color w:val="000000"/>
                <w:szCs w:val="18"/>
              </w:rPr>
              <w:t>1;</w:t>
            </w:r>
          </w:p>
        </w:tc>
      </w:tr>
      <w:tr w:rsidR="00B82350" w:rsidRPr="00D679BE" w14:paraId="73E72C28" w14:textId="77777777" w:rsidTr="00B82350">
        <w:trPr>
          <w:trHeight w:val="300"/>
        </w:trPr>
        <w:tc>
          <w:tcPr>
            <w:tcW w:w="9691" w:type="dxa"/>
            <w:tcBorders>
              <w:top w:val="nil"/>
              <w:left w:val="nil"/>
              <w:bottom w:val="nil"/>
              <w:right w:val="nil"/>
            </w:tcBorders>
            <w:noWrap/>
            <w:vAlign w:val="center"/>
            <w:hideMark/>
          </w:tcPr>
          <w:p w14:paraId="208A478A" w14:textId="50D2063E" w:rsidR="008627DC" w:rsidRPr="008627DC" w:rsidRDefault="00B82350" w:rsidP="008627DC">
            <w:pPr>
              <w:spacing w:line="276" w:lineRule="auto"/>
              <w:ind w:firstLineChars="784" w:firstLine="1411"/>
              <w:rPr>
                <w:rFonts w:eastAsia="Calibri" w:cs="Calibri"/>
                <w:b/>
                <w:bCs/>
                <w:color w:val="000000"/>
                <w:szCs w:val="18"/>
              </w:rPr>
            </w:pPr>
            <w:r w:rsidRPr="00D679BE">
              <w:rPr>
                <w:rFonts w:eastAsia="Calibri" w:cs="Calibri"/>
                <w:color w:val="000000"/>
                <w:szCs w:val="18"/>
              </w:rPr>
              <w:t>b.</w:t>
            </w:r>
            <w:r w:rsidR="00027DDF">
              <w:rPr>
                <w:rFonts w:eastAsia="Calibri"/>
                <w:color w:val="000000"/>
                <w:szCs w:val="18"/>
              </w:rPr>
              <w:t xml:space="preserve">  </w:t>
            </w:r>
            <w:r w:rsidRPr="00D679BE">
              <w:rPr>
                <w:rFonts w:eastAsia="Calibri" w:cs="Calibri"/>
                <w:color w:val="000000"/>
                <w:szCs w:val="18"/>
              </w:rPr>
              <w:t xml:space="preserve">Het gerealiseerde gemiddelde tarief bij de </w:t>
            </w:r>
            <w:r w:rsidR="00695257">
              <w:rPr>
                <w:rFonts w:eastAsia="Calibri" w:cs="Calibri"/>
                <w:color w:val="000000"/>
                <w:szCs w:val="18"/>
              </w:rPr>
              <w:t>Aanvra</w:t>
            </w:r>
            <w:r w:rsidRPr="00D679BE">
              <w:rPr>
                <w:rFonts w:eastAsia="Calibri" w:cs="Calibri"/>
                <w:color w:val="000000"/>
                <w:szCs w:val="18"/>
              </w:rPr>
              <w:t xml:space="preserve">gen is </w:t>
            </w:r>
            <w:r w:rsidRPr="00D679BE">
              <w:rPr>
                <w:rFonts w:eastAsia="Calibri" w:cs="Calibri"/>
                <w:b/>
                <w:bCs/>
                <w:color w:val="000000"/>
                <w:szCs w:val="18"/>
              </w:rPr>
              <w:t xml:space="preserve">€ </w:t>
            </w:r>
            <w:r w:rsidR="008C259D" w:rsidRPr="00D679BE">
              <w:rPr>
                <w:rFonts w:eastAsia="Calibri" w:cs="Calibri"/>
                <w:b/>
                <w:bCs/>
                <w:color w:val="000000"/>
                <w:szCs w:val="18"/>
              </w:rPr>
              <w:t>7</w:t>
            </w:r>
            <w:r w:rsidR="00510560">
              <w:rPr>
                <w:rFonts w:eastAsia="Calibri" w:cs="Calibri"/>
                <w:b/>
                <w:bCs/>
                <w:color w:val="000000"/>
                <w:szCs w:val="18"/>
              </w:rPr>
              <w:t>4</w:t>
            </w:r>
            <w:r w:rsidR="008C259D" w:rsidRPr="00D679BE">
              <w:rPr>
                <w:rFonts w:eastAsia="Calibri" w:cs="Calibri"/>
                <w:b/>
                <w:bCs/>
                <w:color w:val="000000"/>
                <w:szCs w:val="18"/>
              </w:rPr>
              <w:t>,</w:t>
            </w:r>
            <w:r w:rsidR="00F71D59">
              <w:rPr>
                <w:rFonts w:eastAsia="Calibri" w:cs="Calibri"/>
                <w:b/>
                <w:bCs/>
                <w:color w:val="000000"/>
                <w:szCs w:val="18"/>
              </w:rPr>
              <w:t>11</w:t>
            </w:r>
            <w:r w:rsidRPr="00D679BE">
              <w:rPr>
                <w:rFonts w:eastAsia="Calibri" w:cs="Calibri"/>
                <w:b/>
                <w:bCs/>
                <w:color w:val="000000"/>
                <w:szCs w:val="18"/>
              </w:rPr>
              <w:t>;</w:t>
            </w:r>
          </w:p>
        </w:tc>
      </w:tr>
      <w:tr w:rsidR="00B82350" w:rsidRPr="00D679BE" w14:paraId="41034404" w14:textId="77777777" w:rsidTr="00B82350">
        <w:trPr>
          <w:trHeight w:val="375"/>
        </w:trPr>
        <w:tc>
          <w:tcPr>
            <w:tcW w:w="9691" w:type="dxa"/>
            <w:tcBorders>
              <w:top w:val="nil"/>
              <w:left w:val="nil"/>
              <w:bottom w:val="nil"/>
              <w:right w:val="nil"/>
            </w:tcBorders>
            <w:noWrap/>
            <w:vAlign w:val="center"/>
            <w:hideMark/>
          </w:tcPr>
          <w:p w14:paraId="0695EF20" w14:textId="7755CB8B" w:rsidR="00B82350" w:rsidRPr="008627DC" w:rsidRDefault="00B82350" w:rsidP="008627DC">
            <w:pPr>
              <w:pStyle w:val="Lijstalinea"/>
              <w:spacing w:line="276" w:lineRule="auto"/>
              <w:ind w:left="1890" w:hanging="478"/>
              <w:rPr>
                <w:rFonts w:eastAsia="Calibri" w:cs="Calibri"/>
                <w:color w:val="000000"/>
                <w:szCs w:val="18"/>
              </w:rPr>
            </w:pPr>
            <w:r w:rsidRPr="00D679BE">
              <w:rPr>
                <w:rFonts w:eastAsia="Calibri" w:cs="Calibri"/>
                <w:color w:val="000000"/>
                <w:szCs w:val="18"/>
              </w:rPr>
              <w:t>c.</w:t>
            </w:r>
            <w:r w:rsidR="00027DDF">
              <w:rPr>
                <w:rFonts w:eastAsia="Calibri" w:cs="Calibri"/>
                <w:color w:val="000000"/>
                <w:szCs w:val="18"/>
              </w:rPr>
              <w:t xml:space="preserve">  </w:t>
            </w:r>
            <w:r w:rsidRPr="00D679BE">
              <w:rPr>
                <w:rFonts w:eastAsia="Calibri" w:cs="Calibri"/>
                <w:color w:val="000000"/>
                <w:szCs w:val="18"/>
              </w:rPr>
              <w:t xml:space="preserve">Gerealiseerd gemiddeld tarief is dus </w:t>
            </w:r>
            <w:r w:rsidRPr="008627DC">
              <w:rPr>
                <w:rFonts w:eastAsia="Calibri" w:cs="Calibri"/>
                <w:color w:val="000000"/>
                <w:szCs w:val="18"/>
              </w:rPr>
              <w:t>hoger</w:t>
            </w:r>
            <w:r w:rsidRPr="00D679BE">
              <w:rPr>
                <w:rFonts w:eastAsia="Calibri" w:cs="Calibri"/>
                <w:color w:val="000000"/>
                <w:szCs w:val="18"/>
              </w:rPr>
              <w:t xml:space="preserve"> dan de KPI-grens</w:t>
            </w:r>
            <w:r w:rsidRPr="008627DC">
              <w:rPr>
                <w:rFonts w:eastAsia="Calibri" w:cs="Calibri"/>
                <w:color w:val="000000"/>
                <w:szCs w:val="18"/>
              </w:rPr>
              <w:t xml:space="preserve"> </w:t>
            </w:r>
            <w:r w:rsidRPr="00D679BE">
              <w:rPr>
                <w:rFonts w:eastAsia="Calibri" w:cs="Calibri"/>
                <w:color w:val="000000"/>
                <w:szCs w:val="18"/>
              </w:rPr>
              <w:t xml:space="preserve">-&gt; </w:t>
            </w:r>
            <w:r w:rsidRPr="008627DC">
              <w:rPr>
                <w:rFonts w:eastAsia="Calibri" w:cs="Calibri"/>
                <w:color w:val="000000"/>
                <w:szCs w:val="18"/>
              </w:rPr>
              <w:t>wel</w:t>
            </w:r>
            <w:r w:rsidRPr="00D679BE">
              <w:rPr>
                <w:rFonts w:eastAsia="Calibri" w:cs="Calibri"/>
                <w:color w:val="000000"/>
                <w:szCs w:val="18"/>
              </w:rPr>
              <w:t xml:space="preserve"> gele kaart.</w:t>
            </w:r>
          </w:p>
        </w:tc>
      </w:tr>
      <w:tr w:rsidR="00B82350" w:rsidRPr="00D679BE" w14:paraId="1CBD71D8" w14:textId="77777777" w:rsidTr="00B82350">
        <w:trPr>
          <w:trHeight w:val="300"/>
        </w:trPr>
        <w:tc>
          <w:tcPr>
            <w:tcW w:w="9691" w:type="dxa"/>
            <w:tcBorders>
              <w:top w:val="nil"/>
              <w:left w:val="nil"/>
              <w:bottom w:val="nil"/>
              <w:right w:val="nil"/>
            </w:tcBorders>
            <w:noWrap/>
            <w:vAlign w:val="bottom"/>
            <w:hideMark/>
          </w:tcPr>
          <w:p w14:paraId="3555196E" w14:textId="77777777" w:rsidR="00B82350" w:rsidRPr="00D679BE" w:rsidRDefault="00B82350" w:rsidP="00B82350">
            <w:pPr>
              <w:spacing w:line="240" w:lineRule="auto"/>
              <w:rPr>
                <w:color w:val="000000"/>
                <w:szCs w:val="18"/>
              </w:rPr>
            </w:pPr>
          </w:p>
        </w:tc>
      </w:tr>
      <w:tr w:rsidR="00B82350" w:rsidRPr="00D679BE" w14:paraId="6C34A28D" w14:textId="77777777" w:rsidTr="00B82350">
        <w:trPr>
          <w:trHeight w:val="300"/>
        </w:trPr>
        <w:tc>
          <w:tcPr>
            <w:tcW w:w="9691" w:type="dxa"/>
            <w:tcBorders>
              <w:top w:val="nil"/>
              <w:left w:val="nil"/>
              <w:bottom w:val="nil"/>
              <w:right w:val="nil"/>
            </w:tcBorders>
            <w:noWrap/>
            <w:vAlign w:val="center"/>
            <w:hideMark/>
          </w:tcPr>
          <w:p w14:paraId="2AC53FFD" w14:textId="0BB62B9B" w:rsidR="00B82350" w:rsidRPr="00D679BE" w:rsidRDefault="00B82350" w:rsidP="00B82350">
            <w:pPr>
              <w:spacing w:line="240" w:lineRule="auto"/>
              <w:ind w:firstLineChars="200" w:firstLine="360"/>
              <w:rPr>
                <w:color w:val="000000"/>
                <w:szCs w:val="18"/>
              </w:rPr>
            </w:pPr>
            <w:r w:rsidRPr="00D679BE">
              <w:rPr>
                <w:rFonts w:eastAsia="Calibri" w:cs="Calibri"/>
                <w:color w:val="000000"/>
                <w:szCs w:val="18"/>
              </w:rPr>
              <w:t>2.</w:t>
            </w:r>
            <w:r w:rsidR="00027DDF">
              <w:rPr>
                <w:rFonts w:eastAsia="Calibri"/>
                <w:color w:val="000000"/>
                <w:szCs w:val="18"/>
              </w:rPr>
              <w:t xml:space="preserve">   </w:t>
            </w:r>
            <w:r w:rsidRPr="00D679BE">
              <w:rPr>
                <w:rFonts w:eastAsia="Calibri" w:cs="Calibri"/>
                <w:color w:val="000000"/>
                <w:szCs w:val="18"/>
              </w:rPr>
              <w:t xml:space="preserve">Rekenfactor in Inschrijving van opdrachtnemer is </w:t>
            </w:r>
            <w:r w:rsidRPr="00D679BE">
              <w:rPr>
                <w:rFonts w:eastAsia="Calibri" w:cs="Calibri"/>
                <w:b/>
                <w:bCs/>
                <w:color w:val="000000"/>
                <w:szCs w:val="18"/>
              </w:rPr>
              <w:t>1,2.</w:t>
            </w:r>
          </w:p>
        </w:tc>
      </w:tr>
      <w:tr w:rsidR="00B82350" w:rsidRPr="00D679BE" w14:paraId="34200FBF" w14:textId="77777777" w:rsidTr="00B82350">
        <w:trPr>
          <w:trHeight w:val="300"/>
        </w:trPr>
        <w:tc>
          <w:tcPr>
            <w:tcW w:w="9691" w:type="dxa"/>
            <w:tcBorders>
              <w:top w:val="nil"/>
              <w:left w:val="nil"/>
              <w:bottom w:val="nil"/>
              <w:right w:val="nil"/>
            </w:tcBorders>
            <w:noWrap/>
            <w:vAlign w:val="center"/>
            <w:hideMark/>
          </w:tcPr>
          <w:p w14:paraId="3A4CECAA" w14:textId="1251FF81" w:rsidR="00B82350" w:rsidRPr="008627DC" w:rsidRDefault="00B82350" w:rsidP="00027DDF">
            <w:pPr>
              <w:pStyle w:val="Lijstalinea"/>
              <w:spacing w:line="276" w:lineRule="auto"/>
              <w:ind w:left="1696" w:hanging="284"/>
              <w:rPr>
                <w:rFonts w:eastAsia="Calibri" w:cs="Calibri"/>
                <w:color w:val="000000"/>
                <w:szCs w:val="18"/>
              </w:rPr>
            </w:pPr>
            <w:r w:rsidRPr="00D679BE">
              <w:rPr>
                <w:rFonts w:eastAsia="Calibri" w:cs="Calibri"/>
                <w:color w:val="000000"/>
                <w:szCs w:val="18"/>
              </w:rPr>
              <w:t>a.</w:t>
            </w:r>
            <w:r w:rsidR="00027DDF">
              <w:rPr>
                <w:rFonts w:eastAsia="Calibri" w:cs="Calibri"/>
                <w:color w:val="000000"/>
                <w:szCs w:val="18"/>
              </w:rPr>
              <w:t xml:space="preserve">  </w:t>
            </w:r>
            <w:r w:rsidRPr="00D679BE">
              <w:rPr>
                <w:rFonts w:eastAsia="Calibri" w:cs="Calibri"/>
                <w:color w:val="000000"/>
                <w:szCs w:val="18"/>
              </w:rPr>
              <w:t>KPI-grens is uitgerekend gemiddeld</w:t>
            </w:r>
            <w:r w:rsidR="001B03E3" w:rsidRPr="00D679BE">
              <w:rPr>
                <w:rFonts w:eastAsia="Calibri" w:cs="Calibri"/>
                <w:color w:val="000000"/>
                <w:szCs w:val="18"/>
              </w:rPr>
              <w:t xml:space="preserve"> tarief overheidstarieven (€ 7</w:t>
            </w:r>
            <w:r w:rsidR="00510560">
              <w:rPr>
                <w:rFonts w:eastAsia="Calibri" w:cs="Calibri"/>
                <w:color w:val="000000"/>
                <w:szCs w:val="18"/>
              </w:rPr>
              <w:t>2</w:t>
            </w:r>
            <w:r w:rsidRPr="00D679BE">
              <w:rPr>
                <w:rFonts w:eastAsia="Calibri" w:cs="Calibri"/>
                <w:color w:val="000000"/>
                <w:szCs w:val="18"/>
              </w:rPr>
              <w:t>,</w:t>
            </w:r>
            <w:r w:rsidR="00510560">
              <w:rPr>
                <w:rFonts w:eastAsia="Calibri" w:cs="Calibri"/>
                <w:color w:val="000000"/>
                <w:szCs w:val="18"/>
              </w:rPr>
              <w:t>7</w:t>
            </w:r>
            <w:r w:rsidRPr="00D679BE">
              <w:rPr>
                <w:rFonts w:eastAsia="Calibri" w:cs="Calibri"/>
                <w:color w:val="000000"/>
                <w:szCs w:val="18"/>
              </w:rPr>
              <w:t>1) maal de opgegeven factor (1,20) is</w:t>
            </w:r>
            <w:r w:rsidR="008627DC">
              <w:rPr>
                <w:rFonts w:eastAsia="Calibri" w:cs="Calibri"/>
                <w:color w:val="000000"/>
                <w:szCs w:val="18"/>
              </w:rPr>
              <w:t xml:space="preserve"> </w:t>
            </w:r>
            <w:r w:rsidR="001B03E3" w:rsidRPr="008627DC">
              <w:rPr>
                <w:rFonts w:eastAsia="Calibri" w:cs="Calibri"/>
                <w:b/>
                <w:bCs/>
                <w:color w:val="000000"/>
                <w:szCs w:val="18"/>
              </w:rPr>
              <w:t>€ 8</w:t>
            </w:r>
            <w:r w:rsidR="00510560" w:rsidRPr="008627DC">
              <w:rPr>
                <w:rFonts w:eastAsia="Calibri" w:cs="Calibri"/>
                <w:b/>
                <w:bCs/>
                <w:color w:val="000000"/>
                <w:szCs w:val="18"/>
              </w:rPr>
              <w:t>7</w:t>
            </w:r>
            <w:r w:rsidR="001B03E3" w:rsidRPr="008627DC">
              <w:rPr>
                <w:rFonts w:eastAsia="Calibri" w:cs="Calibri"/>
                <w:b/>
                <w:bCs/>
                <w:color w:val="000000"/>
                <w:szCs w:val="18"/>
              </w:rPr>
              <w:t>,</w:t>
            </w:r>
            <w:r w:rsidR="00510560" w:rsidRPr="008627DC">
              <w:rPr>
                <w:rFonts w:eastAsia="Calibri" w:cs="Calibri"/>
                <w:b/>
                <w:bCs/>
                <w:color w:val="000000"/>
                <w:szCs w:val="18"/>
              </w:rPr>
              <w:t>25</w:t>
            </w:r>
          </w:p>
        </w:tc>
      </w:tr>
      <w:tr w:rsidR="00B82350" w:rsidRPr="00D679BE" w14:paraId="6B3894C8" w14:textId="77777777" w:rsidTr="00B82350">
        <w:trPr>
          <w:trHeight w:val="300"/>
        </w:trPr>
        <w:tc>
          <w:tcPr>
            <w:tcW w:w="9691" w:type="dxa"/>
            <w:tcBorders>
              <w:top w:val="nil"/>
              <w:left w:val="nil"/>
              <w:bottom w:val="nil"/>
              <w:right w:val="nil"/>
            </w:tcBorders>
            <w:noWrap/>
            <w:vAlign w:val="center"/>
            <w:hideMark/>
          </w:tcPr>
          <w:p w14:paraId="4D08F1FF" w14:textId="63BEF835" w:rsidR="00B82350" w:rsidRPr="00D679BE" w:rsidRDefault="00B82350" w:rsidP="008627DC">
            <w:pPr>
              <w:spacing w:line="276" w:lineRule="auto"/>
              <w:ind w:firstLineChars="784" w:firstLine="1411"/>
              <w:rPr>
                <w:color w:val="000000"/>
                <w:szCs w:val="18"/>
              </w:rPr>
            </w:pPr>
            <w:r w:rsidRPr="00D679BE">
              <w:rPr>
                <w:rFonts w:eastAsia="Calibri" w:cs="Calibri"/>
                <w:color w:val="000000"/>
                <w:szCs w:val="18"/>
              </w:rPr>
              <w:t>b.</w:t>
            </w:r>
            <w:r w:rsidR="00027DDF">
              <w:rPr>
                <w:rFonts w:eastAsia="Calibri"/>
                <w:color w:val="000000"/>
                <w:szCs w:val="18"/>
              </w:rPr>
              <w:t xml:space="preserve">  </w:t>
            </w:r>
            <w:r w:rsidRPr="00D679BE">
              <w:rPr>
                <w:rFonts w:eastAsia="Calibri" w:cs="Calibri"/>
                <w:color w:val="000000"/>
                <w:szCs w:val="18"/>
              </w:rPr>
              <w:t xml:space="preserve">Het gerealiseerde gemiddelde tarief bij de </w:t>
            </w:r>
            <w:r w:rsidR="00695257">
              <w:rPr>
                <w:rFonts w:eastAsia="Calibri" w:cs="Calibri"/>
                <w:color w:val="000000"/>
                <w:szCs w:val="18"/>
              </w:rPr>
              <w:t>Aanvra</w:t>
            </w:r>
            <w:r w:rsidRPr="00D679BE">
              <w:rPr>
                <w:rFonts w:eastAsia="Calibri" w:cs="Calibri"/>
                <w:color w:val="000000"/>
                <w:szCs w:val="18"/>
              </w:rPr>
              <w:t xml:space="preserve">gen is </w:t>
            </w:r>
            <w:r w:rsidRPr="00D679BE">
              <w:rPr>
                <w:rFonts w:eastAsia="Calibri" w:cs="Calibri"/>
                <w:b/>
                <w:bCs/>
                <w:color w:val="000000"/>
                <w:szCs w:val="18"/>
              </w:rPr>
              <w:t xml:space="preserve">€ </w:t>
            </w:r>
            <w:r w:rsidR="00D807E3" w:rsidRPr="00D679BE">
              <w:rPr>
                <w:rFonts w:eastAsia="Calibri" w:cs="Calibri"/>
                <w:b/>
                <w:bCs/>
                <w:color w:val="000000"/>
                <w:szCs w:val="18"/>
              </w:rPr>
              <w:t>7</w:t>
            </w:r>
            <w:r w:rsidR="00510560">
              <w:rPr>
                <w:rFonts w:eastAsia="Calibri" w:cs="Calibri"/>
                <w:b/>
                <w:bCs/>
                <w:color w:val="000000"/>
                <w:szCs w:val="18"/>
              </w:rPr>
              <w:t>4</w:t>
            </w:r>
            <w:r w:rsidR="005A771D" w:rsidRPr="00D679BE">
              <w:rPr>
                <w:rFonts w:eastAsia="Calibri" w:cs="Calibri"/>
                <w:b/>
                <w:bCs/>
                <w:color w:val="000000"/>
                <w:szCs w:val="18"/>
              </w:rPr>
              <w:t>,</w:t>
            </w:r>
            <w:r w:rsidR="00F71D59">
              <w:rPr>
                <w:rFonts w:eastAsia="Calibri" w:cs="Calibri"/>
                <w:b/>
                <w:bCs/>
                <w:color w:val="000000"/>
                <w:szCs w:val="18"/>
              </w:rPr>
              <w:t>11</w:t>
            </w:r>
            <w:r w:rsidRPr="00D679BE">
              <w:rPr>
                <w:rFonts w:eastAsia="Calibri" w:cs="Calibri"/>
                <w:b/>
                <w:bCs/>
                <w:color w:val="000000"/>
                <w:szCs w:val="18"/>
              </w:rPr>
              <w:t>;</w:t>
            </w:r>
          </w:p>
        </w:tc>
      </w:tr>
      <w:tr w:rsidR="00B82350" w:rsidRPr="00D679BE" w14:paraId="39A94859" w14:textId="77777777" w:rsidTr="00B82350">
        <w:trPr>
          <w:trHeight w:val="375"/>
        </w:trPr>
        <w:tc>
          <w:tcPr>
            <w:tcW w:w="9691" w:type="dxa"/>
            <w:tcBorders>
              <w:top w:val="nil"/>
              <w:left w:val="nil"/>
              <w:bottom w:val="nil"/>
              <w:right w:val="nil"/>
            </w:tcBorders>
            <w:noWrap/>
            <w:vAlign w:val="center"/>
            <w:hideMark/>
          </w:tcPr>
          <w:p w14:paraId="74B0B1FE" w14:textId="5F5B4F49" w:rsidR="00B82350" w:rsidRPr="00D679BE" w:rsidRDefault="00B82350" w:rsidP="008627DC">
            <w:pPr>
              <w:spacing w:line="276" w:lineRule="auto"/>
              <w:ind w:firstLineChars="784" w:firstLine="1411"/>
              <w:rPr>
                <w:color w:val="000000"/>
                <w:szCs w:val="18"/>
              </w:rPr>
            </w:pPr>
            <w:r w:rsidRPr="00D679BE">
              <w:rPr>
                <w:rFonts w:eastAsia="Calibri" w:cs="Calibri"/>
                <w:color w:val="000000"/>
                <w:szCs w:val="18"/>
              </w:rPr>
              <w:t>c.</w:t>
            </w:r>
            <w:r w:rsidR="00027DDF">
              <w:rPr>
                <w:rFonts w:eastAsia="Calibri"/>
                <w:color w:val="000000"/>
                <w:szCs w:val="18"/>
              </w:rPr>
              <w:t xml:space="preserve">  </w:t>
            </w:r>
            <w:r w:rsidRPr="00D679BE">
              <w:rPr>
                <w:rFonts w:eastAsia="Calibri" w:cs="Calibri"/>
                <w:color w:val="000000"/>
                <w:szCs w:val="18"/>
              </w:rPr>
              <w:t xml:space="preserve">Gerealiseerd gemiddeld tarief is dus </w:t>
            </w:r>
            <w:r w:rsidRPr="00D679BE">
              <w:rPr>
                <w:rFonts w:eastAsia="Calibri" w:cs="Calibri"/>
                <w:b/>
                <w:bCs/>
                <w:color w:val="000000"/>
                <w:szCs w:val="18"/>
              </w:rPr>
              <w:t>lager</w:t>
            </w:r>
            <w:r w:rsidRPr="00D679BE">
              <w:rPr>
                <w:rFonts w:eastAsia="Calibri" w:cs="Calibri"/>
                <w:color w:val="000000"/>
                <w:szCs w:val="18"/>
              </w:rPr>
              <w:t xml:space="preserve"> dan de KPI-grens</w:t>
            </w:r>
            <w:r w:rsidRPr="00D679BE">
              <w:rPr>
                <w:rFonts w:eastAsia="Calibri" w:cs="Calibri"/>
                <w:b/>
                <w:bCs/>
                <w:color w:val="000000"/>
                <w:szCs w:val="18"/>
              </w:rPr>
              <w:t xml:space="preserve"> </w:t>
            </w:r>
            <w:r w:rsidRPr="00D679BE">
              <w:rPr>
                <w:rFonts w:eastAsia="Calibri" w:cs="Calibri"/>
                <w:color w:val="000000"/>
                <w:szCs w:val="18"/>
              </w:rPr>
              <w:t xml:space="preserve">-&gt; </w:t>
            </w:r>
            <w:r w:rsidRPr="00D679BE">
              <w:rPr>
                <w:rFonts w:eastAsia="Calibri" w:cs="Calibri"/>
                <w:b/>
                <w:bCs/>
                <w:color w:val="000000"/>
                <w:szCs w:val="18"/>
              </w:rPr>
              <w:t>geen</w:t>
            </w:r>
            <w:r w:rsidRPr="00D679BE">
              <w:rPr>
                <w:rFonts w:eastAsia="Calibri" w:cs="Calibri"/>
                <w:color w:val="000000"/>
                <w:szCs w:val="18"/>
              </w:rPr>
              <w:t xml:space="preserve"> gele kaart. </w:t>
            </w:r>
          </w:p>
        </w:tc>
      </w:tr>
    </w:tbl>
    <w:p w14:paraId="5CD03910" w14:textId="77777777" w:rsidR="00CD4B52" w:rsidRPr="00D679BE" w:rsidRDefault="00CD4B52" w:rsidP="00CD4B52">
      <w:pPr>
        <w:pStyle w:val="Default"/>
        <w:rPr>
          <w:sz w:val="17"/>
          <w:szCs w:val="17"/>
        </w:rPr>
      </w:pPr>
    </w:p>
    <w:p w14:paraId="77513C63" w14:textId="74481AF1" w:rsidR="0090635E" w:rsidRDefault="000108CF" w:rsidP="00126D0C">
      <w:pPr>
        <w:spacing w:after="200" w:line="276" w:lineRule="auto"/>
      </w:pPr>
      <w:r w:rsidRPr="00D679BE">
        <w:t>De rekenfactor gemiddeld tarief richt zich dus alleen op de in de minicompetities daadwe</w:t>
      </w:r>
      <w:r w:rsidR="00126D0C" w:rsidRPr="00D679BE">
        <w:t>rkelijk aangeboden uurtarieven</w:t>
      </w:r>
      <w:r w:rsidR="00597F85">
        <w:t>.</w:t>
      </w:r>
    </w:p>
    <w:p w14:paraId="10B8133B" w14:textId="00C67177" w:rsidR="005A46B6" w:rsidRDefault="005A46B6" w:rsidP="00126D0C">
      <w:pPr>
        <w:spacing w:after="200" w:line="276" w:lineRule="auto"/>
      </w:pPr>
    </w:p>
    <w:p w14:paraId="57FB8A17" w14:textId="67ED8678" w:rsidR="005A46B6" w:rsidRDefault="005A46B6" w:rsidP="00126D0C">
      <w:pPr>
        <w:spacing w:after="200" w:line="276" w:lineRule="auto"/>
      </w:pPr>
    </w:p>
    <w:p w14:paraId="1E4CA767" w14:textId="7DBECCEB" w:rsidR="005A46B6" w:rsidRDefault="005A46B6" w:rsidP="00126D0C">
      <w:pPr>
        <w:spacing w:after="200" w:line="276" w:lineRule="auto"/>
      </w:pPr>
    </w:p>
    <w:p w14:paraId="1BC83D8C" w14:textId="6BEDE62B" w:rsidR="005A46B6" w:rsidRDefault="005A46B6" w:rsidP="00126D0C">
      <w:pPr>
        <w:spacing w:after="200" w:line="276" w:lineRule="auto"/>
      </w:pPr>
    </w:p>
    <w:p w14:paraId="20A3F64F" w14:textId="4D2D03C0" w:rsidR="005A46B6" w:rsidRDefault="005A46B6" w:rsidP="00126D0C">
      <w:pPr>
        <w:spacing w:after="200" w:line="276" w:lineRule="auto"/>
      </w:pPr>
    </w:p>
    <w:p w14:paraId="52F5A86D" w14:textId="354B48F9" w:rsidR="005A46B6" w:rsidRDefault="005A46B6" w:rsidP="00126D0C">
      <w:pPr>
        <w:spacing w:after="200" w:line="276" w:lineRule="auto"/>
      </w:pPr>
    </w:p>
    <w:p w14:paraId="243B3719" w14:textId="0EBD8E3B" w:rsidR="005A46B6" w:rsidRDefault="005A46B6" w:rsidP="00126D0C">
      <w:pPr>
        <w:spacing w:after="200" w:line="276" w:lineRule="auto"/>
      </w:pPr>
    </w:p>
    <w:p w14:paraId="1906203D" w14:textId="1B0F7D7C" w:rsidR="005A46B6" w:rsidRDefault="005A46B6" w:rsidP="00126D0C">
      <w:pPr>
        <w:spacing w:after="200" w:line="276" w:lineRule="auto"/>
      </w:pPr>
    </w:p>
    <w:p w14:paraId="3C4DAFCD" w14:textId="0B5E1654" w:rsidR="005A46B6" w:rsidRDefault="005A46B6" w:rsidP="00126D0C">
      <w:pPr>
        <w:spacing w:after="200" w:line="276" w:lineRule="auto"/>
      </w:pPr>
    </w:p>
    <w:p w14:paraId="338B599A" w14:textId="03F92E8F" w:rsidR="005A46B6" w:rsidRDefault="005A46B6" w:rsidP="00126D0C">
      <w:pPr>
        <w:spacing w:after="200" w:line="276" w:lineRule="auto"/>
      </w:pPr>
    </w:p>
    <w:p w14:paraId="097BCD9D" w14:textId="6D8BB335" w:rsidR="005A46B6" w:rsidRDefault="005A46B6" w:rsidP="00126D0C">
      <w:pPr>
        <w:spacing w:after="200" w:line="276" w:lineRule="auto"/>
      </w:pPr>
    </w:p>
    <w:p w14:paraId="2366FAC8" w14:textId="40AF8E51" w:rsidR="005A46B6" w:rsidRDefault="005A46B6" w:rsidP="00126D0C">
      <w:pPr>
        <w:spacing w:after="200" w:line="276" w:lineRule="auto"/>
      </w:pPr>
    </w:p>
    <w:p w14:paraId="29F39417" w14:textId="008507F5" w:rsidR="005A46B6" w:rsidRDefault="005A46B6" w:rsidP="00126D0C">
      <w:pPr>
        <w:spacing w:after="200" w:line="276" w:lineRule="auto"/>
      </w:pPr>
    </w:p>
    <w:p w14:paraId="0A8EEE11" w14:textId="284FAE29" w:rsidR="005A46B6" w:rsidRDefault="005A46B6" w:rsidP="00126D0C">
      <w:pPr>
        <w:spacing w:after="200" w:line="276" w:lineRule="auto"/>
      </w:pPr>
    </w:p>
    <w:p w14:paraId="13D931C7" w14:textId="0E575715" w:rsidR="005A46B6" w:rsidRDefault="005A46B6" w:rsidP="00126D0C">
      <w:pPr>
        <w:spacing w:after="200" w:line="276" w:lineRule="auto"/>
      </w:pPr>
    </w:p>
    <w:p w14:paraId="47B469CD" w14:textId="6F4BC343" w:rsidR="005A46B6" w:rsidRDefault="005A46B6" w:rsidP="00126D0C">
      <w:pPr>
        <w:spacing w:after="200" w:line="276" w:lineRule="auto"/>
      </w:pPr>
    </w:p>
    <w:p w14:paraId="488EC525" w14:textId="282DF42F" w:rsidR="005A46B6" w:rsidRDefault="005A46B6" w:rsidP="00126D0C">
      <w:pPr>
        <w:spacing w:after="200" w:line="276" w:lineRule="auto"/>
      </w:pPr>
    </w:p>
    <w:p w14:paraId="05FD7D74" w14:textId="68C27E77" w:rsidR="005A46B6" w:rsidRDefault="005A46B6" w:rsidP="00126D0C">
      <w:pPr>
        <w:spacing w:after="200" w:line="276" w:lineRule="auto"/>
      </w:pPr>
    </w:p>
    <w:p w14:paraId="087A8555" w14:textId="5F59C925" w:rsidR="005A46B6" w:rsidRDefault="005A46B6" w:rsidP="00126D0C">
      <w:pPr>
        <w:spacing w:after="200" w:line="276" w:lineRule="auto"/>
      </w:pPr>
    </w:p>
    <w:sectPr w:rsidR="005A46B6" w:rsidSect="001A2155">
      <w:headerReference w:type="default" r:id="rId22"/>
      <w:footerReference w:type="even" r:id="rId23"/>
      <w:footerReference w:type="default" r:id="rId24"/>
      <w:footerReference w:type="first" r:id="rId25"/>
      <w:pgSz w:w="11906" w:h="16838"/>
      <w:pgMar w:top="2410" w:right="1274" w:bottom="993" w:left="1417" w:header="4" w:footer="4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E5E85" w14:textId="77777777" w:rsidR="00863BE9" w:rsidRDefault="00863BE9" w:rsidP="005E51FB">
      <w:pPr>
        <w:spacing w:line="240" w:lineRule="auto"/>
      </w:pPr>
      <w:r>
        <w:separator/>
      </w:r>
    </w:p>
  </w:endnote>
  <w:endnote w:type="continuationSeparator" w:id="0">
    <w:p w14:paraId="1893DD7C" w14:textId="77777777" w:rsidR="00863BE9" w:rsidRDefault="00863BE9" w:rsidP="005E51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grofont">
    <w:panose1 w:val="020B0503040100020103"/>
    <w:charset w:val="00"/>
    <w:family w:val="swiss"/>
    <w:pitch w:val="variable"/>
    <w:sig w:usb0="800000A7" w:usb1="0000004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8F1A0" w14:textId="6065E013" w:rsidR="008412CD" w:rsidRDefault="008412CD">
    <w:pPr>
      <w:pStyle w:val="Voettekst"/>
    </w:pPr>
    <w:r>
      <w:rPr>
        <w:noProof/>
      </w:rPr>
      <mc:AlternateContent>
        <mc:Choice Requires="wps">
          <w:drawing>
            <wp:anchor distT="0" distB="0" distL="0" distR="0" simplePos="0" relativeHeight="251666432" behindDoc="0" locked="0" layoutInCell="1" allowOverlap="1" wp14:anchorId="3F52313D" wp14:editId="0289ED46">
              <wp:simplePos x="635" y="635"/>
              <wp:positionH relativeFrom="page">
                <wp:align>left</wp:align>
              </wp:positionH>
              <wp:positionV relativeFrom="page">
                <wp:align>bottom</wp:align>
              </wp:positionV>
              <wp:extent cx="443865" cy="443865"/>
              <wp:effectExtent l="0" t="0" r="4445" b="0"/>
              <wp:wrapNone/>
              <wp:docPr id="16" name="Tekstvak 16"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598BD6" w14:textId="685674FE" w:rsidR="008412CD" w:rsidRPr="008412CD" w:rsidRDefault="008412CD" w:rsidP="008412CD">
                          <w:pPr>
                            <w:rPr>
                              <w:rFonts w:ascii="Calibri" w:eastAsia="Calibri" w:hAnsi="Calibri" w:cs="Calibri"/>
                              <w:noProof/>
                              <w:color w:val="000000"/>
                              <w:sz w:val="20"/>
                              <w:szCs w:val="20"/>
                            </w:rPr>
                          </w:pPr>
                          <w:r w:rsidRPr="008412CD">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F52313D" id="_x0000_t202" coordsize="21600,21600" o:spt="202" path="m,l,21600r21600,l21600,xe">
              <v:stroke joinstyle="miter"/>
              <v:path gradientshapeok="t" o:connecttype="rect"/>
            </v:shapetype>
            <v:shape id="Tekstvak 16" o:spid="_x0000_s1038" type="#_x0000_t202" alt="Intern gebruik" style="position:absolute;margin-left:0;margin-top:0;width:34.95pt;height:34.95pt;z-index:25166643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4A598BD6" w14:textId="685674FE" w:rsidR="008412CD" w:rsidRPr="008412CD" w:rsidRDefault="008412CD" w:rsidP="008412CD">
                    <w:pPr>
                      <w:rPr>
                        <w:rFonts w:ascii="Calibri" w:eastAsia="Calibri" w:hAnsi="Calibri" w:cs="Calibri"/>
                        <w:noProof/>
                        <w:color w:val="000000"/>
                        <w:sz w:val="20"/>
                        <w:szCs w:val="20"/>
                      </w:rPr>
                    </w:pPr>
                    <w:r w:rsidRPr="008412CD">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75C7B" w14:textId="65691922" w:rsidR="00863BE9" w:rsidRDefault="00863BE9" w:rsidP="00645A7D">
    <w:pPr>
      <w:pStyle w:val="Voettekst"/>
    </w:pPr>
  </w:p>
  <w:p w14:paraId="745671BE" w14:textId="707E423C" w:rsidR="00863BE9" w:rsidRPr="0010788D" w:rsidRDefault="00863BE9" w:rsidP="0010788D">
    <w:pPr>
      <w:pStyle w:val="Voettekst"/>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E71AD" w14:textId="7FF8BCE9" w:rsidR="008412CD" w:rsidRDefault="008412CD">
    <w:pPr>
      <w:pStyle w:val="Voettekst"/>
    </w:pPr>
    <w:r>
      <w:rPr>
        <w:noProof/>
      </w:rPr>
      <mc:AlternateContent>
        <mc:Choice Requires="wps">
          <w:drawing>
            <wp:anchor distT="0" distB="0" distL="0" distR="0" simplePos="0" relativeHeight="251665408" behindDoc="0" locked="0" layoutInCell="1" allowOverlap="1" wp14:anchorId="04744443" wp14:editId="76F3F3BC">
              <wp:simplePos x="635" y="635"/>
              <wp:positionH relativeFrom="page">
                <wp:align>left</wp:align>
              </wp:positionH>
              <wp:positionV relativeFrom="page">
                <wp:align>bottom</wp:align>
              </wp:positionV>
              <wp:extent cx="443865" cy="443865"/>
              <wp:effectExtent l="0" t="0" r="4445" b="0"/>
              <wp:wrapNone/>
              <wp:docPr id="15" name="Tekstvak 15"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0FBE11" w14:textId="4DFB5C0E" w:rsidR="008412CD" w:rsidRPr="008412CD" w:rsidRDefault="008412CD" w:rsidP="008412CD">
                          <w:pPr>
                            <w:rPr>
                              <w:rFonts w:ascii="Calibri" w:eastAsia="Calibri" w:hAnsi="Calibri" w:cs="Calibri"/>
                              <w:noProof/>
                              <w:color w:val="000000"/>
                              <w:sz w:val="20"/>
                              <w:szCs w:val="20"/>
                            </w:rPr>
                          </w:pPr>
                          <w:r w:rsidRPr="008412CD">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4744443" id="_x0000_t202" coordsize="21600,21600" o:spt="202" path="m,l,21600r21600,l21600,xe">
              <v:stroke joinstyle="miter"/>
              <v:path gradientshapeok="t" o:connecttype="rect"/>
            </v:shapetype>
            <v:shape id="Tekstvak 15" o:spid="_x0000_s1039" type="#_x0000_t202" alt="Intern gebruik" style="position:absolute;margin-left:0;margin-top:0;width:34.95pt;height:34.95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430FBE11" w14:textId="4DFB5C0E" w:rsidR="008412CD" w:rsidRPr="008412CD" w:rsidRDefault="008412CD" w:rsidP="008412CD">
                    <w:pPr>
                      <w:rPr>
                        <w:rFonts w:ascii="Calibri" w:eastAsia="Calibri" w:hAnsi="Calibri" w:cs="Calibri"/>
                        <w:noProof/>
                        <w:color w:val="000000"/>
                        <w:sz w:val="20"/>
                        <w:szCs w:val="20"/>
                      </w:rPr>
                    </w:pPr>
                    <w:r w:rsidRPr="008412CD">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612E5" w14:textId="6A0394E5" w:rsidR="008412CD" w:rsidRDefault="008412CD">
    <w:pPr>
      <w:pStyle w:val="Voettekst"/>
    </w:pPr>
    <w:r>
      <w:rPr>
        <w:noProof/>
      </w:rPr>
      <mc:AlternateContent>
        <mc:Choice Requires="wps">
          <w:drawing>
            <wp:anchor distT="0" distB="0" distL="0" distR="0" simplePos="0" relativeHeight="251669504" behindDoc="0" locked="0" layoutInCell="1" allowOverlap="1" wp14:anchorId="2673F40D" wp14:editId="1059F8B0">
              <wp:simplePos x="635" y="635"/>
              <wp:positionH relativeFrom="page">
                <wp:align>left</wp:align>
              </wp:positionH>
              <wp:positionV relativeFrom="page">
                <wp:align>bottom</wp:align>
              </wp:positionV>
              <wp:extent cx="443865" cy="443865"/>
              <wp:effectExtent l="0" t="0" r="4445" b="0"/>
              <wp:wrapNone/>
              <wp:docPr id="24" name="Tekstvak 24"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C02457" w14:textId="0B3F0A08" w:rsidR="008412CD" w:rsidRPr="008412CD" w:rsidRDefault="008412CD" w:rsidP="008412CD">
                          <w:pPr>
                            <w:rPr>
                              <w:rFonts w:ascii="Calibri" w:eastAsia="Calibri" w:hAnsi="Calibri" w:cs="Calibri"/>
                              <w:noProof/>
                              <w:color w:val="000000"/>
                              <w:sz w:val="20"/>
                              <w:szCs w:val="20"/>
                            </w:rPr>
                          </w:pPr>
                          <w:r w:rsidRPr="008412CD">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673F40D" id="_x0000_t202" coordsize="21600,21600" o:spt="202" path="m,l,21600r21600,l21600,xe">
              <v:stroke joinstyle="miter"/>
              <v:path gradientshapeok="t" o:connecttype="rect"/>
            </v:shapetype>
            <v:shape id="Tekstvak 24" o:spid="_x0000_s1040" type="#_x0000_t202" alt="Intern gebruik" style="position:absolute;margin-left:0;margin-top:0;width:34.95pt;height:34.95pt;z-index:25166950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69C02457" w14:textId="0B3F0A08" w:rsidR="008412CD" w:rsidRPr="008412CD" w:rsidRDefault="008412CD" w:rsidP="008412CD">
                    <w:pPr>
                      <w:rPr>
                        <w:rFonts w:ascii="Calibri" w:eastAsia="Calibri" w:hAnsi="Calibri" w:cs="Calibri"/>
                        <w:noProof/>
                        <w:color w:val="000000"/>
                        <w:sz w:val="20"/>
                        <w:szCs w:val="20"/>
                      </w:rPr>
                    </w:pPr>
                    <w:r w:rsidRPr="008412CD">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3B4D6" w14:textId="0BF6162E" w:rsidR="00863BE9" w:rsidRDefault="00863BE9" w:rsidP="00645A7D">
    <w:pPr>
      <w:pStyle w:val="Voettekst"/>
    </w:pPr>
  </w:p>
  <w:sdt>
    <w:sdtPr>
      <w:id w:val="-1196774057"/>
      <w:docPartObj>
        <w:docPartGallery w:val="Page Numbers (Bottom of Page)"/>
        <w:docPartUnique/>
      </w:docPartObj>
    </w:sdtPr>
    <w:sdtEndPr/>
    <w:sdtContent>
      <w:sdt>
        <w:sdtPr>
          <w:id w:val="1432702891"/>
          <w:docPartObj>
            <w:docPartGallery w:val="Page Numbers (Top of Page)"/>
            <w:docPartUnique/>
          </w:docPartObj>
        </w:sdtPr>
        <w:sdtEndPr/>
        <w:sdtContent>
          <w:p w14:paraId="56CC2D5A" w14:textId="244AB227" w:rsidR="00863BE9" w:rsidRDefault="00863BE9" w:rsidP="00645A7D">
            <w:pPr>
              <w:pStyle w:val="Voettekst"/>
            </w:pPr>
            <w:r>
              <w:t>Bijlage 14.1 Toelichting KPI-model</w:t>
            </w:r>
            <w:r w:rsidR="005A68E6">
              <w:t xml:space="preserve"> D20260209</w:t>
            </w:r>
            <w:r>
              <w:tab/>
            </w:r>
            <w:r>
              <w:tab/>
              <w:t xml:space="preserve">Pagina </w:t>
            </w:r>
            <w:r>
              <w:rPr>
                <w:b/>
                <w:bCs/>
                <w:sz w:val="24"/>
              </w:rPr>
              <w:fldChar w:fldCharType="begin"/>
            </w:r>
            <w:r>
              <w:rPr>
                <w:b/>
                <w:bCs/>
              </w:rPr>
              <w:instrText>PAGE</w:instrText>
            </w:r>
            <w:r>
              <w:rPr>
                <w:b/>
                <w:bCs/>
                <w:sz w:val="24"/>
              </w:rPr>
              <w:fldChar w:fldCharType="separate"/>
            </w:r>
            <w:r>
              <w:rPr>
                <w:b/>
                <w:bCs/>
              </w:rPr>
              <w:t>2</w:t>
            </w:r>
            <w:r>
              <w:rPr>
                <w:b/>
                <w:bCs/>
                <w:sz w:val="24"/>
              </w:rPr>
              <w:fldChar w:fldCharType="end"/>
            </w:r>
            <w:r>
              <w:t xml:space="preserve"> van </w:t>
            </w:r>
            <w:r>
              <w:rPr>
                <w:b/>
                <w:bCs/>
                <w:sz w:val="24"/>
              </w:rPr>
              <w:fldChar w:fldCharType="begin"/>
            </w:r>
            <w:r>
              <w:rPr>
                <w:b/>
                <w:bCs/>
              </w:rPr>
              <w:instrText>NUMPAGES</w:instrText>
            </w:r>
            <w:r>
              <w:rPr>
                <w:b/>
                <w:bCs/>
                <w:sz w:val="24"/>
              </w:rPr>
              <w:fldChar w:fldCharType="separate"/>
            </w:r>
            <w:r>
              <w:rPr>
                <w:b/>
                <w:bCs/>
              </w:rPr>
              <w:t>2</w:t>
            </w:r>
            <w:r>
              <w:rPr>
                <w:b/>
                <w:bCs/>
                <w:sz w:val="24"/>
              </w:rPr>
              <w:fldChar w:fldCharType="end"/>
            </w:r>
          </w:p>
        </w:sdtContent>
      </w:sdt>
    </w:sdtContent>
  </w:sdt>
  <w:p w14:paraId="70CD5D11" w14:textId="77777777" w:rsidR="00863BE9" w:rsidRPr="0010788D" w:rsidRDefault="00863BE9" w:rsidP="0010788D">
    <w:pPr>
      <w:pStyle w:val="Voettekst"/>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D45A4" w14:textId="56A6082C" w:rsidR="008412CD" w:rsidRDefault="008412CD">
    <w:pPr>
      <w:pStyle w:val="Voettekst"/>
    </w:pPr>
    <w:r>
      <w:rPr>
        <w:noProof/>
      </w:rPr>
      <mc:AlternateContent>
        <mc:Choice Requires="wps">
          <w:drawing>
            <wp:anchor distT="0" distB="0" distL="0" distR="0" simplePos="0" relativeHeight="251668480" behindDoc="0" locked="0" layoutInCell="1" allowOverlap="1" wp14:anchorId="3A946669" wp14:editId="62D7E387">
              <wp:simplePos x="635" y="635"/>
              <wp:positionH relativeFrom="page">
                <wp:align>left</wp:align>
              </wp:positionH>
              <wp:positionV relativeFrom="page">
                <wp:align>bottom</wp:align>
              </wp:positionV>
              <wp:extent cx="443865" cy="443865"/>
              <wp:effectExtent l="0" t="0" r="4445" b="0"/>
              <wp:wrapNone/>
              <wp:docPr id="23" name="Tekstvak 2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3D76C8" w14:textId="6902DEF3" w:rsidR="008412CD" w:rsidRPr="008412CD" w:rsidRDefault="008412CD" w:rsidP="008412CD">
                          <w:pPr>
                            <w:rPr>
                              <w:rFonts w:ascii="Calibri" w:eastAsia="Calibri" w:hAnsi="Calibri" w:cs="Calibri"/>
                              <w:noProof/>
                              <w:color w:val="000000"/>
                              <w:sz w:val="20"/>
                              <w:szCs w:val="20"/>
                            </w:rPr>
                          </w:pPr>
                          <w:r w:rsidRPr="008412CD">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A946669" id="_x0000_t202" coordsize="21600,21600" o:spt="202" path="m,l,21600r21600,l21600,xe">
              <v:stroke joinstyle="miter"/>
              <v:path gradientshapeok="t" o:connecttype="rect"/>
            </v:shapetype>
            <v:shape id="Tekstvak 23" o:spid="_x0000_s1041" type="#_x0000_t202" alt="Intern gebruik" style="position:absolute;margin-left:0;margin-top:0;width:34.95pt;height:34.95pt;z-index:25166848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textbox style="mso-fit-shape-to-text:t" inset="20pt,0,0,15pt">
                <w:txbxContent>
                  <w:p w14:paraId="783D76C8" w14:textId="6902DEF3" w:rsidR="008412CD" w:rsidRPr="008412CD" w:rsidRDefault="008412CD" w:rsidP="008412CD">
                    <w:pPr>
                      <w:rPr>
                        <w:rFonts w:ascii="Calibri" w:eastAsia="Calibri" w:hAnsi="Calibri" w:cs="Calibri"/>
                        <w:noProof/>
                        <w:color w:val="000000"/>
                        <w:sz w:val="20"/>
                        <w:szCs w:val="20"/>
                      </w:rPr>
                    </w:pPr>
                    <w:r w:rsidRPr="008412CD">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F320F" w14:textId="29EA3DBB" w:rsidR="008412CD" w:rsidRDefault="008412CD">
    <w:pPr>
      <w:pStyle w:val="Voettekst"/>
    </w:pPr>
    <w:r>
      <w:rPr>
        <w:noProof/>
      </w:rPr>
      <mc:AlternateContent>
        <mc:Choice Requires="wps">
          <w:drawing>
            <wp:anchor distT="0" distB="0" distL="0" distR="0" simplePos="0" relativeHeight="251672576" behindDoc="0" locked="0" layoutInCell="1" allowOverlap="1" wp14:anchorId="1A4EE748" wp14:editId="79496C4D">
              <wp:simplePos x="635" y="635"/>
              <wp:positionH relativeFrom="page">
                <wp:align>left</wp:align>
              </wp:positionH>
              <wp:positionV relativeFrom="page">
                <wp:align>bottom</wp:align>
              </wp:positionV>
              <wp:extent cx="443865" cy="443865"/>
              <wp:effectExtent l="0" t="0" r="4445" b="0"/>
              <wp:wrapNone/>
              <wp:docPr id="27" name="Tekstvak 27"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850CD4" w14:textId="604A1467" w:rsidR="008412CD" w:rsidRPr="008412CD" w:rsidRDefault="008412CD" w:rsidP="008412CD">
                          <w:pPr>
                            <w:rPr>
                              <w:rFonts w:ascii="Calibri" w:eastAsia="Calibri" w:hAnsi="Calibri" w:cs="Calibri"/>
                              <w:noProof/>
                              <w:color w:val="000000"/>
                              <w:sz w:val="20"/>
                              <w:szCs w:val="20"/>
                            </w:rPr>
                          </w:pPr>
                          <w:r w:rsidRPr="008412CD">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A4EE748" id="_x0000_t202" coordsize="21600,21600" o:spt="202" path="m,l,21600r21600,l21600,xe">
              <v:stroke joinstyle="miter"/>
              <v:path gradientshapeok="t" o:connecttype="rect"/>
            </v:shapetype>
            <v:shape id="Tekstvak 27" o:spid="_x0000_s1042" type="#_x0000_t202" alt="Intern gebruik" style="position:absolute;margin-left:0;margin-top:0;width:34.95pt;height:34.95pt;z-index:25167257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DR6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QVFh+730N1xqEc9Pv2lm8aLL1lPrwwhwvGOVC04RkP&#10;qaAtKQyIkhrcj7/ZYzzyjl5KWhRMSQ0qmhL1zeA+Zot5nkeBpRsCN4J9AtO7fBH95qgfALU4xWdh&#10;eYIxOKgRSgf6DTW9jtXQxQzHmiXdj/Ah9PLFN8HFep2CUEuWha3ZWR5TR84ioa/dG3N2YD3gup5g&#10;lBQr3pHfx8Y/vV0fA64gbSby27M50I46TLsd3kwU+q/3FHV92aufAA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hIw0eg8CAAAhBAAA&#10;DgAAAAAAAAAAAAAAAAAuAgAAZHJzL2Uyb0RvYy54bWxQSwECLQAUAAYACAAAACEA2G08/tcAAAAD&#10;AQAADwAAAAAAAAAAAAAAAABpBAAAZHJzL2Rvd25yZXYueG1sUEsFBgAAAAAEAAQA8wAAAG0FAAAA&#10;AA==&#10;" filled="f" stroked="f">
              <v:textbox style="mso-fit-shape-to-text:t" inset="20pt,0,0,15pt">
                <w:txbxContent>
                  <w:p w14:paraId="59850CD4" w14:textId="604A1467" w:rsidR="008412CD" w:rsidRPr="008412CD" w:rsidRDefault="008412CD" w:rsidP="008412CD">
                    <w:pPr>
                      <w:rPr>
                        <w:rFonts w:ascii="Calibri" w:eastAsia="Calibri" w:hAnsi="Calibri" w:cs="Calibri"/>
                        <w:noProof/>
                        <w:color w:val="000000"/>
                        <w:sz w:val="20"/>
                        <w:szCs w:val="20"/>
                      </w:rPr>
                    </w:pPr>
                    <w:r w:rsidRPr="008412CD">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B694B" w14:textId="340B3C8B" w:rsidR="008412CD" w:rsidRDefault="008412CD">
    <w:pPr>
      <w:pStyle w:val="Voetteks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E0CA9" w14:textId="0C8E5531" w:rsidR="008412CD" w:rsidRDefault="008412CD">
    <w:pPr>
      <w:pStyle w:val="Voettekst"/>
    </w:pPr>
    <w:r>
      <w:rPr>
        <w:noProof/>
      </w:rPr>
      <mc:AlternateContent>
        <mc:Choice Requires="wps">
          <w:drawing>
            <wp:anchor distT="0" distB="0" distL="0" distR="0" simplePos="0" relativeHeight="251671552" behindDoc="0" locked="0" layoutInCell="1" allowOverlap="1" wp14:anchorId="4B66F2A5" wp14:editId="0B56267C">
              <wp:simplePos x="635" y="635"/>
              <wp:positionH relativeFrom="page">
                <wp:align>left</wp:align>
              </wp:positionH>
              <wp:positionV relativeFrom="page">
                <wp:align>bottom</wp:align>
              </wp:positionV>
              <wp:extent cx="443865" cy="443865"/>
              <wp:effectExtent l="0" t="0" r="4445" b="0"/>
              <wp:wrapNone/>
              <wp:docPr id="26" name="Tekstvak 26"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2A2F238" w14:textId="20334808" w:rsidR="008412CD" w:rsidRPr="008412CD" w:rsidRDefault="008412CD" w:rsidP="008412CD">
                          <w:pPr>
                            <w:rPr>
                              <w:rFonts w:ascii="Calibri" w:eastAsia="Calibri" w:hAnsi="Calibri" w:cs="Calibri"/>
                              <w:noProof/>
                              <w:color w:val="000000"/>
                              <w:sz w:val="20"/>
                              <w:szCs w:val="20"/>
                            </w:rPr>
                          </w:pPr>
                          <w:r w:rsidRPr="008412CD">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B66F2A5" id="_x0000_t202" coordsize="21600,21600" o:spt="202" path="m,l,21600r21600,l21600,xe">
              <v:stroke joinstyle="miter"/>
              <v:path gradientshapeok="t" o:connecttype="rect"/>
            </v:shapetype>
            <v:shape id="Tekstvak 26" o:spid="_x0000_s1043" type="#_x0000_t202" alt="Intern gebruik" style="position:absolute;margin-left:0;margin-top:0;width:34.95pt;height:34.95pt;z-index:25167155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Xy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dAO18g8CAAAhBAAA&#10;DgAAAAAAAAAAAAAAAAAuAgAAZHJzL2Uyb0RvYy54bWxQSwECLQAUAAYACAAAACEA2G08/tcAAAAD&#10;AQAADwAAAAAAAAAAAAAAAABpBAAAZHJzL2Rvd25yZXYueG1sUEsFBgAAAAAEAAQA8wAAAG0FAAAA&#10;AA==&#10;" filled="f" stroked="f">
              <v:textbox style="mso-fit-shape-to-text:t" inset="20pt,0,0,15pt">
                <w:txbxContent>
                  <w:p w14:paraId="62A2F238" w14:textId="20334808" w:rsidR="008412CD" w:rsidRPr="008412CD" w:rsidRDefault="008412CD" w:rsidP="008412CD">
                    <w:pPr>
                      <w:rPr>
                        <w:rFonts w:ascii="Calibri" w:eastAsia="Calibri" w:hAnsi="Calibri" w:cs="Calibri"/>
                        <w:noProof/>
                        <w:color w:val="000000"/>
                        <w:sz w:val="20"/>
                        <w:szCs w:val="20"/>
                      </w:rPr>
                    </w:pPr>
                    <w:r w:rsidRPr="008412CD">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7017E" w14:textId="77777777" w:rsidR="00863BE9" w:rsidRDefault="00863BE9" w:rsidP="005E51FB">
      <w:pPr>
        <w:spacing w:line="240" w:lineRule="auto"/>
      </w:pPr>
      <w:r>
        <w:separator/>
      </w:r>
    </w:p>
  </w:footnote>
  <w:footnote w:type="continuationSeparator" w:id="0">
    <w:p w14:paraId="58E16271" w14:textId="77777777" w:rsidR="00863BE9" w:rsidRDefault="00863BE9" w:rsidP="005E51F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24AB6" w14:textId="33A3F806" w:rsidR="00863BE9" w:rsidRPr="001A2155" w:rsidRDefault="006570A3" w:rsidP="001A2155">
    <w:pPr>
      <w:pStyle w:val="Koptekst"/>
      <w:ind w:firstLine="4111"/>
    </w:pPr>
    <w:r>
      <w:rPr>
        <w:noProof/>
      </w:rPr>
      <w:drawing>
        <wp:anchor distT="0" distB="0" distL="114300" distR="114300" simplePos="0" relativeHeight="251674624" behindDoc="0" locked="0" layoutInCell="1" allowOverlap="1" wp14:anchorId="346EDDCA" wp14:editId="1E409C5B">
          <wp:simplePos x="0" y="0"/>
          <wp:positionH relativeFrom="column">
            <wp:posOffset>3075940</wp:posOffset>
          </wp:positionH>
          <wp:positionV relativeFrom="paragraph">
            <wp:posOffset>38100</wp:posOffset>
          </wp:positionV>
          <wp:extent cx="2171700" cy="1473200"/>
          <wp:effectExtent l="0" t="0" r="0" b="0"/>
          <wp:wrapNone/>
          <wp:docPr id="151733476" name="Afbeelding 1" descr="Afbeelding met tekst, schermopname, Lettertyp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33476" name="Afbeelding 1" descr="Afbeelding met tekst, schermopname, Lettertype, wit&#10;&#10;Door AI gegenereerde inhoud is mogelijk onjui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1700" cy="1473200"/>
                  </a:xfrm>
                  <a:prstGeom prst="rect">
                    <a:avLst/>
                  </a:prstGeom>
                  <a:noFill/>
                  <a:ln>
                    <a:noFill/>
                  </a:ln>
                </pic:spPr>
              </pic:pic>
            </a:graphicData>
          </a:graphic>
        </wp:anchor>
      </w:drawing>
    </w:r>
    <w:r w:rsidR="00863BE9" w:rsidRPr="009A04B3">
      <w:rPr>
        <w:noProof/>
      </w:rPr>
      <w:drawing>
        <wp:inline distT="0" distB="0" distL="0" distR="0" wp14:anchorId="705D62F7" wp14:editId="54B2942D">
          <wp:extent cx="466595" cy="1341755"/>
          <wp:effectExtent l="0" t="0" r="0" b="0"/>
          <wp:docPr id="20" name="Afbeelding 20" descr="Rijk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jkslogo"/>
                  <pic:cNvPicPr>
                    <a:picLocks noChangeAspect="1" noChangeArrowheads="1"/>
                  </pic:cNvPicPr>
                </pic:nvPicPr>
                <pic:blipFill>
                  <a:blip r:embed="rId2"/>
                  <a:srcRect/>
                  <a:stretch>
                    <a:fillRect/>
                  </a:stretch>
                </pic:blipFill>
                <pic:spPr bwMode="auto">
                  <a:xfrm>
                    <a:off x="0" y="0"/>
                    <a:ext cx="478686" cy="1376525"/>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4CCE9" w14:textId="4397930B" w:rsidR="00863BE9" w:rsidRDefault="00863BE9" w:rsidP="00FA1D97">
    <w:pPr>
      <w:rPr>
        <w:b/>
        <w:bCs/>
        <w:iCs/>
        <w:sz w:val="24"/>
      </w:rPr>
    </w:pPr>
    <w:r>
      <w:rPr>
        <w:noProof/>
      </w:rPr>
      <w:drawing>
        <wp:anchor distT="0" distB="0" distL="114300" distR="114300" simplePos="0" relativeHeight="251662336" behindDoc="1" locked="0" layoutInCell="1" allowOverlap="1" wp14:anchorId="5A51DF90" wp14:editId="06032631">
          <wp:simplePos x="0" y="0"/>
          <wp:positionH relativeFrom="margin">
            <wp:posOffset>3131388</wp:posOffset>
          </wp:positionH>
          <wp:positionV relativeFrom="paragraph">
            <wp:posOffset>-134488</wp:posOffset>
          </wp:positionV>
          <wp:extent cx="2311880" cy="1508760"/>
          <wp:effectExtent l="0" t="0" r="0" b="0"/>
          <wp:wrapNone/>
          <wp:docPr id="2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11880" cy="1508760"/>
                  </a:xfrm>
                  <a:prstGeom prst="rect">
                    <a:avLst/>
                  </a:prstGeom>
                  <a:noFill/>
                </pic:spPr>
              </pic:pic>
            </a:graphicData>
          </a:graphic>
          <wp14:sizeRelH relativeFrom="page">
            <wp14:pctWidth>0</wp14:pctWidth>
          </wp14:sizeRelH>
          <wp14:sizeRelV relativeFrom="page">
            <wp14:pctHeight>0</wp14:pctHeight>
          </wp14:sizeRelV>
        </wp:anchor>
      </w:drawing>
    </w:r>
    <w:r w:rsidRPr="009A04B3">
      <w:rPr>
        <w:noProof/>
      </w:rPr>
      <w:drawing>
        <wp:anchor distT="0" distB="0" distL="114300" distR="114300" simplePos="0" relativeHeight="251658240" behindDoc="0" locked="0" layoutInCell="1" allowOverlap="1" wp14:anchorId="7A7E95E7" wp14:editId="44AD77CA">
          <wp:simplePos x="0" y="0"/>
          <wp:positionH relativeFrom="page">
            <wp:align>center</wp:align>
          </wp:positionH>
          <wp:positionV relativeFrom="page">
            <wp:posOffset>0</wp:posOffset>
          </wp:positionV>
          <wp:extent cx="468000" cy="1332000"/>
          <wp:effectExtent l="0" t="0" r="8255" b="1905"/>
          <wp:wrapNone/>
          <wp:docPr id="22" name="Afbeelding 22" descr="Rijk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jks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8000" cy="1332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46311B8F" w14:textId="3322B75D" w:rsidR="00863BE9" w:rsidRDefault="00863BE9" w:rsidP="00FA1D97">
    <w:pPr>
      <w:rPr>
        <w:b/>
        <w:bCs/>
        <w:iCs/>
        <w:sz w:val="24"/>
      </w:rPr>
    </w:pPr>
  </w:p>
  <w:p w14:paraId="0D13D2AC" w14:textId="3B0D3F0D" w:rsidR="00863BE9" w:rsidRDefault="00863BE9" w:rsidP="00FA1D97">
    <w:pPr>
      <w:rPr>
        <w:b/>
        <w:bCs/>
        <w:iCs/>
        <w:sz w:val="24"/>
      </w:rPr>
    </w:pPr>
  </w:p>
  <w:p w14:paraId="461CBF1D" w14:textId="02CB12A9" w:rsidR="00863BE9" w:rsidRDefault="00863BE9" w:rsidP="00FA1D97">
    <w:pPr>
      <w:rPr>
        <w:b/>
        <w:bCs/>
        <w:iCs/>
        <w:sz w:val="24"/>
      </w:rPr>
    </w:pPr>
    <w:bookmarkStart w:id="0" w:name="bmBegin"/>
    <w:bookmarkEnd w:id="0"/>
  </w:p>
  <w:p w14:paraId="425E8C70" w14:textId="77777777" w:rsidR="00863BE9" w:rsidRDefault="00863BE9" w:rsidP="00FA1D97">
    <w:pPr>
      <w:rPr>
        <w:b/>
        <w:bCs/>
        <w:iCs/>
        <w:sz w:val="24"/>
      </w:rPr>
    </w:pPr>
  </w:p>
  <w:p w14:paraId="388BB296" w14:textId="77777777" w:rsidR="00863BE9" w:rsidRDefault="00863BE9" w:rsidP="00FA1D97">
    <w:pPr>
      <w:rPr>
        <w:b/>
        <w:bCs/>
        <w:iCs/>
        <w:sz w:val="24"/>
      </w:rPr>
    </w:pPr>
  </w:p>
  <w:p w14:paraId="0AD07C71" w14:textId="77777777" w:rsidR="00863BE9" w:rsidRDefault="00863BE9" w:rsidP="00FA1D97">
    <w:pPr>
      <w:rPr>
        <w:b/>
        <w:bCs/>
        <w:iCs/>
        <w:sz w:val="24"/>
      </w:rPr>
    </w:pPr>
  </w:p>
  <w:p w14:paraId="4B4A7EE4" w14:textId="77777777" w:rsidR="00863BE9" w:rsidRDefault="00863BE9" w:rsidP="00FA1D97">
    <w:pPr>
      <w:rPr>
        <w:b/>
        <w:bCs/>
        <w:iCs/>
        <w:sz w:val="24"/>
      </w:rPr>
    </w:pPr>
  </w:p>
  <w:p w14:paraId="15AEC447" w14:textId="77777777" w:rsidR="00863BE9" w:rsidRDefault="00863BE9" w:rsidP="00FA1D97">
    <w:pPr>
      <w:rPr>
        <w:b/>
        <w:bCs/>
        <w:iCs/>
        <w:sz w:val="24"/>
      </w:rPr>
    </w:pPr>
  </w:p>
  <w:p w14:paraId="495C56F7" w14:textId="0B382D36" w:rsidR="00863BE9" w:rsidRDefault="00863BE9" w:rsidP="003F1743">
    <w:pPr>
      <w:jc w:val="center"/>
      <w:rPr>
        <w:b/>
        <w:sz w:val="32"/>
        <w:szCs w:val="32"/>
      </w:rPr>
    </w:pPr>
    <w:r w:rsidRPr="003F1743">
      <w:rPr>
        <w:b/>
        <w:bCs/>
        <w:iCs/>
        <w:sz w:val="32"/>
        <w:szCs w:val="32"/>
      </w:rPr>
      <w:t>Bijlage 1</w:t>
    </w:r>
    <w:r>
      <w:rPr>
        <w:b/>
        <w:bCs/>
        <w:iCs/>
        <w:sz w:val="32"/>
        <w:szCs w:val="32"/>
      </w:rPr>
      <w:t xml:space="preserve">4.1 </w:t>
    </w:r>
    <w:r w:rsidRPr="003F1743">
      <w:rPr>
        <w:b/>
        <w:sz w:val="32"/>
        <w:szCs w:val="32"/>
      </w:rPr>
      <w:t>Toelichting KPI-model</w:t>
    </w:r>
    <w:r>
      <w:rPr>
        <w:b/>
        <w:sz w:val="32"/>
        <w:szCs w:val="32"/>
      </w:rPr>
      <w:t xml:space="preserve"> </w:t>
    </w:r>
    <w:r w:rsidRPr="002E07EE">
      <w:rPr>
        <w:b/>
        <w:sz w:val="32"/>
        <w:szCs w:val="32"/>
        <w:highlight w:val="yellow"/>
      </w:rPr>
      <w:t>[NPS-versie]</w:t>
    </w:r>
  </w:p>
  <w:p w14:paraId="013EA149" w14:textId="45A71A6F" w:rsidR="00863BE9" w:rsidRPr="003F1743" w:rsidRDefault="00863BE9" w:rsidP="003F1743">
    <w:pPr>
      <w:jc w:val="center"/>
      <w:rPr>
        <w:b/>
        <w:sz w:val="32"/>
        <w:szCs w:val="32"/>
      </w:rPr>
    </w:pPr>
    <w:r w:rsidRPr="002E07EE">
      <w:rPr>
        <w:b/>
        <w:szCs w:val="18"/>
        <w:highlight w:val="yellow"/>
      </w:rPr>
      <w:t>[Deelnemer(s)]</w:t>
    </w:r>
  </w:p>
  <w:p w14:paraId="3154252A" w14:textId="77777777" w:rsidR="00863BE9" w:rsidRDefault="00863BE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75256" w14:textId="4336F8DF" w:rsidR="00863BE9" w:rsidRPr="001A2155" w:rsidRDefault="00863BE9" w:rsidP="001A2155">
    <w:pPr>
      <w:pStyle w:val="Koptekst"/>
      <w:ind w:firstLine="4111"/>
    </w:pPr>
    <w:r w:rsidRPr="009A04B3">
      <w:rPr>
        <w:noProof/>
      </w:rPr>
      <w:drawing>
        <wp:inline distT="0" distB="0" distL="0" distR="0" wp14:anchorId="2B0F2581" wp14:editId="2EF6513D">
          <wp:extent cx="466595" cy="1341755"/>
          <wp:effectExtent l="0" t="0" r="0" b="0"/>
          <wp:docPr id="18" name="Afbeelding 18" descr="Rijk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jkslogo"/>
                  <pic:cNvPicPr>
                    <a:picLocks noChangeAspect="1" noChangeArrowheads="1"/>
                  </pic:cNvPicPr>
                </pic:nvPicPr>
                <pic:blipFill>
                  <a:blip r:embed="rId1"/>
                  <a:srcRect/>
                  <a:stretch>
                    <a:fillRect/>
                  </a:stretch>
                </pic:blipFill>
                <pic:spPr bwMode="auto">
                  <a:xfrm>
                    <a:off x="0" y="0"/>
                    <a:ext cx="478686" cy="1376525"/>
                  </a:xfrm>
                  <a:prstGeom prst="rect">
                    <a:avLst/>
                  </a:prstGeom>
                  <a:noFill/>
                  <a:ln w="9525">
                    <a:noFill/>
                    <a:miter lim="800000"/>
                    <a:headEnd/>
                    <a:tailEnd/>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9DD21" w14:textId="74094AEF" w:rsidR="00863BE9" w:rsidRPr="001A2155" w:rsidRDefault="00863BE9" w:rsidP="001A2155">
    <w:pPr>
      <w:pStyle w:val="Koptekst"/>
      <w:ind w:firstLine="4111"/>
    </w:pPr>
    <w:r w:rsidRPr="009A04B3">
      <w:rPr>
        <w:noProof/>
      </w:rPr>
      <w:drawing>
        <wp:inline distT="0" distB="0" distL="0" distR="0" wp14:anchorId="3AD34D6E" wp14:editId="238C9AE7">
          <wp:extent cx="466595" cy="1341755"/>
          <wp:effectExtent l="0" t="0" r="0" b="0"/>
          <wp:docPr id="120" name="Afbeelding 120" descr="Rijk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jkslogo"/>
                  <pic:cNvPicPr>
                    <a:picLocks noChangeAspect="1" noChangeArrowheads="1"/>
                  </pic:cNvPicPr>
                </pic:nvPicPr>
                <pic:blipFill>
                  <a:blip r:embed="rId1"/>
                  <a:srcRect/>
                  <a:stretch>
                    <a:fillRect/>
                  </a:stretch>
                </pic:blipFill>
                <pic:spPr bwMode="auto">
                  <a:xfrm>
                    <a:off x="0" y="0"/>
                    <a:ext cx="478686" cy="13765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7476F"/>
    <w:multiLevelType w:val="multilevel"/>
    <w:tmpl w:val="18502D24"/>
    <w:lvl w:ilvl="0">
      <w:start w:val="1"/>
      <w:numFmt w:val="decimal"/>
      <w:lvlText w:val="%1 "/>
      <w:lvlJc w:val="left"/>
      <w:pPr>
        <w:tabs>
          <w:tab w:val="num" w:pos="431"/>
        </w:tabs>
        <w:ind w:left="431" w:hanging="431"/>
      </w:pPr>
      <w:rPr>
        <w:rFonts w:ascii="Verdana" w:hAnsi="Verdana" w:hint="default"/>
        <w:b/>
        <w:i w:val="0"/>
        <w:sz w:val="24"/>
        <w:szCs w:val="24"/>
      </w:rPr>
    </w:lvl>
    <w:lvl w:ilvl="1">
      <w:start w:val="1"/>
      <w:numFmt w:val="decimal"/>
      <w:pStyle w:val="Kop2"/>
      <w:lvlText w:val="%1.%2"/>
      <w:lvlJc w:val="left"/>
      <w:pPr>
        <w:tabs>
          <w:tab w:val="num" w:pos="576"/>
        </w:tabs>
        <w:ind w:left="576" w:hanging="576"/>
      </w:pPr>
      <w:rPr>
        <w:rFonts w:hint="default"/>
        <w:i w:val="0"/>
        <w:color w:val="auto"/>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1" w15:restartNumberingAfterBreak="0">
    <w:nsid w:val="052C2AF3"/>
    <w:multiLevelType w:val="hybridMultilevel"/>
    <w:tmpl w:val="CC5C70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A4120A4"/>
    <w:multiLevelType w:val="hybridMultilevel"/>
    <w:tmpl w:val="3A90F686"/>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5340AD"/>
    <w:multiLevelType w:val="hybridMultilevel"/>
    <w:tmpl w:val="E4A40B30"/>
    <w:lvl w:ilvl="0" w:tplc="55B801FE">
      <w:start w:val="1"/>
      <w:numFmt w:val="lowerLetter"/>
      <w:lvlText w:val="%1."/>
      <w:lvlJc w:val="left"/>
      <w:pPr>
        <w:ind w:left="1890" w:hanging="450"/>
      </w:pPr>
      <w:rPr>
        <w:rFonts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4" w15:restartNumberingAfterBreak="0">
    <w:nsid w:val="0BCB20FC"/>
    <w:multiLevelType w:val="hybridMultilevel"/>
    <w:tmpl w:val="1DA0DC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04720E6"/>
    <w:multiLevelType w:val="hybridMultilevel"/>
    <w:tmpl w:val="7CC411FA"/>
    <w:lvl w:ilvl="0" w:tplc="21063562">
      <w:start w:val="1"/>
      <w:numFmt w:val="decimal"/>
      <w:lvlText w:val="%1."/>
      <w:lvlJc w:val="left"/>
      <w:pPr>
        <w:ind w:left="502"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0A37EB1"/>
    <w:multiLevelType w:val="hybridMultilevel"/>
    <w:tmpl w:val="7B165B1A"/>
    <w:lvl w:ilvl="0" w:tplc="E646BFBE">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64F791D"/>
    <w:multiLevelType w:val="hybridMultilevel"/>
    <w:tmpl w:val="63D2039C"/>
    <w:lvl w:ilvl="0" w:tplc="04130001">
      <w:start w:val="1"/>
      <w:numFmt w:val="bullet"/>
      <w:lvlText w:val=""/>
      <w:lvlJc w:val="left"/>
      <w:pPr>
        <w:ind w:left="1068" w:hanging="360"/>
      </w:pPr>
      <w:rPr>
        <w:rFonts w:ascii="Symbol" w:hAnsi="Symbol"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start w:val="1"/>
      <w:numFmt w:val="bullet"/>
      <w:lvlText w:val=""/>
      <w:lvlJc w:val="left"/>
      <w:pPr>
        <w:ind w:left="3228" w:hanging="360"/>
      </w:pPr>
      <w:rPr>
        <w:rFonts w:ascii="Symbol" w:hAnsi="Symbol" w:hint="default"/>
      </w:rPr>
    </w:lvl>
    <w:lvl w:ilvl="4" w:tplc="04130003">
      <w:start w:val="1"/>
      <w:numFmt w:val="bullet"/>
      <w:lvlText w:val="o"/>
      <w:lvlJc w:val="left"/>
      <w:pPr>
        <w:ind w:left="3948" w:hanging="360"/>
      </w:pPr>
      <w:rPr>
        <w:rFonts w:ascii="Courier New" w:hAnsi="Courier New" w:cs="Courier New" w:hint="default"/>
      </w:rPr>
    </w:lvl>
    <w:lvl w:ilvl="5" w:tplc="04130005">
      <w:start w:val="1"/>
      <w:numFmt w:val="bullet"/>
      <w:lvlText w:val=""/>
      <w:lvlJc w:val="left"/>
      <w:pPr>
        <w:ind w:left="4668" w:hanging="360"/>
      </w:pPr>
      <w:rPr>
        <w:rFonts w:ascii="Wingdings" w:hAnsi="Wingdings" w:hint="default"/>
      </w:rPr>
    </w:lvl>
    <w:lvl w:ilvl="6" w:tplc="04130001">
      <w:start w:val="1"/>
      <w:numFmt w:val="bullet"/>
      <w:lvlText w:val=""/>
      <w:lvlJc w:val="left"/>
      <w:pPr>
        <w:ind w:left="5388" w:hanging="360"/>
      </w:pPr>
      <w:rPr>
        <w:rFonts w:ascii="Symbol" w:hAnsi="Symbol" w:hint="default"/>
      </w:rPr>
    </w:lvl>
    <w:lvl w:ilvl="7" w:tplc="04130003">
      <w:start w:val="1"/>
      <w:numFmt w:val="bullet"/>
      <w:lvlText w:val="o"/>
      <w:lvlJc w:val="left"/>
      <w:pPr>
        <w:ind w:left="6108" w:hanging="360"/>
      </w:pPr>
      <w:rPr>
        <w:rFonts w:ascii="Courier New" w:hAnsi="Courier New" w:cs="Courier New" w:hint="default"/>
      </w:rPr>
    </w:lvl>
    <w:lvl w:ilvl="8" w:tplc="04130005">
      <w:start w:val="1"/>
      <w:numFmt w:val="bullet"/>
      <w:lvlText w:val=""/>
      <w:lvlJc w:val="left"/>
      <w:pPr>
        <w:ind w:left="6828" w:hanging="360"/>
      </w:pPr>
      <w:rPr>
        <w:rFonts w:ascii="Wingdings" w:hAnsi="Wingdings" w:hint="default"/>
      </w:rPr>
    </w:lvl>
  </w:abstractNum>
  <w:abstractNum w:abstractNumId="8" w15:restartNumberingAfterBreak="0">
    <w:nsid w:val="1A3520CF"/>
    <w:multiLevelType w:val="multilevel"/>
    <w:tmpl w:val="884A2386"/>
    <w:lvl w:ilvl="0">
      <w:start w:val="1"/>
      <w:numFmt w:val="decimal"/>
      <w:pStyle w:val="Bullet01Num"/>
      <w:lvlText w:val="(%1)"/>
      <w:lvlJc w:val="left"/>
      <w:pPr>
        <w:tabs>
          <w:tab w:val="num" w:pos="1417"/>
        </w:tabs>
        <w:ind w:left="1417" w:hanging="709"/>
      </w:pPr>
      <w:rPr>
        <w:rFonts w:hint="default"/>
      </w:rPr>
    </w:lvl>
    <w:lvl w:ilvl="1">
      <w:start w:val="1"/>
      <w:numFmt w:val="lowerLetter"/>
      <w:lvlText w:val="%2)"/>
      <w:lvlJc w:val="left"/>
      <w:pPr>
        <w:tabs>
          <w:tab w:val="num" w:pos="2124"/>
        </w:tabs>
        <w:ind w:left="2124" w:hanging="708"/>
      </w:pPr>
      <w:rPr>
        <w:rFonts w:hint="default"/>
      </w:rPr>
    </w:lvl>
    <w:lvl w:ilvl="2">
      <w:start w:val="1"/>
      <w:numFmt w:val="decimal"/>
      <w:pStyle w:val="Bullet03Num"/>
      <w:lvlText w:val="%3)"/>
      <w:lvlJc w:val="left"/>
      <w:pPr>
        <w:tabs>
          <w:tab w:val="num" w:pos="2409"/>
        </w:tabs>
        <w:ind w:left="2409" w:hanging="285"/>
      </w:pPr>
      <w:rPr>
        <w:rFonts w:hint="default"/>
      </w:rPr>
    </w:lvl>
    <w:lvl w:ilvl="3">
      <w:start w:val="1"/>
      <w:numFmt w:val="upperRoman"/>
      <w:lvlText w:val="%4)"/>
      <w:lvlJc w:val="left"/>
      <w:pPr>
        <w:tabs>
          <w:tab w:val="num" w:pos="708"/>
        </w:tabs>
        <w:ind w:left="3540" w:hanging="708"/>
      </w:pPr>
      <w:rPr>
        <w:rFonts w:hint="default"/>
      </w:rPr>
    </w:lvl>
    <w:lvl w:ilvl="4">
      <w:start w:val="1"/>
      <w:numFmt w:val="decimal"/>
      <w:lvlText w:val="(%5)"/>
      <w:lvlJc w:val="left"/>
      <w:pPr>
        <w:tabs>
          <w:tab w:val="num" w:pos="708"/>
        </w:tabs>
        <w:ind w:left="4248" w:hanging="708"/>
      </w:pPr>
      <w:rPr>
        <w:rFonts w:hint="default"/>
      </w:rPr>
    </w:lvl>
    <w:lvl w:ilvl="5">
      <w:start w:val="1"/>
      <w:numFmt w:val="lowerLetter"/>
      <w:lvlText w:val="(%6)"/>
      <w:lvlJc w:val="left"/>
      <w:pPr>
        <w:tabs>
          <w:tab w:val="num" w:pos="708"/>
        </w:tabs>
        <w:ind w:left="4956" w:hanging="708"/>
      </w:pPr>
      <w:rPr>
        <w:rFonts w:hint="default"/>
      </w:rPr>
    </w:lvl>
    <w:lvl w:ilvl="6">
      <w:start w:val="1"/>
      <w:numFmt w:val="lowerRoman"/>
      <w:lvlText w:val="(%7)"/>
      <w:lvlJc w:val="left"/>
      <w:pPr>
        <w:tabs>
          <w:tab w:val="num" w:pos="708"/>
        </w:tabs>
        <w:ind w:left="5664" w:hanging="708"/>
      </w:pPr>
      <w:rPr>
        <w:rFonts w:hint="default"/>
      </w:rPr>
    </w:lvl>
    <w:lvl w:ilvl="7">
      <w:start w:val="1"/>
      <w:numFmt w:val="lowerLetter"/>
      <w:lvlText w:val="(%8)"/>
      <w:lvlJc w:val="left"/>
      <w:pPr>
        <w:tabs>
          <w:tab w:val="num" w:pos="708"/>
        </w:tabs>
        <w:ind w:left="6372" w:hanging="708"/>
      </w:pPr>
      <w:rPr>
        <w:rFonts w:hint="default"/>
      </w:rPr>
    </w:lvl>
    <w:lvl w:ilvl="8">
      <w:start w:val="1"/>
      <w:numFmt w:val="lowerRoman"/>
      <w:lvlText w:val="(%9)"/>
      <w:lvlJc w:val="left"/>
      <w:pPr>
        <w:tabs>
          <w:tab w:val="num" w:pos="708"/>
        </w:tabs>
        <w:ind w:left="7080" w:hanging="708"/>
      </w:pPr>
      <w:rPr>
        <w:rFonts w:hint="default"/>
      </w:rPr>
    </w:lvl>
  </w:abstractNum>
  <w:abstractNum w:abstractNumId="9" w15:restartNumberingAfterBreak="0">
    <w:nsid w:val="1A416580"/>
    <w:multiLevelType w:val="hybridMultilevel"/>
    <w:tmpl w:val="6118697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1E555FEF"/>
    <w:multiLevelType w:val="hybridMultilevel"/>
    <w:tmpl w:val="50F0923E"/>
    <w:lvl w:ilvl="0" w:tplc="0D84E2DA">
      <w:start w:val="1"/>
      <w:numFmt w:val="bullet"/>
      <w:pStyle w:val="Lijstopsomteken2"/>
      <w:lvlText w:val="–"/>
      <w:lvlJc w:val="left"/>
      <w:pPr>
        <w:tabs>
          <w:tab w:val="num" w:pos="227"/>
        </w:tabs>
        <w:ind w:left="227" w:firstLine="0"/>
      </w:pPr>
      <w:rPr>
        <w:rFonts w:ascii="Verdana" w:hAnsi="Verdana" w:hint="default"/>
      </w:rPr>
    </w:lvl>
    <w:lvl w:ilvl="1" w:tplc="5816B162" w:tentative="1">
      <w:start w:val="1"/>
      <w:numFmt w:val="bullet"/>
      <w:lvlText w:val="o"/>
      <w:lvlJc w:val="left"/>
      <w:pPr>
        <w:tabs>
          <w:tab w:val="num" w:pos="1440"/>
        </w:tabs>
        <w:ind w:left="1440" w:hanging="360"/>
      </w:pPr>
      <w:rPr>
        <w:rFonts w:ascii="Courier New" w:hAnsi="Courier New" w:cs="Courier New" w:hint="default"/>
      </w:rPr>
    </w:lvl>
    <w:lvl w:ilvl="2" w:tplc="7D580D96" w:tentative="1">
      <w:start w:val="1"/>
      <w:numFmt w:val="bullet"/>
      <w:lvlText w:val=""/>
      <w:lvlJc w:val="left"/>
      <w:pPr>
        <w:tabs>
          <w:tab w:val="num" w:pos="2160"/>
        </w:tabs>
        <w:ind w:left="2160" w:hanging="360"/>
      </w:pPr>
      <w:rPr>
        <w:rFonts w:ascii="Wingdings" w:hAnsi="Wingdings" w:hint="default"/>
      </w:rPr>
    </w:lvl>
    <w:lvl w:ilvl="3" w:tplc="89FC090A" w:tentative="1">
      <w:start w:val="1"/>
      <w:numFmt w:val="bullet"/>
      <w:lvlText w:val=""/>
      <w:lvlJc w:val="left"/>
      <w:pPr>
        <w:tabs>
          <w:tab w:val="num" w:pos="2880"/>
        </w:tabs>
        <w:ind w:left="2880" w:hanging="360"/>
      </w:pPr>
      <w:rPr>
        <w:rFonts w:ascii="Symbol" w:hAnsi="Symbol" w:hint="default"/>
      </w:rPr>
    </w:lvl>
    <w:lvl w:ilvl="4" w:tplc="0178CAD4" w:tentative="1">
      <w:start w:val="1"/>
      <w:numFmt w:val="bullet"/>
      <w:lvlText w:val="o"/>
      <w:lvlJc w:val="left"/>
      <w:pPr>
        <w:tabs>
          <w:tab w:val="num" w:pos="3600"/>
        </w:tabs>
        <w:ind w:left="3600" w:hanging="360"/>
      </w:pPr>
      <w:rPr>
        <w:rFonts w:ascii="Courier New" w:hAnsi="Courier New" w:cs="Courier New" w:hint="default"/>
      </w:rPr>
    </w:lvl>
    <w:lvl w:ilvl="5" w:tplc="C2EC7462" w:tentative="1">
      <w:start w:val="1"/>
      <w:numFmt w:val="bullet"/>
      <w:lvlText w:val=""/>
      <w:lvlJc w:val="left"/>
      <w:pPr>
        <w:tabs>
          <w:tab w:val="num" w:pos="4320"/>
        </w:tabs>
        <w:ind w:left="4320" w:hanging="360"/>
      </w:pPr>
      <w:rPr>
        <w:rFonts w:ascii="Wingdings" w:hAnsi="Wingdings" w:hint="default"/>
      </w:rPr>
    </w:lvl>
    <w:lvl w:ilvl="6" w:tplc="326CD4F0" w:tentative="1">
      <w:start w:val="1"/>
      <w:numFmt w:val="bullet"/>
      <w:lvlText w:val=""/>
      <w:lvlJc w:val="left"/>
      <w:pPr>
        <w:tabs>
          <w:tab w:val="num" w:pos="5040"/>
        </w:tabs>
        <w:ind w:left="5040" w:hanging="360"/>
      </w:pPr>
      <w:rPr>
        <w:rFonts w:ascii="Symbol" w:hAnsi="Symbol" w:hint="default"/>
      </w:rPr>
    </w:lvl>
    <w:lvl w:ilvl="7" w:tplc="7710FF42" w:tentative="1">
      <w:start w:val="1"/>
      <w:numFmt w:val="bullet"/>
      <w:lvlText w:val="o"/>
      <w:lvlJc w:val="left"/>
      <w:pPr>
        <w:tabs>
          <w:tab w:val="num" w:pos="5760"/>
        </w:tabs>
        <w:ind w:left="5760" w:hanging="360"/>
      </w:pPr>
      <w:rPr>
        <w:rFonts w:ascii="Courier New" w:hAnsi="Courier New" w:cs="Courier New" w:hint="default"/>
      </w:rPr>
    </w:lvl>
    <w:lvl w:ilvl="8" w:tplc="23F6E7E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514AF6"/>
    <w:multiLevelType w:val="multilevel"/>
    <w:tmpl w:val="B1441BA6"/>
    <w:lvl w:ilvl="0">
      <w:start w:val="1"/>
      <w:numFmt w:val="decimal"/>
      <w:pStyle w:val="Eis1"/>
      <w:lvlText w:val="%1."/>
      <w:lvlJc w:val="left"/>
      <w:pPr>
        <w:tabs>
          <w:tab w:val="num" w:pos="1134"/>
        </w:tabs>
        <w:ind w:left="1134" w:hanging="1134"/>
      </w:pPr>
      <w:rPr>
        <w:rFonts w:hint="default"/>
      </w:rPr>
    </w:lvl>
    <w:lvl w:ilvl="1">
      <w:start w:val="1"/>
      <w:numFmt w:val="decimal"/>
      <w:pStyle w:val="Eis11"/>
      <w:lvlText w:val="%1.%2."/>
      <w:lvlJc w:val="left"/>
      <w:pPr>
        <w:tabs>
          <w:tab w:val="num" w:pos="4820"/>
        </w:tabs>
        <w:ind w:left="4820" w:hanging="1134"/>
      </w:pPr>
      <w:rPr>
        <w:rFonts w:hint="default"/>
      </w:rPr>
    </w:lvl>
    <w:lvl w:ilvl="2">
      <w:start w:val="1"/>
      <w:numFmt w:val="decimal"/>
      <w:pStyle w:val="Eis111"/>
      <w:lvlText w:val="%1.%2.%3."/>
      <w:lvlJc w:val="left"/>
      <w:pPr>
        <w:tabs>
          <w:tab w:val="num" w:pos="1418"/>
        </w:tabs>
        <w:ind w:left="1418" w:hanging="1089"/>
      </w:pPr>
      <w:rPr>
        <w:rFonts w:hint="default"/>
      </w:rPr>
    </w:lvl>
    <w:lvl w:ilvl="3">
      <w:start w:val="1"/>
      <w:numFmt w:val="bullet"/>
      <w:pStyle w:val="EisBullet"/>
      <w:lvlText w:val=""/>
      <w:lvlJc w:val="left"/>
      <w:pPr>
        <w:tabs>
          <w:tab w:val="num" w:pos="1418"/>
        </w:tabs>
        <w:ind w:left="1418" w:hanging="284"/>
      </w:pPr>
      <w:rPr>
        <w:rFonts w:ascii="Symbol" w:hAnsi="Symbol" w:hint="default"/>
        <w:color w:val="auto"/>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2" w15:restartNumberingAfterBreak="0">
    <w:nsid w:val="3B090A17"/>
    <w:multiLevelType w:val="hybridMultilevel"/>
    <w:tmpl w:val="99FCD3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C443335"/>
    <w:multiLevelType w:val="hybridMultilevel"/>
    <w:tmpl w:val="51209D9E"/>
    <w:lvl w:ilvl="0" w:tplc="2106356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DDC5AAD"/>
    <w:multiLevelType w:val="hybridMultilevel"/>
    <w:tmpl w:val="B180F6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705435F"/>
    <w:multiLevelType w:val="multilevel"/>
    <w:tmpl w:val="F10E6FA6"/>
    <w:styleLink w:val="OpmaakprofielOpmaakprofielGenummerdMeerderenive"/>
    <w:lvl w:ilvl="0">
      <w:start w:val="1"/>
      <w:numFmt w:val="lowerLetter"/>
      <w:lvlText w:val="%1."/>
      <w:lvlJc w:val="left"/>
      <w:pPr>
        <w:tabs>
          <w:tab w:val="num" w:pos="567"/>
        </w:tabs>
        <w:ind w:left="567" w:hanging="567"/>
      </w:pPr>
      <w:rPr>
        <w:rFonts w:ascii="Verdana" w:hAnsi="Verdana"/>
        <w:kern w:val="24"/>
        <w:sz w:val="18"/>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16" w15:restartNumberingAfterBreak="0">
    <w:nsid w:val="67A039F2"/>
    <w:multiLevelType w:val="hybridMultilevel"/>
    <w:tmpl w:val="658C2D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C0A15E3"/>
    <w:multiLevelType w:val="hybridMultilevel"/>
    <w:tmpl w:val="1BB20158"/>
    <w:lvl w:ilvl="0" w:tplc="09FA075C">
      <w:start w:val="1"/>
      <w:numFmt w:val="decimal"/>
      <w:pStyle w:val="Kop1"/>
      <w:lvlText w:val="%1."/>
      <w:lvlJc w:val="left"/>
      <w:pPr>
        <w:ind w:left="567" w:hanging="567"/>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D757672"/>
    <w:multiLevelType w:val="hybridMultilevel"/>
    <w:tmpl w:val="79868EC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73776750"/>
    <w:multiLevelType w:val="hybridMultilevel"/>
    <w:tmpl w:val="524CBEE6"/>
    <w:lvl w:ilvl="0" w:tplc="034CB4B4">
      <w:start w:val="1"/>
      <w:numFmt w:val="lowerLetter"/>
      <w:pStyle w:val="OpmaakprofielTekstopmerkingRegelafstandMeerdere097rg3"/>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0" w15:restartNumberingAfterBreak="0">
    <w:nsid w:val="73D33D56"/>
    <w:multiLevelType w:val="hybridMultilevel"/>
    <w:tmpl w:val="72906EE8"/>
    <w:lvl w:ilvl="0" w:tplc="F2DC6E2E">
      <w:numFmt w:val="bullet"/>
      <w:lvlText w:val="-"/>
      <w:lvlJc w:val="left"/>
      <w:pPr>
        <w:ind w:left="360" w:hanging="360"/>
      </w:pPr>
      <w:rPr>
        <w:rFonts w:ascii="Verdana" w:eastAsia="Times New Roman"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7EA132BB"/>
    <w:multiLevelType w:val="hybridMultilevel"/>
    <w:tmpl w:val="88803BE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476530856">
    <w:abstractNumId w:val="9"/>
  </w:num>
  <w:num w:numId="2" w16cid:durableId="186525387">
    <w:abstractNumId w:val="21"/>
  </w:num>
  <w:num w:numId="3" w16cid:durableId="866870796">
    <w:abstractNumId w:val="5"/>
  </w:num>
  <w:num w:numId="4" w16cid:durableId="1656907277">
    <w:abstractNumId w:val="8"/>
  </w:num>
  <w:num w:numId="5" w16cid:durableId="543837293">
    <w:abstractNumId w:val="11"/>
  </w:num>
  <w:num w:numId="6" w16cid:durableId="704866193">
    <w:abstractNumId w:val="0"/>
  </w:num>
  <w:num w:numId="7" w16cid:durableId="112598690">
    <w:abstractNumId w:val="2"/>
  </w:num>
  <w:num w:numId="8" w16cid:durableId="1754860613">
    <w:abstractNumId w:val="10"/>
  </w:num>
  <w:num w:numId="9" w16cid:durableId="1288313831">
    <w:abstractNumId w:val="15"/>
  </w:num>
  <w:num w:numId="10" w16cid:durableId="380982883">
    <w:abstractNumId w:val="19"/>
  </w:num>
  <w:num w:numId="11" w16cid:durableId="1174221772">
    <w:abstractNumId w:val="6"/>
  </w:num>
  <w:num w:numId="12" w16cid:durableId="1604221627">
    <w:abstractNumId w:val="18"/>
  </w:num>
  <w:num w:numId="13" w16cid:durableId="56128776">
    <w:abstractNumId w:val="7"/>
  </w:num>
  <w:num w:numId="14" w16cid:durableId="2011370162">
    <w:abstractNumId w:val="20"/>
  </w:num>
  <w:num w:numId="15" w16cid:durableId="1708097185">
    <w:abstractNumId w:val="17"/>
  </w:num>
  <w:num w:numId="16" w16cid:durableId="210190771">
    <w:abstractNumId w:val="3"/>
  </w:num>
  <w:num w:numId="17" w16cid:durableId="1985967483">
    <w:abstractNumId w:val="13"/>
  </w:num>
  <w:num w:numId="18" w16cid:durableId="1392341502">
    <w:abstractNumId w:val="17"/>
    <w:lvlOverride w:ilvl="0">
      <w:startOverride w:val="1"/>
    </w:lvlOverride>
  </w:num>
  <w:num w:numId="19" w16cid:durableId="1134786138">
    <w:abstractNumId w:val="17"/>
  </w:num>
  <w:num w:numId="20" w16cid:durableId="1561361570">
    <w:abstractNumId w:val="14"/>
  </w:num>
  <w:num w:numId="21" w16cid:durableId="103575549">
    <w:abstractNumId w:val="16"/>
  </w:num>
  <w:num w:numId="22" w16cid:durableId="1038822701">
    <w:abstractNumId w:val="12"/>
  </w:num>
  <w:num w:numId="23" w16cid:durableId="1671327583">
    <w:abstractNumId w:val="4"/>
  </w:num>
  <w:num w:numId="24" w16cid:durableId="1654983860">
    <w:abstractNumId w:val="17"/>
    <w:lvlOverride w:ilvl="0">
      <w:startOverride w:val="3"/>
    </w:lvlOverride>
  </w:num>
  <w:num w:numId="25" w16cid:durableId="1176264102">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ocumentProtection w:edit="forms" w:enforcement="0"/>
  <w:defaultTabStop w:val="708"/>
  <w:hyphenationZone w:val="425"/>
  <w:characterSpacingControl w:val="doNotCompress"/>
  <w:hdrShapeDefaults>
    <o:shapedefaults v:ext="edit" spidmax="180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E00"/>
    <w:rsid w:val="00000358"/>
    <w:rsid w:val="00001EEF"/>
    <w:rsid w:val="000108CF"/>
    <w:rsid w:val="00011C60"/>
    <w:rsid w:val="00016D35"/>
    <w:rsid w:val="000202D5"/>
    <w:rsid w:val="0002150C"/>
    <w:rsid w:val="00025B12"/>
    <w:rsid w:val="00027DDF"/>
    <w:rsid w:val="00034CCB"/>
    <w:rsid w:val="00035C84"/>
    <w:rsid w:val="000365A3"/>
    <w:rsid w:val="00040FD9"/>
    <w:rsid w:val="000458CE"/>
    <w:rsid w:val="00046A4C"/>
    <w:rsid w:val="0005178A"/>
    <w:rsid w:val="000527AC"/>
    <w:rsid w:val="000608BE"/>
    <w:rsid w:val="00062F6E"/>
    <w:rsid w:val="00074DEB"/>
    <w:rsid w:val="00080FA9"/>
    <w:rsid w:val="00084ADF"/>
    <w:rsid w:val="00087E76"/>
    <w:rsid w:val="000A36D6"/>
    <w:rsid w:val="000A5051"/>
    <w:rsid w:val="000A5FE5"/>
    <w:rsid w:val="000A7FC7"/>
    <w:rsid w:val="000B2BDC"/>
    <w:rsid w:val="000B60FA"/>
    <w:rsid w:val="000C1B6D"/>
    <w:rsid w:val="000C3534"/>
    <w:rsid w:val="000C4130"/>
    <w:rsid w:val="000C61E8"/>
    <w:rsid w:val="000D2F00"/>
    <w:rsid w:val="000D5518"/>
    <w:rsid w:val="000E0ACE"/>
    <w:rsid w:val="000E0E4B"/>
    <w:rsid w:val="000E1D9E"/>
    <w:rsid w:val="000E4DB4"/>
    <w:rsid w:val="000E6522"/>
    <w:rsid w:val="000F1482"/>
    <w:rsid w:val="000F2C5B"/>
    <w:rsid w:val="000F4CA1"/>
    <w:rsid w:val="000F6BD8"/>
    <w:rsid w:val="000F7E43"/>
    <w:rsid w:val="00101673"/>
    <w:rsid w:val="0010328A"/>
    <w:rsid w:val="00103BE7"/>
    <w:rsid w:val="001070FF"/>
    <w:rsid w:val="0010788D"/>
    <w:rsid w:val="001126D7"/>
    <w:rsid w:val="00113DCC"/>
    <w:rsid w:val="00116E00"/>
    <w:rsid w:val="00126D0C"/>
    <w:rsid w:val="00126E3B"/>
    <w:rsid w:val="00134D54"/>
    <w:rsid w:val="001436B0"/>
    <w:rsid w:val="00143DEB"/>
    <w:rsid w:val="001446A6"/>
    <w:rsid w:val="00152DED"/>
    <w:rsid w:val="00153AFE"/>
    <w:rsid w:val="0016149F"/>
    <w:rsid w:val="0016169C"/>
    <w:rsid w:val="00161802"/>
    <w:rsid w:val="001639B5"/>
    <w:rsid w:val="0017168B"/>
    <w:rsid w:val="001760D9"/>
    <w:rsid w:val="0017660A"/>
    <w:rsid w:val="00182A9A"/>
    <w:rsid w:val="00185A57"/>
    <w:rsid w:val="00186018"/>
    <w:rsid w:val="001914EE"/>
    <w:rsid w:val="00192AA9"/>
    <w:rsid w:val="00196D8D"/>
    <w:rsid w:val="001A024D"/>
    <w:rsid w:val="001A16DC"/>
    <w:rsid w:val="001A2155"/>
    <w:rsid w:val="001A3EE1"/>
    <w:rsid w:val="001A44A9"/>
    <w:rsid w:val="001A7A40"/>
    <w:rsid w:val="001B03E3"/>
    <w:rsid w:val="001C3186"/>
    <w:rsid w:val="001C3F2E"/>
    <w:rsid w:val="001D03CE"/>
    <w:rsid w:val="001D39B0"/>
    <w:rsid w:val="001D4C14"/>
    <w:rsid w:val="001D673D"/>
    <w:rsid w:val="001D699D"/>
    <w:rsid w:val="001E2F3B"/>
    <w:rsid w:val="001E399F"/>
    <w:rsid w:val="001E5848"/>
    <w:rsid w:val="001E628B"/>
    <w:rsid w:val="001E67CD"/>
    <w:rsid w:val="001E7667"/>
    <w:rsid w:val="001E7F8E"/>
    <w:rsid w:val="001F0709"/>
    <w:rsid w:val="001F0A91"/>
    <w:rsid w:val="001F4ECE"/>
    <w:rsid w:val="00206613"/>
    <w:rsid w:val="002069A8"/>
    <w:rsid w:val="00211680"/>
    <w:rsid w:val="00213A6F"/>
    <w:rsid w:val="002150D8"/>
    <w:rsid w:val="002310FE"/>
    <w:rsid w:val="00231B4C"/>
    <w:rsid w:val="00234D29"/>
    <w:rsid w:val="002402B7"/>
    <w:rsid w:val="0024068B"/>
    <w:rsid w:val="00247FEC"/>
    <w:rsid w:val="0025086C"/>
    <w:rsid w:val="00253299"/>
    <w:rsid w:val="002621CD"/>
    <w:rsid w:val="00270BF9"/>
    <w:rsid w:val="00271864"/>
    <w:rsid w:val="002725A2"/>
    <w:rsid w:val="002737C3"/>
    <w:rsid w:val="002767E8"/>
    <w:rsid w:val="00276F8C"/>
    <w:rsid w:val="00285FA9"/>
    <w:rsid w:val="00295316"/>
    <w:rsid w:val="00295C33"/>
    <w:rsid w:val="002A7B03"/>
    <w:rsid w:val="002B29F6"/>
    <w:rsid w:val="002B6A0C"/>
    <w:rsid w:val="002C19F2"/>
    <w:rsid w:val="002C2462"/>
    <w:rsid w:val="002C379B"/>
    <w:rsid w:val="002D556C"/>
    <w:rsid w:val="002D68AB"/>
    <w:rsid w:val="002E07EE"/>
    <w:rsid w:val="002E40BA"/>
    <w:rsid w:val="002F3709"/>
    <w:rsid w:val="002F6708"/>
    <w:rsid w:val="00302ECB"/>
    <w:rsid w:val="003058AF"/>
    <w:rsid w:val="00305F2C"/>
    <w:rsid w:val="003126B9"/>
    <w:rsid w:val="00312769"/>
    <w:rsid w:val="0031352A"/>
    <w:rsid w:val="003217EB"/>
    <w:rsid w:val="003227D5"/>
    <w:rsid w:val="003234FF"/>
    <w:rsid w:val="00326D7F"/>
    <w:rsid w:val="0033015C"/>
    <w:rsid w:val="00333BE8"/>
    <w:rsid w:val="00337BD7"/>
    <w:rsid w:val="003443D9"/>
    <w:rsid w:val="00346FBD"/>
    <w:rsid w:val="0035235A"/>
    <w:rsid w:val="00356024"/>
    <w:rsid w:val="00356E86"/>
    <w:rsid w:val="00365721"/>
    <w:rsid w:val="0037155C"/>
    <w:rsid w:val="00372613"/>
    <w:rsid w:val="00384D6C"/>
    <w:rsid w:val="00391A6E"/>
    <w:rsid w:val="00395640"/>
    <w:rsid w:val="0039753A"/>
    <w:rsid w:val="003A29DC"/>
    <w:rsid w:val="003A43C3"/>
    <w:rsid w:val="003A5DC4"/>
    <w:rsid w:val="003B1EBA"/>
    <w:rsid w:val="003B7CFA"/>
    <w:rsid w:val="003D00AF"/>
    <w:rsid w:val="003E25CA"/>
    <w:rsid w:val="003E3A5F"/>
    <w:rsid w:val="003E4616"/>
    <w:rsid w:val="003E5191"/>
    <w:rsid w:val="003F0825"/>
    <w:rsid w:val="003F1743"/>
    <w:rsid w:val="003F7C09"/>
    <w:rsid w:val="00401047"/>
    <w:rsid w:val="0041283D"/>
    <w:rsid w:val="004146C1"/>
    <w:rsid w:val="0041517C"/>
    <w:rsid w:val="004178FF"/>
    <w:rsid w:val="00426C45"/>
    <w:rsid w:val="004302A4"/>
    <w:rsid w:val="00430FA1"/>
    <w:rsid w:val="00433275"/>
    <w:rsid w:val="00433646"/>
    <w:rsid w:val="00442292"/>
    <w:rsid w:val="00444D12"/>
    <w:rsid w:val="00445533"/>
    <w:rsid w:val="00445570"/>
    <w:rsid w:val="00445F57"/>
    <w:rsid w:val="0044718C"/>
    <w:rsid w:val="004516CE"/>
    <w:rsid w:val="004517C2"/>
    <w:rsid w:val="004553BA"/>
    <w:rsid w:val="0046245D"/>
    <w:rsid w:val="00466CDD"/>
    <w:rsid w:val="00472688"/>
    <w:rsid w:val="00474CD8"/>
    <w:rsid w:val="004750FF"/>
    <w:rsid w:val="00477230"/>
    <w:rsid w:val="00480F71"/>
    <w:rsid w:val="00486B27"/>
    <w:rsid w:val="0049282D"/>
    <w:rsid w:val="00495A99"/>
    <w:rsid w:val="004A02FA"/>
    <w:rsid w:val="004A09E9"/>
    <w:rsid w:val="004A63D8"/>
    <w:rsid w:val="004D1DD1"/>
    <w:rsid w:val="004D5606"/>
    <w:rsid w:val="004D6322"/>
    <w:rsid w:val="004D74EA"/>
    <w:rsid w:val="004E3D7D"/>
    <w:rsid w:val="004F1FF5"/>
    <w:rsid w:val="004F5580"/>
    <w:rsid w:val="004F5C7A"/>
    <w:rsid w:val="00504979"/>
    <w:rsid w:val="00510560"/>
    <w:rsid w:val="00514FE7"/>
    <w:rsid w:val="00515CDE"/>
    <w:rsid w:val="0051608C"/>
    <w:rsid w:val="00522F21"/>
    <w:rsid w:val="005275FA"/>
    <w:rsid w:val="00530793"/>
    <w:rsid w:val="00533915"/>
    <w:rsid w:val="00541AD4"/>
    <w:rsid w:val="0054238D"/>
    <w:rsid w:val="005456C1"/>
    <w:rsid w:val="00547D2B"/>
    <w:rsid w:val="00550ACD"/>
    <w:rsid w:val="00551E46"/>
    <w:rsid w:val="00553154"/>
    <w:rsid w:val="00561919"/>
    <w:rsid w:val="00561A46"/>
    <w:rsid w:val="00565088"/>
    <w:rsid w:val="00565139"/>
    <w:rsid w:val="005670E1"/>
    <w:rsid w:val="00570CB5"/>
    <w:rsid w:val="0057549D"/>
    <w:rsid w:val="00577D6A"/>
    <w:rsid w:val="005849E7"/>
    <w:rsid w:val="005859AB"/>
    <w:rsid w:val="005862C5"/>
    <w:rsid w:val="00594CE8"/>
    <w:rsid w:val="00597854"/>
    <w:rsid w:val="00597F85"/>
    <w:rsid w:val="005A3381"/>
    <w:rsid w:val="005A46B6"/>
    <w:rsid w:val="005A495E"/>
    <w:rsid w:val="005A4D4F"/>
    <w:rsid w:val="005A6858"/>
    <w:rsid w:val="005A68E6"/>
    <w:rsid w:val="005A771D"/>
    <w:rsid w:val="005B491A"/>
    <w:rsid w:val="005C4C43"/>
    <w:rsid w:val="005C62E4"/>
    <w:rsid w:val="005D2373"/>
    <w:rsid w:val="005D2615"/>
    <w:rsid w:val="005D3D05"/>
    <w:rsid w:val="005D7716"/>
    <w:rsid w:val="005E51FB"/>
    <w:rsid w:val="005E5228"/>
    <w:rsid w:val="005E5531"/>
    <w:rsid w:val="005E5E8F"/>
    <w:rsid w:val="005E79A1"/>
    <w:rsid w:val="005F1B66"/>
    <w:rsid w:val="005F1EDC"/>
    <w:rsid w:val="005F29D4"/>
    <w:rsid w:val="005F2BDE"/>
    <w:rsid w:val="00600957"/>
    <w:rsid w:val="00600F39"/>
    <w:rsid w:val="0060234D"/>
    <w:rsid w:val="00604739"/>
    <w:rsid w:val="00604C74"/>
    <w:rsid w:val="0061136D"/>
    <w:rsid w:val="00620780"/>
    <w:rsid w:val="00622ED4"/>
    <w:rsid w:val="00627299"/>
    <w:rsid w:val="0062770B"/>
    <w:rsid w:val="00636033"/>
    <w:rsid w:val="00642ED4"/>
    <w:rsid w:val="00644A7A"/>
    <w:rsid w:val="0064574B"/>
    <w:rsid w:val="00645A7D"/>
    <w:rsid w:val="00653399"/>
    <w:rsid w:val="006538C2"/>
    <w:rsid w:val="006570A3"/>
    <w:rsid w:val="00660E73"/>
    <w:rsid w:val="006620E2"/>
    <w:rsid w:val="00662BAC"/>
    <w:rsid w:val="00667356"/>
    <w:rsid w:val="00672864"/>
    <w:rsid w:val="00676658"/>
    <w:rsid w:val="00695257"/>
    <w:rsid w:val="00697924"/>
    <w:rsid w:val="006A43EC"/>
    <w:rsid w:val="006B0D3D"/>
    <w:rsid w:val="006B0F9A"/>
    <w:rsid w:val="006B1981"/>
    <w:rsid w:val="006B444D"/>
    <w:rsid w:val="006B7A33"/>
    <w:rsid w:val="006B7FC0"/>
    <w:rsid w:val="006C50C4"/>
    <w:rsid w:val="006C7F7A"/>
    <w:rsid w:val="006D58D4"/>
    <w:rsid w:val="006D7338"/>
    <w:rsid w:val="006D758D"/>
    <w:rsid w:val="006E07F6"/>
    <w:rsid w:val="006E34AB"/>
    <w:rsid w:val="006E56A9"/>
    <w:rsid w:val="006E5D6A"/>
    <w:rsid w:val="006E6325"/>
    <w:rsid w:val="006F0399"/>
    <w:rsid w:val="006F2421"/>
    <w:rsid w:val="006F7096"/>
    <w:rsid w:val="00700392"/>
    <w:rsid w:val="00700B9E"/>
    <w:rsid w:val="00706523"/>
    <w:rsid w:val="00706D76"/>
    <w:rsid w:val="0071209D"/>
    <w:rsid w:val="00714C89"/>
    <w:rsid w:val="007259B8"/>
    <w:rsid w:val="0073266E"/>
    <w:rsid w:val="007345BC"/>
    <w:rsid w:val="00735743"/>
    <w:rsid w:val="0073590A"/>
    <w:rsid w:val="00736437"/>
    <w:rsid w:val="00736939"/>
    <w:rsid w:val="0074055B"/>
    <w:rsid w:val="00741EA2"/>
    <w:rsid w:val="00743D6E"/>
    <w:rsid w:val="0075032C"/>
    <w:rsid w:val="0076193B"/>
    <w:rsid w:val="0077010D"/>
    <w:rsid w:val="00780294"/>
    <w:rsid w:val="00781371"/>
    <w:rsid w:val="007856A3"/>
    <w:rsid w:val="00787A04"/>
    <w:rsid w:val="007910DE"/>
    <w:rsid w:val="00792D55"/>
    <w:rsid w:val="007937C8"/>
    <w:rsid w:val="007A1900"/>
    <w:rsid w:val="007A427B"/>
    <w:rsid w:val="007A51B4"/>
    <w:rsid w:val="007A6F06"/>
    <w:rsid w:val="007A74CF"/>
    <w:rsid w:val="007B3665"/>
    <w:rsid w:val="007B5595"/>
    <w:rsid w:val="007B5C2A"/>
    <w:rsid w:val="007B73B6"/>
    <w:rsid w:val="007C0713"/>
    <w:rsid w:val="007C349D"/>
    <w:rsid w:val="007D08C5"/>
    <w:rsid w:val="007D0F1C"/>
    <w:rsid w:val="007D1720"/>
    <w:rsid w:val="007D2227"/>
    <w:rsid w:val="007D38CB"/>
    <w:rsid w:val="007D3C13"/>
    <w:rsid w:val="007D4897"/>
    <w:rsid w:val="007E3659"/>
    <w:rsid w:val="007E6563"/>
    <w:rsid w:val="007E7C03"/>
    <w:rsid w:val="007F1268"/>
    <w:rsid w:val="007F5760"/>
    <w:rsid w:val="007F7EA6"/>
    <w:rsid w:val="00803C94"/>
    <w:rsid w:val="008054A1"/>
    <w:rsid w:val="008102C2"/>
    <w:rsid w:val="00817FA8"/>
    <w:rsid w:val="00820AF4"/>
    <w:rsid w:val="00821122"/>
    <w:rsid w:val="00821F62"/>
    <w:rsid w:val="00823F35"/>
    <w:rsid w:val="00826658"/>
    <w:rsid w:val="0083394F"/>
    <w:rsid w:val="008357CF"/>
    <w:rsid w:val="00835D5C"/>
    <w:rsid w:val="0084003D"/>
    <w:rsid w:val="008412CD"/>
    <w:rsid w:val="0084402B"/>
    <w:rsid w:val="008445E0"/>
    <w:rsid w:val="00850EE9"/>
    <w:rsid w:val="00853ED6"/>
    <w:rsid w:val="008614F5"/>
    <w:rsid w:val="00861DC8"/>
    <w:rsid w:val="008627DC"/>
    <w:rsid w:val="00863BE9"/>
    <w:rsid w:val="00865EE8"/>
    <w:rsid w:val="00866C2D"/>
    <w:rsid w:val="0087261B"/>
    <w:rsid w:val="00876F59"/>
    <w:rsid w:val="00877E1F"/>
    <w:rsid w:val="00881970"/>
    <w:rsid w:val="008922BB"/>
    <w:rsid w:val="0089358B"/>
    <w:rsid w:val="00894E8A"/>
    <w:rsid w:val="00897F52"/>
    <w:rsid w:val="008A294B"/>
    <w:rsid w:val="008A44AE"/>
    <w:rsid w:val="008A562F"/>
    <w:rsid w:val="008B3186"/>
    <w:rsid w:val="008B42BF"/>
    <w:rsid w:val="008C0B1E"/>
    <w:rsid w:val="008C259D"/>
    <w:rsid w:val="008D3420"/>
    <w:rsid w:val="008D369F"/>
    <w:rsid w:val="008D467B"/>
    <w:rsid w:val="008D59F1"/>
    <w:rsid w:val="008E6938"/>
    <w:rsid w:val="008F0414"/>
    <w:rsid w:val="008F2387"/>
    <w:rsid w:val="008F584F"/>
    <w:rsid w:val="008F679C"/>
    <w:rsid w:val="0090438F"/>
    <w:rsid w:val="0090635E"/>
    <w:rsid w:val="00906CCC"/>
    <w:rsid w:val="00907751"/>
    <w:rsid w:val="00907F30"/>
    <w:rsid w:val="00913140"/>
    <w:rsid w:val="009133A5"/>
    <w:rsid w:val="009216D5"/>
    <w:rsid w:val="009227EF"/>
    <w:rsid w:val="00922B6E"/>
    <w:rsid w:val="00925B25"/>
    <w:rsid w:val="00932B4B"/>
    <w:rsid w:val="00935E4B"/>
    <w:rsid w:val="00956B32"/>
    <w:rsid w:val="009619F6"/>
    <w:rsid w:val="00962207"/>
    <w:rsid w:val="00967184"/>
    <w:rsid w:val="00975629"/>
    <w:rsid w:val="00975973"/>
    <w:rsid w:val="00975A6A"/>
    <w:rsid w:val="00977753"/>
    <w:rsid w:val="00994056"/>
    <w:rsid w:val="009947C8"/>
    <w:rsid w:val="009955F1"/>
    <w:rsid w:val="00997EA4"/>
    <w:rsid w:val="009A3A13"/>
    <w:rsid w:val="009A3E8C"/>
    <w:rsid w:val="009B204C"/>
    <w:rsid w:val="009B2BE9"/>
    <w:rsid w:val="009B6E59"/>
    <w:rsid w:val="009B7075"/>
    <w:rsid w:val="009C4F61"/>
    <w:rsid w:val="009C558C"/>
    <w:rsid w:val="009C7E50"/>
    <w:rsid w:val="009E42A1"/>
    <w:rsid w:val="009E7D47"/>
    <w:rsid w:val="009F2047"/>
    <w:rsid w:val="009F39BA"/>
    <w:rsid w:val="009F7CDC"/>
    <w:rsid w:val="00A00056"/>
    <w:rsid w:val="00A02F39"/>
    <w:rsid w:val="00A13030"/>
    <w:rsid w:val="00A13EBE"/>
    <w:rsid w:val="00A152CF"/>
    <w:rsid w:val="00A220D8"/>
    <w:rsid w:val="00A2529D"/>
    <w:rsid w:val="00A258B5"/>
    <w:rsid w:val="00A25FCB"/>
    <w:rsid w:val="00A3767F"/>
    <w:rsid w:val="00A378D6"/>
    <w:rsid w:val="00A40BA1"/>
    <w:rsid w:val="00A42904"/>
    <w:rsid w:val="00A44977"/>
    <w:rsid w:val="00A5423D"/>
    <w:rsid w:val="00A54312"/>
    <w:rsid w:val="00A570E8"/>
    <w:rsid w:val="00A574F5"/>
    <w:rsid w:val="00A57BDA"/>
    <w:rsid w:val="00A6022B"/>
    <w:rsid w:val="00A6438E"/>
    <w:rsid w:val="00A643F8"/>
    <w:rsid w:val="00A6793E"/>
    <w:rsid w:val="00A71121"/>
    <w:rsid w:val="00A73914"/>
    <w:rsid w:val="00A80202"/>
    <w:rsid w:val="00A87AA0"/>
    <w:rsid w:val="00A909BE"/>
    <w:rsid w:val="00A909E0"/>
    <w:rsid w:val="00A958BA"/>
    <w:rsid w:val="00A97A7D"/>
    <w:rsid w:val="00AA20D9"/>
    <w:rsid w:val="00AA2D67"/>
    <w:rsid w:val="00AA4BA5"/>
    <w:rsid w:val="00AB3124"/>
    <w:rsid w:val="00AB6FAE"/>
    <w:rsid w:val="00AB712E"/>
    <w:rsid w:val="00AC15FB"/>
    <w:rsid w:val="00AC2019"/>
    <w:rsid w:val="00AC559C"/>
    <w:rsid w:val="00AC69B4"/>
    <w:rsid w:val="00AD03C2"/>
    <w:rsid w:val="00AD7FC1"/>
    <w:rsid w:val="00AE0A02"/>
    <w:rsid w:val="00AE11A1"/>
    <w:rsid w:val="00AE1276"/>
    <w:rsid w:val="00AE4807"/>
    <w:rsid w:val="00AE7172"/>
    <w:rsid w:val="00AF0CE5"/>
    <w:rsid w:val="00AF286C"/>
    <w:rsid w:val="00AF3B20"/>
    <w:rsid w:val="00AF5E76"/>
    <w:rsid w:val="00B02969"/>
    <w:rsid w:val="00B02BE7"/>
    <w:rsid w:val="00B0468A"/>
    <w:rsid w:val="00B04DB5"/>
    <w:rsid w:val="00B05C85"/>
    <w:rsid w:val="00B078A5"/>
    <w:rsid w:val="00B1137F"/>
    <w:rsid w:val="00B150BF"/>
    <w:rsid w:val="00B16B23"/>
    <w:rsid w:val="00B17E6E"/>
    <w:rsid w:val="00B22E35"/>
    <w:rsid w:val="00B25450"/>
    <w:rsid w:val="00B34871"/>
    <w:rsid w:val="00B34E76"/>
    <w:rsid w:val="00B3503F"/>
    <w:rsid w:val="00B37422"/>
    <w:rsid w:val="00B37B62"/>
    <w:rsid w:val="00B4035E"/>
    <w:rsid w:val="00B53D54"/>
    <w:rsid w:val="00B558DC"/>
    <w:rsid w:val="00B57C3F"/>
    <w:rsid w:val="00B60410"/>
    <w:rsid w:val="00B619BC"/>
    <w:rsid w:val="00B65A8A"/>
    <w:rsid w:val="00B74C84"/>
    <w:rsid w:val="00B7524B"/>
    <w:rsid w:val="00B82350"/>
    <w:rsid w:val="00B84969"/>
    <w:rsid w:val="00B8547B"/>
    <w:rsid w:val="00B86AC5"/>
    <w:rsid w:val="00B90BF7"/>
    <w:rsid w:val="00B92FAA"/>
    <w:rsid w:val="00B9526F"/>
    <w:rsid w:val="00B97E76"/>
    <w:rsid w:val="00BB1321"/>
    <w:rsid w:val="00BB1C4A"/>
    <w:rsid w:val="00BB561B"/>
    <w:rsid w:val="00BC564E"/>
    <w:rsid w:val="00BC6BBE"/>
    <w:rsid w:val="00BC7338"/>
    <w:rsid w:val="00BD56FA"/>
    <w:rsid w:val="00BD6E55"/>
    <w:rsid w:val="00BE145F"/>
    <w:rsid w:val="00BE19B3"/>
    <w:rsid w:val="00BE4C92"/>
    <w:rsid w:val="00BF3428"/>
    <w:rsid w:val="00BF501A"/>
    <w:rsid w:val="00C02FE2"/>
    <w:rsid w:val="00C03C31"/>
    <w:rsid w:val="00C05D5A"/>
    <w:rsid w:val="00C11A5A"/>
    <w:rsid w:val="00C13895"/>
    <w:rsid w:val="00C20197"/>
    <w:rsid w:val="00C2154A"/>
    <w:rsid w:val="00C278DC"/>
    <w:rsid w:val="00C308E7"/>
    <w:rsid w:val="00C31F94"/>
    <w:rsid w:val="00C424E5"/>
    <w:rsid w:val="00C43300"/>
    <w:rsid w:val="00C4673C"/>
    <w:rsid w:val="00C47B5A"/>
    <w:rsid w:val="00C47D2C"/>
    <w:rsid w:val="00C52E72"/>
    <w:rsid w:val="00C62CC3"/>
    <w:rsid w:val="00C724BB"/>
    <w:rsid w:val="00C7540A"/>
    <w:rsid w:val="00C7621A"/>
    <w:rsid w:val="00C76ACC"/>
    <w:rsid w:val="00C77296"/>
    <w:rsid w:val="00C77D51"/>
    <w:rsid w:val="00C85D55"/>
    <w:rsid w:val="00C94A87"/>
    <w:rsid w:val="00C976DF"/>
    <w:rsid w:val="00CA543F"/>
    <w:rsid w:val="00CA5A56"/>
    <w:rsid w:val="00CB4BAE"/>
    <w:rsid w:val="00CB65FD"/>
    <w:rsid w:val="00CC0452"/>
    <w:rsid w:val="00CC0E61"/>
    <w:rsid w:val="00CD11B6"/>
    <w:rsid w:val="00CD251D"/>
    <w:rsid w:val="00CD4B52"/>
    <w:rsid w:val="00CE425E"/>
    <w:rsid w:val="00CE50BE"/>
    <w:rsid w:val="00CE7591"/>
    <w:rsid w:val="00CF46D6"/>
    <w:rsid w:val="00D0713D"/>
    <w:rsid w:val="00D11BEB"/>
    <w:rsid w:val="00D232F3"/>
    <w:rsid w:val="00D34A59"/>
    <w:rsid w:val="00D34B86"/>
    <w:rsid w:val="00D35109"/>
    <w:rsid w:val="00D404BF"/>
    <w:rsid w:val="00D41A18"/>
    <w:rsid w:val="00D422AD"/>
    <w:rsid w:val="00D463CB"/>
    <w:rsid w:val="00D53FDF"/>
    <w:rsid w:val="00D56474"/>
    <w:rsid w:val="00D57EAD"/>
    <w:rsid w:val="00D6161D"/>
    <w:rsid w:val="00D63752"/>
    <w:rsid w:val="00D67742"/>
    <w:rsid w:val="00D679BE"/>
    <w:rsid w:val="00D714F1"/>
    <w:rsid w:val="00D77237"/>
    <w:rsid w:val="00D807E3"/>
    <w:rsid w:val="00D80C22"/>
    <w:rsid w:val="00D81237"/>
    <w:rsid w:val="00D818D0"/>
    <w:rsid w:val="00D90AE1"/>
    <w:rsid w:val="00D929F3"/>
    <w:rsid w:val="00D9697C"/>
    <w:rsid w:val="00DA4625"/>
    <w:rsid w:val="00DA51D8"/>
    <w:rsid w:val="00DA5278"/>
    <w:rsid w:val="00DB5B9B"/>
    <w:rsid w:val="00DB6E3A"/>
    <w:rsid w:val="00DC2A90"/>
    <w:rsid w:val="00DC64E0"/>
    <w:rsid w:val="00DC732E"/>
    <w:rsid w:val="00DD4A77"/>
    <w:rsid w:val="00DE1605"/>
    <w:rsid w:val="00DE2A6F"/>
    <w:rsid w:val="00DE2B64"/>
    <w:rsid w:val="00DE3A88"/>
    <w:rsid w:val="00DE5C9C"/>
    <w:rsid w:val="00DE6C14"/>
    <w:rsid w:val="00DF1A47"/>
    <w:rsid w:val="00DF577C"/>
    <w:rsid w:val="00E0259E"/>
    <w:rsid w:val="00E02B71"/>
    <w:rsid w:val="00E105B7"/>
    <w:rsid w:val="00E11746"/>
    <w:rsid w:val="00E11DE2"/>
    <w:rsid w:val="00E1294C"/>
    <w:rsid w:val="00E2427A"/>
    <w:rsid w:val="00E252E2"/>
    <w:rsid w:val="00E31772"/>
    <w:rsid w:val="00E32AB1"/>
    <w:rsid w:val="00E3558E"/>
    <w:rsid w:val="00E41079"/>
    <w:rsid w:val="00E466AB"/>
    <w:rsid w:val="00E47495"/>
    <w:rsid w:val="00E5116E"/>
    <w:rsid w:val="00E545C9"/>
    <w:rsid w:val="00E57241"/>
    <w:rsid w:val="00E674C6"/>
    <w:rsid w:val="00E808EF"/>
    <w:rsid w:val="00E82557"/>
    <w:rsid w:val="00E85928"/>
    <w:rsid w:val="00E92C3E"/>
    <w:rsid w:val="00E947AE"/>
    <w:rsid w:val="00EA13ED"/>
    <w:rsid w:val="00EA1487"/>
    <w:rsid w:val="00EA3031"/>
    <w:rsid w:val="00EB0CC0"/>
    <w:rsid w:val="00EB0CDC"/>
    <w:rsid w:val="00EB2DAC"/>
    <w:rsid w:val="00EB4519"/>
    <w:rsid w:val="00EB7312"/>
    <w:rsid w:val="00ED00B7"/>
    <w:rsid w:val="00ED1CD6"/>
    <w:rsid w:val="00ED29E3"/>
    <w:rsid w:val="00ED5ED2"/>
    <w:rsid w:val="00ED6F2C"/>
    <w:rsid w:val="00EE639E"/>
    <w:rsid w:val="00EE67C2"/>
    <w:rsid w:val="00EF2AD7"/>
    <w:rsid w:val="00EF2B1F"/>
    <w:rsid w:val="00EF617D"/>
    <w:rsid w:val="00EF68EB"/>
    <w:rsid w:val="00F07C39"/>
    <w:rsid w:val="00F10874"/>
    <w:rsid w:val="00F15AE5"/>
    <w:rsid w:val="00F15F47"/>
    <w:rsid w:val="00F2714E"/>
    <w:rsid w:val="00F271D9"/>
    <w:rsid w:val="00F27460"/>
    <w:rsid w:val="00F30883"/>
    <w:rsid w:val="00F32E55"/>
    <w:rsid w:val="00F355B2"/>
    <w:rsid w:val="00F45BA5"/>
    <w:rsid w:val="00F52B5F"/>
    <w:rsid w:val="00F569A9"/>
    <w:rsid w:val="00F62BEE"/>
    <w:rsid w:val="00F6327B"/>
    <w:rsid w:val="00F6610E"/>
    <w:rsid w:val="00F71D59"/>
    <w:rsid w:val="00F83EC6"/>
    <w:rsid w:val="00F8495F"/>
    <w:rsid w:val="00F84CCD"/>
    <w:rsid w:val="00F91994"/>
    <w:rsid w:val="00F95BD1"/>
    <w:rsid w:val="00F96380"/>
    <w:rsid w:val="00FA1D97"/>
    <w:rsid w:val="00FB10F3"/>
    <w:rsid w:val="00FB5545"/>
    <w:rsid w:val="00FC2996"/>
    <w:rsid w:val="00FC75E1"/>
    <w:rsid w:val="00FD53E0"/>
    <w:rsid w:val="00FD5F90"/>
    <w:rsid w:val="00FD7C6A"/>
    <w:rsid w:val="00FE21BD"/>
    <w:rsid w:val="00FE2DAA"/>
    <w:rsid w:val="00FE2DCD"/>
    <w:rsid w:val="00FF2C8F"/>
    <w:rsid w:val="00FF73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80225"/>
    <o:shapelayout v:ext="edit">
      <o:idmap v:ext="edit" data="1"/>
    </o:shapelayout>
  </w:shapeDefaults>
  <w:decimalSymbol w:val=","/>
  <w:listSeparator w:val=";"/>
  <w14:docId w14:val="0FCC94FD"/>
  <w15:docId w15:val="{DBCA70E9-6F5A-46C9-9436-64458A722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45A7D"/>
    <w:pPr>
      <w:spacing w:after="0" w:line="240" w:lineRule="atLeast"/>
    </w:pPr>
    <w:rPr>
      <w:rFonts w:ascii="Verdana" w:eastAsia="Times New Roman" w:hAnsi="Verdana" w:cs="Times New Roman"/>
      <w:sz w:val="18"/>
      <w:szCs w:val="24"/>
      <w:lang w:eastAsia="nl-NL"/>
    </w:rPr>
  </w:style>
  <w:style w:type="paragraph" w:styleId="Kop1">
    <w:name w:val="heading 1"/>
    <w:aliases w:val="hoofdstuk,Hoofdstuk,Section Heading,sectionHeading,Kop 1hoofdstuk,hoofdstuk+,Hoofdkop,Hoofdkop1,Hoofdkop2,Hoofdkop11,Hoofdkop3,Hoofdkop12,Hoofdkop21,Hoofdkop111,Hoofdkop4,Hoofdkop13,Hoofdkop22,Hoofdkop112,Hoofdkop31,Hoofdkop121,Hoofdkop211"/>
    <w:basedOn w:val="Standaard"/>
    <w:next w:val="Standaard"/>
    <w:link w:val="Kop1Char"/>
    <w:autoRedefine/>
    <w:qFormat/>
    <w:rsid w:val="00823F35"/>
    <w:pPr>
      <w:keepNext/>
      <w:numPr>
        <w:numId w:val="15"/>
      </w:numPr>
      <w:spacing w:after="120"/>
      <w:outlineLvl w:val="0"/>
    </w:pPr>
    <w:rPr>
      <w:rFonts w:cs="Arial"/>
      <w:b/>
      <w:bCs/>
      <w:kern w:val="32"/>
      <w:sz w:val="24"/>
    </w:rPr>
  </w:style>
  <w:style w:type="paragraph" w:styleId="Kop2">
    <w:name w:val="heading 2"/>
    <w:aliases w:val="2scr"/>
    <w:basedOn w:val="Standaard"/>
    <w:next w:val="Standaard"/>
    <w:link w:val="Kop2Char"/>
    <w:qFormat/>
    <w:rsid w:val="003E4616"/>
    <w:pPr>
      <w:keepNext/>
      <w:numPr>
        <w:ilvl w:val="1"/>
        <w:numId w:val="6"/>
      </w:numPr>
      <w:spacing w:before="240" w:after="60"/>
      <w:outlineLvl w:val="1"/>
    </w:pPr>
    <w:rPr>
      <w:rFonts w:cs="Arial"/>
      <w:b/>
      <w:bCs/>
      <w:iCs/>
      <w:szCs w:val="28"/>
    </w:rPr>
  </w:style>
  <w:style w:type="paragraph" w:styleId="Kop3">
    <w:name w:val="heading 3"/>
    <w:aliases w:val="3scr"/>
    <w:basedOn w:val="Standaard"/>
    <w:next w:val="Standaard"/>
    <w:link w:val="Kop3Char"/>
    <w:autoRedefine/>
    <w:qFormat/>
    <w:rsid w:val="003E4616"/>
    <w:pPr>
      <w:keepNext/>
      <w:numPr>
        <w:ilvl w:val="2"/>
        <w:numId w:val="6"/>
      </w:numPr>
      <w:spacing w:before="240" w:after="60"/>
      <w:outlineLvl w:val="2"/>
    </w:pPr>
    <w:rPr>
      <w:rFonts w:cs="Arial"/>
      <w:bCs/>
      <w:i/>
      <w:szCs w:val="26"/>
    </w:rPr>
  </w:style>
  <w:style w:type="paragraph" w:styleId="Kop4">
    <w:name w:val="heading 4"/>
    <w:basedOn w:val="Standaard"/>
    <w:next w:val="Standaard"/>
    <w:link w:val="Kop4Char"/>
    <w:qFormat/>
    <w:rsid w:val="003E4616"/>
    <w:pPr>
      <w:keepNext/>
      <w:keepLines/>
      <w:numPr>
        <w:ilvl w:val="3"/>
        <w:numId w:val="6"/>
      </w:numPr>
      <w:spacing w:before="260" w:line="260" w:lineRule="atLeast"/>
      <w:outlineLvl w:val="3"/>
    </w:pPr>
    <w:rPr>
      <w:b/>
      <w:i/>
      <w:kern w:val="16"/>
      <w:szCs w:val="20"/>
      <w:lang w:eastAsia="en-US"/>
    </w:rPr>
  </w:style>
  <w:style w:type="paragraph" w:styleId="Kop5">
    <w:name w:val="heading 5"/>
    <w:basedOn w:val="Standaard"/>
    <w:next w:val="Standaard"/>
    <w:link w:val="Kop5Char"/>
    <w:qFormat/>
    <w:rsid w:val="003E4616"/>
    <w:pPr>
      <w:keepNext/>
      <w:numPr>
        <w:ilvl w:val="4"/>
        <w:numId w:val="6"/>
      </w:numPr>
      <w:spacing w:line="260" w:lineRule="atLeast"/>
      <w:outlineLvl w:val="4"/>
    </w:pPr>
    <w:rPr>
      <w:b/>
      <w:kern w:val="14"/>
      <w:szCs w:val="20"/>
      <w:lang w:eastAsia="en-US"/>
    </w:rPr>
  </w:style>
  <w:style w:type="paragraph" w:styleId="Kop6">
    <w:name w:val="heading 6"/>
    <w:basedOn w:val="Kop5"/>
    <w:next w:val="Standaard"/>
    <w:link w:val="Kop6Char"/>
    <w:qFormat/>
    <w:rsid w:val="003E4616"/>
    <w:pPr>
      <w:numPr>
        <w:ilvl w:val="5"/>
      </w:numPr>
      <w:jc w:val="center"/>
      <w:outlineLvl w:val="5"/>
    </w:pPr>
    <w:rPr>
      <w:b w:val="0"/>
    </w:rPr>
  </w:style>
  <w:style w:type="paragraph" w:styleId="Kop7">
    <w:name w:val="heading 7"/>
    <w:basedOn w:val="Standaard"/>
    <w:next w:val="Standaard"/>
    <w:link w:val="Kop7Char"/>
    <w:qFormat/>
    <w:rsid w:val="003E4616"/>
    <w:pPr>
      <w:keepNext/>
      <w:numPr>
        <w:ilvl w:val="6"/>
        <w:numId w:val="6"/>
      </w:numPr>
      <w:tabs>
        <w:tab w:val="left" w:pos="-1070"/>
        <w:tab w:val="left" w:pos="-848"/>
        <w:tab w:val="left" w:pos="-282"/>
        <w:tab w:val="left" w:pos="284"/>
        <w:tab w:val="left" w:pos="850"/>
        <w:tab w:val="left" w:pos="1982"/>
        <w:tab w:val="left" w:pos="2548"/>
        <w:tab w:val="left" w:pos="2779"/>
        <w:tab w:val="left" w:pos="3114"/>
        <w:tab w:val="left" w:pos="3680"/>
        <w:tab w:val="left" w:pos="4246"/>
        <w:tab w:val="left" w:pos="4812"/>
        <w:tab w:val="left" w:pos="5378"/>
        <w:tab w:val="left" w:pos="5944"/>
        <w:tab w:val="left" w:pos="6510"/>
        <w:tab w:val="left" w:pos="7076"/>
        <w:tab w:val="left" w:pos="7642"/>
        <w:tab w:val="left" w:pos="8208"/>
        <w:tab w:val="left" w:pos="8774"/>
      </w:tabs>
      <w:spacing w:line="260" w:lineRule="atLeast"/>
      <w:jc w:val="right"/>
      <w:outlineLvl w:val="6"/>
    </w:pPr>
    <w:rPr>
      <w:b/>
      <w:kern w:val="14"/>
      <w:szCs w:val="20"/>
      <w:lang w:eastAsia="en-US"/>
    </w:rPr>
  </w:style>
  <w:style w:type="paragraph" w:styleId="Kop8">
    <w:name w:val="heading 8"/>
    <w:basedOn w:val="Standaard"/>
    <w:next w:val="Standaard"/>
    <w:link w:val="Kop8Char"/>
    <w:qFormat/>
    <w:rsid w:val="003E4616"/>
    <w:pPr>
      <w:keepNext/>
      <w:numPr>
        <w:ilvl w:val="7"/>
        <w:numId w:val="6"/>
      </w:numPr>
      <w:spacing w:line="260" w:lineRule="atLeast"/>
      <w:outlineLvl w:val="7"/>
    </w:pPr>
    <w:rPr>
      <w:bCs/>
      <w:kern w:val="14"/>
      <w:szCs w:val="20"/>
      <w:lang w:eastAsia="en-US"/>
    </w:rPr>
  </w:style>
  <w:style w:type="paragraph" w:styleId="Kop9">
    <w:name w:val="heading 9"/>
    <w:basedOn w:val="Standaard"/>
    <w:next w:val="Standaard"/>
    <w:link w:val="Kop9Char"/>
    <w:qFormat/>
    <w:rsid w:val="003E4616"/>
    <w:pPr>
      <w:numPr>
        <w:ilvl w:val="8"/>
        <w:numId w:val="6"/>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semiHidden/>
    <w:rsid w:val="003E4616"/>
    <w:rPr>
      <w:rFonts w:ascii="Tahoma" w:hAnsi="Tahoma" w:cs="Tahoma"/>
      <w:sz w:val="16"/>
      <w:szCs w:val="16"/>
    </w:rPr>
  </w:style>
  <w:style w:type="character" w:customStyle="1" w:styleId="BallontekstChar">
    <w:name w:val="Ballontekst Char"/>
    <w:basedOn w:val="Standaardalinea-lettertype"/>
    <w:link w:val="Ballontekst"/>
    <w:semiHidden/>
    <w:rsid w:val="00116E00"/>
    <w:rPr>
      <w:rFonts w:ascii="Tahoma" w:eastAsia="Times New Roman" w:hAnsi="Tahoma" w:cs="Tahoma"/>
      <w:sz w:val="16"/>
      <w:szCs w:val="16"/>
      <w:lang w:eastAsia="nl-NL"/>
    </w:rPr>
  </w:style>
  <w:style w:type="paragraph" w:styleId="Lijstalinea">
    <w:name w:val="List Paragraph"/>
    <w:basedOn w:val="Standaard"/>
    <w:uiPriority w:val="34"/>
    <w:qFormat/>
    <w:rsid w:val="003E4616"/>
    <w:pPr>
      <w:ind w:left="720"/>
      <w:contextualSpacing/>
    </w:pPr>
  </w:style>
  <w:style w:type="paragraph" w:styleId="Koptekst">
    <w:name w:val="header"/>
    <w:basedOn w:val="Standaard"/>
    <w:link w:val="KoptekstChar"/>
    <w:uiPriority w:val="99"/>
    <w:rsid w:val="003E4616"/>
    <w:pPr>
      <w:tabs>
        <w:tab w:val="center" w:pos="4536"/>
        <w:tab w:val="right" w:pos="9072"/>
      </w:tabs>
    </w:pPr>
  </w:style>
  <w:style w:type="character" w:customStyle="1" w:styleId="KoptekstChar">
    <w:name w:val="Koptekst Char"/>
    <w:basedOn w:val="Standaardalinea-lettertype"/>
    <w:link w:val="Koptekst"/>
    <w:uiPriority w:val="99"/>
    <w:rsid w:val="005E51FB"/>
    <w:rPr>
      <w:rFonts w:ascii="Verdana" w:eastAsia="Times New Roman" w:hAnsi="Verdana" w:cs="Times New Roman"/>
      <w:sz w:val="18"/>
      <w:szCs w:val="24"/>
      <w:lang w:eastAsia="nl-NL"/>
    </w:rPr>
  </w:style>
  <w:style w:type="paragraph" w:styleId="Voettekst">
    <w:name w:val="footer"/>
    <w:basedOn w:val="Standaard"/>
    <w:link w:val="VoettekstChar"/>
    <w:uiPriority w:val="99"/>
    <w:rsid w:val="003E4616"/>
    <w:pPr>
      <w:tabs>
        <w:tab w:val="center" w:pos="4536"/>
        <w:tab w:val="right" w:pos="9072"/>
      </w:tabs>
    </w:pPr>
  </w:style>
  <w:style w:type="character" w:customStyle="1" w:styleId="VoettekstChar">
    <w:name w:val="Voettekst Char"/>
    <w:basedOn w:val="Standaardalinea-lettertype"/>
    <w:link w:val="Voettekst"/>
    <w:uiPriority w:val="99"/>
    <w:rsid w:val="005E51FB"/>
    <w:rPr>
      <w:rFonts w:ascii="Verdana" w:eastAsia="Times New Roman" w:hAnsi="Verdana" w:cs="Times New Roman"/>
      <w:sz w:val="18"/>
      <w:szCs w:val="24"/>
      <w:lang w:eastAsia="nl-NL"/>
    </w:rPr>
  </w:style>
  <w:style w:type="character" w:styleId="Verwijzingopmerking">
    <w:name w:val="annotation reference"/>
    <w:semiHidden/>
    <w:rsid w:val="003E4616"/>
    <w:rPr>
      <w:sz w:val="16"/>
    </w:rPr>
  </w:style>
  <w:style w:type="paragraph" w:styleId="Tekstopmerking">
    <w:name w:val="annotation text"/>
    <w:basedOn w:val="Standaard"/>
    <w:link w:val="TekstopmerkingChar"/>
    <w:autoRedefine/>
    <w:uiPriority w:val="99"/>
    <w:rsid w:val="003E4616"/>
    <w:pPr>
      <w:spacing w:line="260" w:lineRule="atLeast"/>
      <w:ind w:left="993" w:hanging="993"/>
    </w:pPr>
    <w:rPr>
      <w:kern w:val="14"/>
      <w:szCs w:val="18"/>
      <w:lang w:eastAsia="en-US"/>
    </w:rPr>
  </w:style>
  <w:style w:type="character" w:customStyle="1" w:styleId="TekstopmerkingChar">
    <w:name w:val="Tekst opmerking Char"/>
    <w:link w:val="Tekstopmerking"/>
    <w:uiPriority w:val="99"/>
    <w:rsid w:val="003E4616"/>
    <w:rPr>
      <w:rFonts w:ascii="Verdana" w:eastAsia="Times New Roman" w:hAnsi="Verdana" w:cs="Times New Roman"/>
      <w:kern w:val="14"/>
      <w:sz w:val="18"/>
      <w:szCs w:val="18"/>
    </w:rPr>
  </w:style>
  <w:style w:type="paragraph" w:styleId="Onderwerpvanopmerking">
    <w:name w:val="annotation subject"/>
    <w:basedOn w:val="Tekstopmerking"/>
    <w:next w:val="Tekstopmerking"/>
    <w:link w:val="OnderwerpvanopmerkingChar"/>
    <w:semiHidden/>
    <w:rsid w:val="003E4616"/>
    <w:rPr>
      <w:b/>
      <w:bCs/>
    </w:rPr>
  </w:style>
  <w:style w:type="character" w:customStyle="1" w:styleId="OnderwerpvanopmerkingChar">
    <w:name w:val="Onderwerp van opmerking Char"/>
    <w:basedOn w:val="TekstopmerkingChar"/>
    <w:link w:val="Onderwerpvanopmerking"/>
    <w:semiHidden/>
    <w:rsid w:val="00433646"/>
    <w:rPr>
      <w:rFonts w:ascii="Verdana" w:eastAsia="Times New Roman" w:hAnsi="Verdana" w:cs="Times New Roman"/>
      <w:b/>
      <w:bCs/>
      <w:kern w:val="14"/>
      <w:sz w:val="18"/>
      <w:szCs w:val="18"/>
    </w:rPr>
  </w:style>
  <w:style w:type="paragraph" w:customStyle="1" w:styleId="1">
    <w:name w:val="1"/>
    <w:basedOn w:val="Standaard"/>
    <w:autoRedefine/>
    <w:rsid w:val="003E4616"/>
    <w:pPr>
      <w:widowControl w:val="0"/>
      <w:adjustRightInd w:val="0"/>
      <w:spacing w:after="160" w:line="240" w:lineRule="exact"/>
      <w:jc w:val="both"/>
      <w:textAlignment w:val="baseline"/>
    </w:pPr>
    <w:rPr>
      <w:rFonts w:eastAsia="MS Mincho"/>
      <w:szCs w:val="20"/>
      <w:lang w:val="en-US" w:eastAsia="en-US"/>
    </w:rPr>
  </w:style>
  <w:style w:type="paragraph" w:customStyle="1" w:styleId="AliBijlageNum">
    <w:name w:val="AliBijlageNum"/>
    <w:basedOn w:val="Standaard"/>
    <w:rsid w:val="003E4616"/>
    <w:pPr>
      <w:keepLines/>
      <w:widowControl w:val="0"/>
      <w:tabs>
        <w:tab w:val="left" w:pos="360"/>
        <w:tab w:val="left" w:pos="720"/>
      </w:tabs>
      <w:spacing w:before="260" w:after="120" w:line="260" w:lineRule="atLeast"/>
    </w:pPr>
    <w:rPr>
      <w:rFonts w:ascii="Arial" w:hAnsi="Arial"/>
      <w:sz w:val="19"/>
      <w:szCs w:val="20"/>
      <w:lang w:eastAsia="en-US"/>
    </w:rPr>
  </w:style>
  <w:style w:type="paragraph" w:styleId="Berichtkop">
    <w:name w:val="Message Header"/>
    <w:basedOn w:val="Standaard"/>
    <w:link w:val="BerichtkopChar"/>
    <w:rsid w:val="003E4616"/>
    <w:pPr>
      <w:spacing w:before="120" w:line="260" w:lineRule="atLeast"/>
    </w:pPr>
    <w:rPr>
      <w:rFonts w:ascii="Agrofont" w:hAnsi="Agrofont"/>
      <w:b/>
      <w:kern w:val="14"/>
      <w:sz w:val="24"/>
      <w:szCs w:val="20"/>
      <w:lang w:eastAsia="en-US"/>
    </w:rPr>
  </w:style>
  <w:style w:type="character" w:customStyle="1" w:styleId="BerichtkopChar">
    <w:name w:val="Berichtkop Char"/>
    <w:basedOn w:val="Standaardalinea-lettertype"/>
    <w:link w:val="Berichtkop"/>
    <w:rsid w:val="003E4616"/>
    <w:rPr>
      <w:rFonts w:ascii="Agrofont" w:eastAsia="Times New Roman" w:hAnsi="Agrofont" w:cs="Times New Roman"/>
      <w:b/>
      <w:kern w:val="14"/>
      <w:sz w:val="24"/>
      <w:szCs w:val="20"/>
    </w:rPr>
  </w:style>
  <w:style w:type="character" w:customStyle="1" w:styleId="Kop1Char">
    <w:name w:val="Kop 1 Char"/>
    <w:aliases w:val="hoofdstuk Char,Hoofdstuk Char,Section Heading Char,sectionHeading Char,Kop 1hoofdstuk Char,hoofdstuk+ Char,Hoofdkop Char,Hoofdkop1 Char,Hoofdkop2 Char,Hoofdkop11 Char,Hoofdkop3 Char,Hoofdkop12 Char,Hoofdkop21 Char,Hoofdkop111 Char"/>
    <w:link w:val="Kop1"/>
    <w:rsid w:val="00823F35"/>
    <w:rPr>
      <w:rFonts w:ascii="Verdana" w:eastAsia="Times New Roman" w:hAnsi="Verdana" w:cs="Arial"/>
      <w:b/>
      <w:bCs/>
      <w:kern w:val="32"/>
      <w:sz w:val="24"/>
      <w:szCs w:val="24"/>
      <w:lang w:eastAsia="nl-NL"/>
    </w:rPr>
  </w:style>
  <w:style w:type="paragraph" w:customStyle="1" w:styleId="Bijlage">
    <w:name w:val="Bijlage"/>
    <w:aliases w:val="Formulier"/>
    <w:basedOn w:val="Kop1"/>
    <w:next w:val="Standaard"/>
    <w:link w:val="BijlageChar"/>
    <w:autoRedefine/>
    <w:rsid w:val="003E4616"/>
    <w:pPr>
      <w:pageBreakBefore/>
    </w:pPr>
    <w:rPr>
      <w:rFonts w:cs="Times New Roman"/>
    </w:rPr>
  </w:style>
  <w:style w:type="character" w:customStyle="1" w:styleId="BijlageChar">
    <w:name w:val="Bijlage Char"/>
    <w:aliases w:val="Formulier Char"/>
    <w:link w:val="Bijlage"/>
    <w:rsid w:val="003E4616"/>
    <w:rPr>
      <w:rFonts w:ascii="Verdana" w:eastAsia="Times New Roman" w:hAnsi="Verdana" w:cs="Times New Roman"/>
      <w:b/>
      <w:bCs/>
      <w:kern w:val="32"/>
      <w:sz w:val="24"/>
      <w:szCs w:val="24"/>
      <w:lang w:eastAsia="nl-NL"/>
    </w:rPr>
  </w:style>
  <w:style w:type="paragraph" w:customStyle="1" w:styleId="Bullet">
    <w:name w:val="Bullet"/>
    <w:basedOn w:val="Standaard"/>
    <w:link w:val="BulletChar"/>
    <w:autoRedefine/>
    <w:rsid w:val="003E4616"/>
    <w:pPr>
      <w:widowControl w:val="0"/>
    </w:pPr>
    <w:rPr>
      <w:szCs w:val="20"/>
      <w:lang w:val="nl"/>
    </w:rPr>
  </w:style>
  <w:style w:type="character" w:customStyle="1" w:styleId="BulletChar">
    <w:name w:val="Bullet Char"/>
    <w:link w:val="Bullet"/>
    <w:rsid w:val="003E4616"/>
    <w:rPr>
      <w:rFonts w:ascii="Verdana" w:eastAsia="Times New Roman" w:hAnsi="Verdana" w:cs="Times New Roman"/>
      <w:sz w:val="18"/>
      <w:szCs w:val="20"/>
      <w:lang w:val="nl" w:eastAsia="nl-NL"/>
    </w:rPr>
  </w:style>
  <w:style w:type="paragraph" w:customStyle="1" w:styleId="Bullet01Num">
    <w:name w:val="Bullet01 Num"/>
    <w:basedOn w:val="Standaard"/>
    <w:link w:val="Bullet01NumChar"/>
    <w:autoRedefine/>
    <w:rsid w:val="003E4616"/>
    <w:pPr>
      <w:widowControl w:val="0"/>
      <w:numPr>
        <w:numId w:val="4"/>
      </w:numPr>
      <w:spacing w:line="260" w:lineRule="atLeast"/>
    </w:pPr>
    <w:rPr>
      <w:szCs w:val="20"/>
      <w:lang w:val="nl"/>
    </w:rPr>
  </w:style>
  <w:style w:type="character" w:customStyle="1" w:styleId="Bullet01NumChar">
    <w:name w:val="Bullet01 Num Char"/>
    <w:link w:val="Bullet01Num"/>
    <w:rsid w:val="003E4616"/>
    <w:rPr>
      <w:rFonts w:ascii="Verdana" w:eastAsia="Times New Roman" w:hAnsi="Verdana" w:cs="Times New Roman"/>
      <w:sz w:val="18"/>
      <w:szCs w:val="20"/>
      <w:lang w:val="nl" w:eastAsia="nl-NL"/>
    </w:rPr>
  </w:style>
  <w:style w:type="paragraph" w:customStyle="1" w:styleId="Bullet02Alf">
    <w:name w:val="Bullet02 Alf"/>
    <w:basedOn w:val="Standaard"/>
    <w:autoRedefine/>
    <w:rsid w:val="003E4616"/>
    <w:pPr>
      <w:widowControl w:val="0"/>
      <w:spacing w:line="233" w:lineRule="auto"/>
      <w:ind w:left="709"/>
    </w:pPr>
    <w:rPr>
      <w:kern w:val="14"/>
      <w:szCs w:val="20"/>
      <w:lang w:eastAsia="en-US"/>
    </w:rPr>
  </w:style>
  <w:style w:type="paragraph" w:customStyle="1" w:styleId="Bullet03Num">
    <w:name w:val="Bullet03 Num"/>
    <w:basedOn w:val="Bullet02Alf"/>
    <w:autoRedefine/>
    <w:rsid w:val="003E4616"/>
    <w:pPr>
      <w:numPr>
        <w:ilvl w:val="2"/>
        <w:numId w:val="4"/>
      </w:numPr>
    </w:pPr>
  </w:style>
  <w:style w:type="paragraph" w:customStyle="1" w:styleId="CharCharCharCharCharCharCharChar">
    <w:name w:val="Char Char Char Char Char Char Char Char"/>
    <w:basedOn w:val="Standaard"/>
    <w:autoRedefine/>
    <w:rsid w:val="003E4616"/>
    <w:pPr>
      <w:widowControl w:val="0"/>
      <w:adjustRightInd w:val="0"/>
      <w:spacing w:after="160" w:line="240" w:lineRule="exact"/>
      <w:jc w:val="both"/>
      <w:textAlignment w:val="baseline"/>
    </w:pPr>
    <w:rPr>
      <w:rFonts w:eastAsia="MS Mincho"/>
      <w:szCs w:val="20"/>
      <w:lang w:val="en-US" w:eastAsia="en-US"/>
    </w:rPr>
  </w:style>
  <w:style w:type="paragraph" w:customStyle="1" w:styleId="CharCharCharCharCharCharCharChar1CharChar">
    <w:name w:val="Char Char Char Char Char Char Char Char1 Char Char"/>
    <w:basedOn w:val="Standaard"/>
    <w:autoRedefine/>
    <w:rsid w:val="003E4616"/>
    <w:pPr>
      <w:widowControl w:val="0"/>
      <w:adjustRightInd w:val="0"/>
      <w:spacing w:after="160" w:line="240" w:lineRule="exact"/>
      <w:jc w:val="both"/>
      <w:textAlignment w:val="baseline"/>
    </w:pPr>
    <w:rPr>
      <w:rFonts w:eastAsia="MS Mincho"/>
      <w:szCs w:val="20"/>
      <w:lang w:val="en-US" w:eastAsia="en-US"/>
    </w:rPr>
  </w:style>
  <w:style w:type="paragraph" w:customStyle="1" w:styleId="Datumstatusvoorblad">
    <w:name w:val="Datum/status voorblad"/>
    <w:basedOn w:val="Standaard"/>
    <w:rsid w:val="003E4616"/>
    <w:pPr>
      <w:ind w:left="3232"/>
    </w:pPr>
  </w:style>
  <w:style w:type="paragraph" w:customStyle="1" w:styleId="Default">
    <w:name w:val="Default"/>
    <w:rsid w:val="003E4616"/>
    <w:pPr>
      <w:autoSpaceDE w:val="0"/>
      <w:autoSpaceDN w:val="0"/>
      <w:adjustRightInd w:val="0"/>
      <w:spacing w:after="0" w:line="240" w:lineRule="auto"/>
    </w:pPr>
    <w:rPr>
      <w:rFonts w:ascii="Verdana" w:eastAsia="Times New Roman" w:hAnsi="Verdana" w:cs="Verdana"/>
      <w:color w:val="000000"/>
      <w:sz w:val="24"/>
      <w:szCs w:val="24"/>
      <w:lang w:eastAsia="nl-NL"/>
    </w:rPr>
  </w:style>
  <w:style w:type="paragraph" w:customStyle="1" w:styleId="Eis1">
    <w:name w:val="Eis 1"/>
    <w:basedOn w:val="Standaard"/>
    <w:next w:val="Standaard"/>
    <w:autoRedefine/>
    <w:rsid w:val="003E4616"/>
    <w:pPr>
      <w:numPr>
        <w:numId w:val="5"/>
      </w:numPr>
      <w:spacing w:before="240" w:after="120"/>
    </w:pPr>
    <w:rPr>
      <w:b/>
    </w:rPr>
  </w:style>
  <w:style w:type="paragraph" w:customStyle="1" w:styleId="Eis11">
    <w:name w:val="Eis 1.1"/>
    <w:basedOn w:val="Standaard"/>
    <w:autoRedefine/>
    <w:rsid w:val="003E4616"/>
    <w:pPr>
      <w:numPr>
        <w:ilvl w:val="1"/>
        <w:numId w:val="5"/>
      </w:numPr>
      <w:spacing w:after="120"/>
    </w:pPr>
  </w:style>
  <w:style w:type="paragraph" w:customStyle="1" w:styleId="Eis111">
    <w:name w:val="Eis 1.1.1"/>
    <w:basedOn w:val="Eis11"/>
    <w:autoRedefine/>
    <w:rsid w:val="003E4616"/>
    <w:pPr>
      <w:numPr>
        <w:ilvl w:val="2"/>
      </w:numPr>
    </w:pPr>
  </w:style>
  <w:style w:type="paragraph" w:customStyle="1" w:styleId="EisBullet">
    <w:name w:val="Eis Bullet"/>
    <w:basedOn w:val="Eis111"/>
    <w:rsid w:val="003E4616"/>
    <w:pPr>
      <w:numPr>
        <w:ilvl w:val="3"/>
      </w:numPr>
      <w:spacing w:after="0"/>
    </w:pPr>
  </w:style>
  <w:style w:type="table" w:styleId="Gemiddeldraster3-accent5">
    <w:name w:val="Medium Grid 3 Accent 5"/>
    <w:basedOn w:val="Standaardtabel"/>
    <w:uiPriority w:val="69"/>
    <w:rsid w:val="003E4616"/>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character" w:styleId="GevolgdeHyperlink">
    <w:name w:val="FollowedHyperlink"/>
    <w:rsid w:val="003E4616"/>
    <w:rPr>
      <w:color w:val="800080"/>
      <w:u w:val="single"/>
    </w:rPr>
  </w:style>
  <w:style w:type="paragraph" w:customStyle="1" w:styleId="Huisstijl-Adres">
    <w:name w:val="Huisstijl-Adres"/>
    <w:basedOn w:val="Standaard"/>
    <w:link w:val="Huisstijl-AdresChar"/>
    <w:rsid w:val="003E4616"/>
    <w:pPr>
      <w:tabs>
        <w:tab w:val="left" w:pos="192"/>
      </w:tabs>
      <w:adjustRightInd w:val="0"/>
      <w:spacing w:after="90" w:line="180" w:lineRule="exact"/>
    </w:pPr>
    <w:rPr>
      <w:rFonts w:cs="Verdana"/>
      <w:noProof/>
      <w:sz w:val="13"/>
      <w:szCs w:val="13"/>
    </w:rPr>
  </w:style>
  <w:style w:type="character" w:customStyle="1" w:styleId="Huisstijl-AdresChar">
    <w:name w:val="Huisstijl-Adres Char"/>
    <w:link w:val="Huisstijl-Adres"/>
    <w:locked/>
    <w:rsid w:val="003E4616"/>
    <w:rPr>
      <w:rFonts w:ascii="Verdana" w:eastAsia="Times New Roman" w:hAnsi="Verdana" w:cs="Verdana"/>
      <w:noProof/>
      <w:sz w:val="13"/>
      <w:szCs w:val="13"/>
      <w:lang w:eastAsia="nl-NL"/>
    </w:rPr>
  </w:style>
  <w:style w:type="paragraph" w:customStyle="1" w:styleId="Huisstijl-Gegeven">
    <w:name w:val="Huisstijl-Gegeven"/>
    <w:basedOn w:val="Standaard"/>
    <w:link w:val="Huisstijl-GegevenCharChar"/>
    <w:rsid w:val="003E4616"/>
    <w:pPr>
      <w:spacing w:after="92" w:line="180" w:lineRule="exact"/>
    </w:pPr>
    <w:rPr>
      <w:noProof/>
      <w:sz w:val="13"/>
    </w:rPr>
  </w:style>
  <w:style w:type="character" w:customStyle="1" w:styleId="Huisstijl-GegevenCharChar">
    <w:name w:val="Huisstijl-Gegeven Char Char"/>
    <w:link w:val="Huisstijl-Gegeven"/>
    <w:rsid w:val="003E4616"/>
    <w:rPr>
      <w:rFonts w:ascii="Verdana" w:eastAsia="Times New Roman" w:hAnsi="Verdana" w:cs="Times New Roman"/>
      <w:noProof/>
      <w:sz w:val="13"/>
      <w:szCs w:val="24"/>
      <w:lang w:eastAsia="nl-NL"/>
    </w:rPr>
  </w:style>
  <w:style w:type="paragraph" w:customStyle="1" w:styleId="Huisstijl-KixCode">
    <w:name w:val="Huisstijl-KixCode"/>
    <w:basedOn w:val="Standaard"/>
    <w:rsid w:val="003E4616"/>
    <w:pPr>
      <w:spacing w:before="60" w:line="240" w:lineRule="auto"/>
    </w:pPr>
    <w:rPr>
      <w:rFonts w:ascii="KIX Barcode" w:hAnsi="KIX Barcode"/>
      <w:b/>
      <w:bCs/>
      <w:smallCaps/>
      <w:noProof/>
      <w:sz w:val="24"/>
    </w:rPr>
  </w:style>
  <w:style w:type="paragraph" w:customStyle="1" w:styleId="Huisstijl-Kopje">
    <w:name w:val="Huisstijl-Kopje"/>
    <w:basedOn w:val="Huisstijl-Gegeven"/>
    <w:rsid w:val="003E4616"/>
    <w:pPr>
      <w:spacing w:after="0"/>
    </w:pPr>
    <w:rPr>
      <w:b/>
    </w:rPr>
  </w:style>
  <w:style w:type="paragraph" w:customStyle="1" w:styleId="Huisstijl-NAW">
    <w:name w:val="Huisstijl-NAW"/>
    <w:basedOn w:val="Standaard"/>
    <w:rsid w:val="003E4616"/>
    <w:pPr>
      <w:adjustRightInd w:val="0"/>
    </w:pPr>
    <w:rPr>
      <w:rFonts w:cs="Verdana"/>
      <w:noProof/>
      <w:szCs w:val="18"/>
    </w:rPr>
  </w:style>
  <w:style w:type="paragraph" w:customStyle="1" w:styleId="Huisstijl-NotaGegeven">
    <w:name w:val="Huisstijl-NotaGegeven"/>
    <w:basedOn w:val="Standaard"/>
    <w:rsid w:val="003E4616"/>
    <w:pPr>
      <w:adjustRightInd w:val="0"/>
      <w:spacing w:line="180" w:lineRule="exact"/>
    </w:pPr>
    <w:rPr>
      <w:rFonts w:cs="Verdana"/>
      <w:noProof/>
      <w:sz w:val="13"/>
      <w:szCs w:val="18"/>
    </w:rPr>
  </w:style>
  <w:style w:type="paragraph" w:customStyle="1" w:styleId="Huisstijl-NotaKopje">
    <w:name w:val="Huisstijl-NotaKopje"/>
    <w:basedOn w:val="Huisstijl-NotaGegeven"/>
    <w:next w:val="Huisstijl-NotaGegeven"/>
    <w:rsid w:val="003E4616"/>
    <w:pPr>
      <w:spacing w:before="160" w:line="240" w:lineRule="exact"/>
    </w:pPr>
  </w:style>
  <w:style w:type="paragraph" w:customStyle="1" w:styleId="Huisstijl-Paginanummering">
    <w:name w:val="Huisstijl-Paginanummering"/>
    <w:basedOn w:val="Standaard"/>
    <w:rsid w:val="003E4616"/>
    <w:pPr>
      <w:spacing w:line="180" w:lineRule="exact"/>
    </w:pPr>
    <w:rPr>
      <w:noProof/>
      <w:sz w:val="13"/>
    </w:rPr>
  </w:style>
  <w:style w:type="paragraph" w:customStyle="1" w:styleId="Huisstijl-Retouradres">
    <w:name w:val="Huisstijl-Retouradres"/>
    <w:basedOn w:val="Standaard"/>
    <w:rsid w:val="003E4616"/>
    <w:pPr>
      <w:spacing w:line="180" w:lineRule="exact"/>
    </w:pPr>
    <w:rPr>
      <w:noProof/>
      <w:sz w:val="13"/>
    </w:rPr>
  </w:style>
  <w:style w:type="paragraph" w:customStyle="1" w:styleId="Huisstijl-Voorwaarden">
    <w:name w:val="Huisstijl-Voorwaarden"/>
    <w:basedOn w:val="Standaard"/>
    <w:rsid w:val="003E4616"/>
    <w:pPr>
      <w:spacing w:line="180" w:lineRule="exact"/>
    </w:pPr>
    <w:rPr>
      <w:i/>
      <w:noProof/>
      <w:sz w:val="13"/>
    </w:rPr>
  </w:style>
  <w:style w:type="character" w:styleId="Hyperlink">
    <w:name w:val="Hyperlink"/>
    <w:uiPriority w:val="99"/>
    <w:rsid w:val="003E4616"/>
    <w:rPr>
      <w:color w:val="0000FF"/>
      <w:u w:val="single"/>
    </w:rPr>
  </w:style>
  <w:style w:type="paragraph" w:styleId="Inhopg1">
    <w:name w:val="toc 1"/>
    <w:basedOn w:val="Standaard"/>
    <w:next w:val="Standaard"/>
    <w:autoRedefine/>
    <w:uiPriority w:val="39"/>
    <w:rsid w:val="003E4616"/>
    <w:pPr>
      <w:spacing w:line="260" w:lineRule="atLeast"/>
    </w:pPr>
    <w:rPr>
      <w:rFonts w:ascii="Agrofont" w:hAnsi="Agrofont"/>
      <w:kern w:val="14"/>
      <w:sz w:val="20"/>
      <w:szCs w:val="20"/>
      <w:lang w:eastAsia="en-US"/>
    </w:rPr>
  </w:style>
  <w:style w:type="paragraph" w:styleId="Inhopg2">
    <w:name w:val="toc 2"/>
    <w:basedOn w:val="Standaard"/>
    <w:next w:val="Standaard"/>
    <w:autoRedefine/>
    <w:uiPriority w:val="39"/>
    <w:rsid w:val="003E4616"/>
    <w:pPr>
      <w:spacing w:line="260" w:lineRule="atLeast"/>
      <w:ind w:left="200"/>
    </w:pPr>
    <w:rPr>
      <w:rFonts w:ascii="Agrofont" w:hAnsi="Agrofont"/>
      <w:kern w:val="14"/>
      <w:sz w:val="20"/>
      <w:szCs w:val="20"/>
      <w:lang w:eastAsia="en-US"/>
    </w:rPr>
  </w:style>
  <w:style w:type="paragraph" w:styleId="Inhopg3">
    <w:name w:val="toc 3"/>
    <w:basedOn w:val="Standaard"/>
    <w:next w:val="Standaard"/>
    <w:autoRedefine/>
    <w:uiPriority w:val="39"/>
    <w:rsid w:val="003E4616"/>
    <w:pPr>
      <w:spacing w:line="260" w:lineRule="atLeast"/>
      <w:ind w:left="400"/>
    </w:pPr>
    <w:rPr>
      <w:rFonts w:ascii="Agrofont" w:hAnsi="Agrofont"/>
      <w:kern w:val="14"/>
      <w:sz w:val="20"/>
      <w:szCs w:val="20"/>
      <w:lang w:eastAsia="en-US"/>
    </w:rPr>
  </w:style>
  <w:style w:type="paragraph" w:styleId="Inhopg4">
    <w:name w:val="toc 4"/>
    <w:basedOn w:val="Standaard"/>
    <w:next w:val="Standaard"/>
    <w:autoRedefine/>
    <w:semiHidden/>
    <w:rsid w:val="003E4616"/>
    <w:pPr>
      <w:spacing w:line="260" w:lineRule="atLeast"/>
      <w:ind w:left="600"/>
    </w:pPr>
    <w:rPr>
      <w:rFonts w:ascii="Agrofont" w:hAnsi="Agrofont"/>
      <w:kern w:val="14"/>
      <w:sz w:val="20"/>
      <w:szCs w:val="20"/>
      <w:lang w:eastAsia="en-US"/>
    </w:rPr>
  </w:style>
  <w:style w:type="paragraph" w:styleId="Inhopg5">
    <w:name w:val="toc 5"/>
    <w:basedOn w:val="Standaard"/>
    <w:next w:val="Standaard"/>
    <w:autoRedefine/>
    <w:semiHidden/>
    <w:rsid w:val="003E4616"/>
    <w:pPr>
      <w:spacing w:line="260" w:lineRule="atLeast"/>
      <w:ind w:left="800"/>
    </w:pPr>
    <w:rPr>
      <w:rFonts w:ascii="Agrofont" w:hAnsi="Agrofont"/>
      <w:kern w:val="14"/>
      <w:sz w:val="20"/>
      <w:szCs w:val="20"/>
      <w:lang w:eastAsia="en-US"/>
    </w:rPr>
  </w:style>
  <w:style w:type="paragraph" w:styleId="Inhopg6">
    <w:name w:val="toc 6"/>
    <w:basedOn w:val="Standaard"/>
    <w:next w:val="Standaard"/>
    <w:autoRedefine/>
    <w:semiHidden/>
    <w:rsid w:val="003E4616"/>
    <w:pPr>
      <w:spacing w:line="260" w:lineRule="atLeast"/>
      <w:ind w:left="1000"/>
    </w:pPr>
    <w:rPr>
      <w:rFonts w:ascii="Agrofont" w:hAnsi="Agrofont"/>
      <w:kern w:val="14"/>
      <w:sz w:val="20"/>
      <w:szCs w:val="20"/>
      <w:lang w:eastAsia="en-US"/>
    </w:rPr>
  </w:style>
  <w:style w:type="paragraph" w:styleId="Inhopg7">
    <w:name w:val="toc 7"/>
    <w:basedOn w:val="Standaard"/>
    <w:next w:val="Standaard"/>
    <w:autoRedefine/>
    <w:semiHidden/>
    <w:rsid w:val="003E4616"/>
    <w:pPr>
      <w:spacing w:line="260" w:lineRule="atLeast"/>
      <w:ind w:left="1200"/>
    </w:pPr>
    <w:rPr>
      <w:rFonts w:ascii="Agrofont" w:hAnsi="Agrofont"/>
      <w:kern w:val="14"/>
      <w:sz w:val="20"/>
      <w:szCs w:val="20"/>
      <w:lang w:eastAsia="en-US"/>
    </w:rPr>
  </w:style>
  <w:style w:type="paragraph" w:styleId="Inhopg8">
    <w:name w:val="toc 8"/>
    <w:basedOn w:val="Standaard"/>
    <w:next w:val="Standaard"/>
    <w:autoRedefine/>
    <w:semiHidden/>
    <w:rsid w:val="003E4616"/>
    <w:pPr>
      <w:spacing w:line="260" w:lineRule="atLeast"/>
      <w:ind w:left="1400"/>
    </w:pPr>
    <w:rPr>
      <w:rFonts w:ascii="Agrofont" w:hAnsi="Agrofont"/>
      <w:kern w:val="14"/>
      <w:sz w:val="20"/>
      <w:szCs w:val="20"/>
      <w:lang w:eastAsia="en-US"/>
    </w:rPr>
  </w:style>
  <w:style w:type="paragraph" w:styleId="Inhopg9">
    <w:name w:val="toc 9"/>
    <w:basedOn w:val="Standaard"/>
    <w:next w:val="Standaard"/>
    <w:autoRedefine/>
    <w:semiHidden/>
    <w:rsid w:val="003E4616"/>
    <w:pPr>
      <w:spacing w:line="260" w:lineRule="atLeast"/>
      <w:ind w:left="1600"/>
    </w:pPr>
    <w:rPr>
      <w:rFonts w:ascii="Agrofont" w:hAnsi="Agrofont"/>
      <w:kern w:val="14"/>
      <w:sz w:val="20"/>
      <w:szCs w:val="20"/>
      <w:lang w:eastAsia="en-US"/>
    </w:rPr>
  </w:style>
  <w:style w:type="character" w:customStyle="1" w:styleId="Kop2Char">
    <w:name w:val="Kop 2 Char"/>
    <w:aliases w:val="2scr Char"/>
    <w:basedOn w:val="Standaardalinea-lettertype"/>
    <w:link w:val="Kop2"/>
    <w:rsid w:val="003E4616"/>
    <w:rPr>
      <w:rFonts w:ascii="Verdana" w:eastAsia="Times New Roman" w:hAnsi="Verdana" w:cs="Arial"/>
      <w:b/>
      <w:bCs/>
      <w:iCs/>
      <w:sz w:val="18"/>
      <w:szCs w:val="28"/>
      <w:lang w:eastAsia="nl-NL"/>
    </w:rPr>
  </w:style>
  <w:style w:type="character" w:customStyle="1" w:styleId="Kop3Char">
    <w:name w:val="Kop 3 Char"/>
    <w:aliases w:val="3scr Char"/>
    <w:basedOn w:val="Standaardalinea-lettertype"/>
    <w:link w:val="Kop3"/>
    <w:rsid w:val="003E4616"/>
    <w:rPr>
      <w:rFonts w:ascii="Verdana" w:eastAsia="Times New Roman" w:hAnsi="Verdana" w:cs="Arial"/>
      <w:bCs/>
      <w:i/>
      <w:sz w:val="18"/>
      <w:szCs w:val="26"/>
      <w:lang w:eastAsia="nl-NL"/>
    </w:rPr>
  </w:style>
  <w:style w:type="character" w:customStyle="1" w:styleId="Kop4Char">
    <w:name w:val="Kop 4 Char"/>
    <w:basedOn w:val="Standaardalinea-lettertype"/>
    <w:link w:val="Kop4"/>
    <w:rsid w:val="003E4616"/>
    <w:rPr>
      <w:rFonts w:ascii="Verdana" w:eastAsia="Times New Roman" w:hAnsi="Verdana" w:cs="Times New Roman"/>
      <w:b/>
      <w:i/>
      <w:kern w:val="16"/>
      <w:sz w:val="18"/>
      <w:szCs w:val="20"/>
    </w:rPr>
  </w:style>
  <w:style w:type="character" w:customStyle="1" w:styleId="Kop5Char">
    <w:name w:val="Kop 5 Char"/>
    <w:basedOn w:val="Standaardalinea-lettertype"/>
    <w:link w:val="Kop5"/>
    <w:rsid w:val="003E4616"/>
    <w:rPr>
      <w:rFonts w:ascii="Verdana" w:eastAsia="Times New Roman" w:hAnsi="Verdana" w:cs="Times New Roman"/>
      <w:b/>
      <w:kern w:val="14"/>
      <w:sz w:val="18"/>
      <w:szCs w:val="20"/>
    </w:rPr>
  </w:style>
  <w:style w:type="character" w:customStyle="1" w:styleId="Kop6Char">
    <w:name w:val="Kop 6 Char"/>
    <w:basedOn w:val="Standaardalinea-lettertype"/>
    <w:link w:val="Kop6"/>
    <w:rsid w:val="003E4616"/>
    <w:rPr>
      <w:rFonts w:ascii="Verdana" w:eastAsia="Times New Roman" w:hAnsi="Verdana" w:cs="Times New Roman"/>
      <w:kern w:val="14"/>
      <w:sz w:val="18"/>
      <w:szCs w:val="20"/>
    </w:rPr>
  </w:style>
  <w:style w:type="character" w:customStyle="1" w:styleId="Kop7Char">
    <w:name w:val="Kop 7 Char"/>
    <w:basedOn w:val="Standaardalinea-lettertype"/>
    <w:link w:val="Kop7"/>
    <w:rsid w:val="003E4616"/>
    <w:rPr>
      <w:rFonts w:ascii="Verdana" w:eastAsia="Times New Roman" w:hAnsi="Verdana" w:cs="Times New Roman"/>
      <w:b/>
      <w:kern w:val="14"/>
      <w:sz w:val="18"/>
      <w:szCs w:val="20"/>
    </w:rPr>
  </w:style>
  <w:style w:type="character" w:customStyle="1" w:styleId="Kop8Char">
    <w:name w:val="Kop 8 Char"/>
    <w:basedOn w:val="Standaardalinea-lettertype"/>
    <w:link w:val="Kop8"/>
    <w:rsid w:val="003E4616"/>
    <w:rPr>
      <w:rFonts w:ascii="Verdana" w:eastAsia="Times New Roman" w:hAnsi="Verdana" w:cs="Times New Roman"/>
      <w:bCs/>
      <w:kern w:val="14"/>
      <w:sz w:val="18"/>
      <w:szCs w:val="20"/>
    </w:rPr>
  </w:style>
  <w:style w:type="character" w:customStyle="1" w:styleId="Kop9Char">
    <w:name w:val="Kop 9 Char"/>
    <w:basedOn w:val="Standaardalinea-lettertype"/>
    <w:link w:val="Kop9"/>
    <w:rsid w:val="003E4616"/>
    <w:rPr>
      <w:rFonts w:ascii="Arial" w:eastAsia="Times New Roman" w:hAnsi="Arial" w:cs="Arial"/>
      <w:lang w:eastAsia="nl-NL"/>
    </w:rPr>
  </w:style>
  <w:style w:type="paragraph" w:styleId="Kopbronvermelding">
    <w:name w:val="toa heading"/>
    <w:basedOn w:val="Standaard"/>
    <w:next w:val="Standaard"/>
    <w:semiHidden/>
    <w:rsid w:val="003E4616"/>
    <w:pPr>
      <w:spacing w:before="120" w:line="260" w:lineRule="atLeast"/>
    </w:pPr>
    <w:rPr>
      <w:rFonts w:ascii="Agrofont" w:hAnsi="Agrofont"/>
      <w:b/>
      <w:kern w:val="14"/>
      <w:sz w:val="24"/>
      <w:szCs w:val="20"/>
      <w:lang w:eastAsia="en-US"/>
    </w:rPr>
  </w:style>
  <w:style w:type="paragraph" w:styleId="Lijstopsomteken">
    <w:name w:val="List Bullet"/>
    <w:basedOn w:val="Standaard"/>
    <w:rsid w:val="003E4616"/>
    <w:pPr>
      <w:numPr>
        <w:numId w:val="7"/>
      </w:numPr>
    </w:pPr>
    <w:rPr>
      <w:noProof/>
    </w:rPr>
  </w:style>
  <w:style w:type="paragraph" w:styleId="Lijstopsomteken2">
    <w:name w:val="List Bullet 2"/>
    <w:basedOn w:val="Standaard"/>
    <w:rsid w:val="003E4616"/>
    <w:pPr>
      <w:numPr>
        <w:numId w:val="8"/>
      </w:numPr>
      <w:tabs>
        <w:tab w:val="left" w:pos="454"/>
      </w:tabs>
    </w:pPr>
    <w:rPr>
      <w:noProof/>
    </w:rPr>
  </w:style>
  <w:style w:type="paragraph" w:styleId="Macrotekst">
    <w:name w:val="macro"/>
    <w:link w:val="MacrotekstChar"/>
    <w:semiHidden/>
    <w:rsid w:val="003E4616"/>
    <w:pPr>
      <w:widowControl w:val="0"/>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 w:val="left" w:pos="6804"/>
        <w:tab w:val="left" w:pos="7031"/>
        <w:tab w:val="left" w:pos="7258"/>
        <w:tab w:val="left" w:pos="7484"/>
        <w:tab w:val="left" w:pos="7711"/>
        <w:tab w:val="left" w:pos="7938"/>
      </w:tabs>
      <w:suppressAutoHyphens/>
      <w:spacing w:after="0" w:line="240" w:lineRule="auto"/>
    </w:pPr>
    <w:rPr>
      <w:rFonts w:ascii="Courier New" w:eastAsia="Times New Roman" w:hAnsi="Courier New" w:cs="Times New Roman"/>
      <w:noProof/>
      <w:sz w:val="16"/>
      <w:szCs w:val="20"/>
      <w:lang w:val="en-GB"/>
    </w:rPr>
  </w:style>
  <w:style w:type="character" w:customStyle="1" w:styleId="MacrotekstChar">
    <w:name w:val="Macrotekst Char"/>
    <w:basedOn w:val="Standaardalinea-lettertype"/>
    <w:link w:val="Macrotekst"/>
    <w:semiHidden/>
    <w:rsid w:val="003E4616"/>
    <w:rPr>
      <w:rFonts w:ascii="Courier New" w:eastAsia="Times New Roman" w:hAnsi="Courier New" w:cs="Times New Roman"/>
      <w:noProof/>
      <w:sz w:val="16"/>
      <w:szCs w:val="20"/>
      <w:lang w:val="en-GB"/>
    </w:rPr>
  </w:style>
  <w:style w:type="paragraph" w:styleId="Normaalweb">
    <w:name w:val="Normal (Web)"/>
    <w:basedOn w:val="Standaard"/>
    <w:rsid w:val="003E4616"/>
    <w:pPr>
      <w:spacing w:before="100" w:beforeAutospacing="1" w:after="100" w:afterAutospacing="1" w:line="240" w:lineRule="auto"/>
    </w:pPr>
    <w:rPr>
      <w:rFonts w:ascii="Times New Roman" w:hAnsi="Times New Roman"/>
      <w:sz w:val="24"/>
    </w:rPr>
  </w:style>
  <w:style w:type="numbering" w:customStyle="1" w:styleId="OpmaakprofielOpmaakprofielGenummerdMeerderenive">
    <w:name w:val="Opmaakprofiel Opmaakprofiel Genummerd + Meerdere nive..."/>
    <w:basedOn w:val="Geenlijst"/>
    <w:rsid w:val="003E4616"/>
    <w:pPr>
      <w:numPr>
        <w:numId w:val="9"/>
      </w:numPr>
    </w:pPr>
  </w:style>
  <w:style w:type="paragraph" w:customStyle="1" w:styleId="OpmaakprofielTekstopmerkingRegelafstandMeerdere097rg3">
    <w:name w:val="Opmaakprofiel Tekst opmerking + Regelafstand:  Meerdere 097 rg3"/>
    <w:basedOn w:val="Tekstopmerking"/>
    <w:rsid w:val="003E4616"/>
    <w:pPr>
      <w:numPr>
        <w:numId w:val="10"/>
      </w:numPr>
      <w:spacing w:line="233" w:lineRule="auto"/>
    </w:pPr>
  </w:style>
  <w:style w:type="character" w:customStyle="1" w:styleId="OpmaakprofielVerwijzingopmerkingAgrofont">
    <w:name w:val="Opmaakprofiel Verwijzing opmerking + Agrofont"/>
    <w:rsid w:val="003E4616"/>
    <w:rPr>
      <w:rFonts w:ascii="Verdana" w:hAnsi="Verdana"/>
      <w:kern w:val="14"/>
      <w:sz w:val="16"/>
    </w:rPr>
  </w:style>
  <w:style w:type="paragraph" w:customStyle="1" w:styleId="OpmaakprofielVet">
    <w:name w:val="Opmaakprofiel Vet"/>
    <w:basedOn w:val="Standaard"/>
    <w:link w:val="OpmaakprofielVetChar"/>
    <w:rsid w:val="003E4616"/>
    <w:pPr>
      <w:spacing w:line="233" w:lineRule="auto"/>
    </w:pPr>
    <w:rPr>
      <w:b/>
      <w:bCs/>
      <w:kern w:val="24"/>
      <w:szCs w:val="20"/>
    </w:rPr>
  </w:style>
  <w:style w:type="character" w:customStyle="1" w:styleId="OpmaakprofielVetChar">
    <w:name w:val="Opmaakprofiel Vet Char"/>
    <w:link w:val="OpmaakprofielVet"/>
    <w:rsid w:val="003E4616"/>
    <w:rPr>
      <w:rFonts w:ascii="Verdana" w:eastAsia="Times New Roman" w:hAnsi="Verdana" w:cs="Times New Roman"/>
      <w:b/>
      <w:bCs/>
      <w:kern w:val="24"/>
      <w:sz w:val="18"/>
      <w:szCs w:val="20"/>
      <w:lang w:eastAsia="nl-NL"/>
    </w:rPr>
  </w:style>
  <w:style w:type="character" w:customStyle="1" w:styleId="OpmaakprofielVoetnootmarkeringVet">
    <w:name w:val="Opmaakprofiel Voetnootmarkering + Vet"/>
    <w:rsid w:val="003E4616"/>
    <w:rPr>
      <w:rFonts w:ascii="Verdana" w:hAnsi="Verdana"/>
      <w:bCs/>
      <w:sz w:val="16"/>
      <w:vertAlign w:val="superscript"/>
    </w:rPr>
  </w:style>
  <w:style w:type="paragraph" w:styleId="Voetnoottekst">
    <w:name w:val="footnote text"/>
    <w:basedOn w:val="Standaard"/>
    <w:link w:val="VoetnoottekstChar"/>
    <w:semiHidden/>
    <w:rsid w:val="003E4616"/>
    <w:pPr>
      <w:spacing w:line="260" w:lineRule="atLeast"/>
    </w:pPr>
    <w:rPr>
      <w:rFonts w:ascii="Agrofont" w:hAnsi="Agrofont"/>
      <w:kern w:val="14"/>
      <w:sz w:val="20"/>
      <w:szCs w:val="20"/>
      <w:lang w:eastAsia="en-US"/>
    </w:rPr>
  </w:style>
  <w:style w:type="character" w:customStyle="1" w:styleId="VoetnoottekstChar">
    <w:name w:val="Voetnoottekst Char"/>
    <w:basedOn w:val="Standaardalinea-lettertype"/>
    <w:link w:val="Voetnoottekst"/>
    <w:semiHidden/>
    <w:rsid w:val="003E4616"/>
    <w:rPr>
      <w:rFonts w:ascii="Agrofont" w:eastAsia="Times New Roman" w:hAnsi="Agrofont" w:cs="Times New Roman"/>
      <w:kern w:val="14"/>
      <w:sz w:val="20"/>
      <w:szCs w:val="20"/>
    </w:rPr>
  </w:style>
  <w:style w:type="paragraph" w:customStyle="1" w:styleId="OpmaakprofielVoetnoottekstOnderEnkelAuto075ptLijndikteReg">
    <w:name w:val="Opmaakprofiel Voetnoottekst + Onder: (Enkel Auto  075 pt Lijndikte) Reg..."/>
    <w:basedOn w:val="Voetnoottekst"/>
    <w:rsid w:val="003E4616"/>
    <w:pPr>
      <w:pBdr>
        <w:bottom w:val="single" w:sz="6" w:space="1" w:color="auto"/>
      </w:pBdr>
      <w:spacing w:line="233" w:lineRule="auto"/>
    </w:pPr>
    <w:rPr>
      <w:rFonts w:ascii="Verdana" w:hAnsi="Verdana"/>
      <w:sz w:val="18"/>
    </w:rPr>
  </w:style>
  <w:style w:type="character" w:styleId="Paginanummer">
    <w:name w:val="page number"/>
    <w:basedOn w:val="Standaardalinea-lettertype"/>
    <w:rsid w:val="003E4616"/>
  </w:style>
  <w:style w:type="paragraph" w:styleId="Plattetekst">
    <w:name w:val="Body Text"/>
    <w:basedOn w:val="Standaard"/>
    <w:link w:val="PlattetekstChar"/>
    <w:rsid w:val="003E4616"/>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spacing w:line="240" w:lineRule="auto"/>
    </w:pPr>
    <w:rPr>
      <w:rFonts w:ascii="Univers" w:hAnsi="Univers"/>
      <w:sz w:val="20"/>
      <w:szCs w:val="20"/>
      <w:lang w:eastAsia="en-US"/>
    </w:rPr>
  </w:style>
  <w:style w:type="character" w:customStyle="1" w:styleId="PlattetekstChar">
    <w:name w:val="Platte tekst Char"/>
    <w:basedOn w:val="Standaardalinea-lettertype"/>
    <w:link w:val="Plattetekst"/>
    <w:rsid w:val="003E4616"/>
    <w:rPr>
      <w:rFonts w:ascii="Univers" w:eastAsia="Times New Roman" w:hAnsi="Univers" w:cs="Times New Roman"/>
      <w:sz w:val="20"/>
      <w:szCs w:val="20"/>
    </w:rPr>
  </w:style>
  <w:style w:type="paragraph" w:styleId="Plattetekstinspringen">
    <w:name w:val="Body Text Indent"/>
    <w:basedOn w:val="Standaard"/>
    <w:link w:val="PlattetekstinspringenChar"/>
    <w:rsid w:val="003E4616"/>
    <w:pPr>
      <w:tabs>
        <w:tab w:val="left" w:pos="-2352"/>
        <w:tab w:val="left" w:pos="-2083"/>
        <w:tab w:val="left" w:pos="316"/>
        <w:tab w:val="left" w:pos="630"/>
        <w:tab w:val="left" w:pos="950"/>
        <w:tab w:val="left" w:pos="1260"/>
        <w:tab w:val="left" w:pos="1418"/>
        <w:tab w:val="left" w:pos="1985"/>
        <w:tab w:val="left" w:pos="2268"/>
        <w:tab w:val="left" w:pos="2552"/>
        <w:tab w:val="left" w:pos="3119"/>
        <w:tab w:val="left" w:pos="3686"/>
        <w:tab w:val="left" w:pos="4253"/>
        <w:tab w:val="left" w:pos="4820"/>
        <w:tab w:val="left" w:pos="5387"/>
        <w:tab w:val="left" w:pos="5954"/>
        <w:tab w:val="left" w:pos="6521"/>
        <w:tab w:val="right" w:pos="668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spacing w:line="240" w:lineRule="auto"/>
      <w:ind w:left="2268"/>
      <w:jc w:val="both"/>
    </w:pPr>
    <w:rPr>
      <w:szCs w:val="20"/>
      <w:lang w:eastAsia="en-US"/>
    </w:rPr>
  </w:style>
  <w:style w:type="character" w:customStyle="1" w:styleId="PlattetekstinspringenChar">
    <w:name w:val="Platte tekst inspringen Char"/>
    <w:basedOn w:val="Standaardalinea-lettertype"/>
    <w:link w:val="Plattetekstinspringen"/>
    <w:rsid w:val="003E4616"/>
    <w:rPr>
      <w:rFonts w:ascii="Verdana" w:eastAsia="Times New Roman" w:hAnsi="Verdana" w:cs="Times New Roman"/>
      <w:sz w:val="18"/>
      <w:szCs w:val="20"/>
    </w:rPr>
  </w:style>
  <w:style w:type="paragraph" w:styleId="Standaardinspringing">
    <w:name w:val="Normal Indent"/>
    <w:basedOn w:val="Standaard"/>
    <w:rsid w:val="003E4616"/>
    <w:pPr>
      <w:spacing w:line="260" w:lineRule="atLeast"/>
      <w:ind w:left="708"/>
    </w:pPr>
    <w:rPr>
      <w:rFonts w:ascii="Agrofont" w:hAnsi="Agrofont"/>
      <w:kern w:val="14"/>
      <w:sz w:val="20"/>
      <w:szCs w:val="20"/>
      <w:lang w:eastAsia="en-US"/>
    </w:rPr>
  </w:style>
  <w:style w:type="table" w:styleId="Tabelraster">
    <w:name w:val="Table Grid"/>
    <w:basedOn w:val="Standaardtabel"/>
    <w:rsid w:val="003E4616"/>
    <w:pPr>
      <w:spacing w:after="0" w:line="240" w:lineRule="auto"/>
    </w:pPr>
    <w:rPr>
      <w:rFonts w:ascii="Verdana" w:eastAsia="Times New Roman" w:hAnsi="Verdana"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link w:val="TitelChar"/>
    <w:qFormat/>
    <w:rsid w:val="003E4616"/>
    <w:pPr>
      <w:spacing w:before="240" w:after="60" w:line="260" w:lineRule="atLeast"/>
      <w:jc w:val="center"/>
    </w:pPr>
    <w:rPr>
      <w:b/>
      <w:kern w:val="28"/>
      <w:sz w:val="32"/>
      <w:szCs w:val="20"/>
      <w:lang w:eastAsia="en-US"/>
    </w:rPr>
  </w:style>
  <w:style w:type="character" w:customStyle="1" w:styleId="TitelChar">
    <w:name w:val="Titel Char"/>
    <w:basedOn w:val="Standaardalinea-lettertype"/>
    <w:link w:val="Titel"/>
    <w:rsid w:val="003E4616"/>
    <w:rPr>
      <w:rFonts w:ascii="Verdana" w:eastAsia="Times New Roman" w:hAnsi="Verdana" w:cs="Times New Roman"/>
      <w:b/>
      <w:kern w:val="28"/>
      <w:sz w:val="32"/>
      <w:szCs w:val="20"/>
    </w:rPr>
  </w:style>
  <w:style w:type="paragraph" w:customStyle="1" w:styleId="Titel12pt">
    <w:name w:val="Titel + 12 pt"/>
    <w:basedOn w:val="Standaard"/>
    <w:rsid w:val="003E4616"/>
    <w:pPr>
      <w:ind w:left="3232"/>
    </w:pPr>
    <w:rPr>
      <w:b/>
      <w:bCs/>
      <w:sz w:val="24"/>
    </w:rPr>
  </w:style>
  <w:style w:type="paragraph" w:customStyle="1" w:styleId="TOC3">
    <w:name w:val="TOC3"/>
    <w:basedOn w:val="Standaard"/>
    <w:rsid w:val="003E4616"/>
    <w:pPr>
      <w:widowControl w:val="0"/>
      <w:spacing w:line="238" w:lineRule="exact"/>
    </w:pPr>
    <w:rPr>
      <w:rFonts w:ascii="Times New Roman" w:hAnsi="Times New Roman"/>
      <w:b/>
      <w:sz w:val="22"/>
      <w:szCs w:val="20"/>
    </w:rPr>
  </w:style>
  <w:style w:type="paragraph" w:customStyle="1" w:styleId="TOC4">
    <w:name w:val="TOC4"/>
    <w:basedOn w:val="Standaard"/>
    <w:rsid w:val="003E4616"/>
    <w:pPr>
      <w:widowControl w:val="0"/>
      <w:spacing w:line="240" w:lineRule="auto"/>
    </w:pPr>
    <w:rPr>
      <w:rFonts w:ascii="Times New Roman" w:hAnsi="Times New Roman"/>
      <w:sz w:val="22"/>
      <w:szCs w:val="20"/>
    </w:rPr>
  </w:style>
  <w:style w:type="paragraph" w:customStyle="1" w:styleId="TOCPG9">
    <w:name w:val="TOCPG9"/>
    <w:basedOn w:val="Standaard"/>
    <w:rsid w:val="003E4616"/>
    <w:pPr>
      <w:widowControl w:val="0"/>
      <w:spacing w:line="240" w:lineRule="auto"/>
      <w:jc w:val="right"/>
    </w:pPr>
    <w:rPr>
      <w:rFonts w:ascii="Times New Roman" w:hAnsi="Times New Roman"/>
      <w:sz w:val="22"/>
      <w:szCs w:val="20"/>
    </w:rPr>
  </w:style>
  <w:style w:type="character" w:styleId="Voetnootmarkering">
    <w:name w:val="footnote reference"/>
    <w:semiHidden/>
    <w:rsid w:val="003E4616"/>
    <w:rPr>
      <w:vertAlign w:val="superscript"/>
    </w:rPr>
  </w:style>
  <w:style w:type="paragraph" w:styleId="Geenafstand">
    <w:name w:val="No Spacing"/>
    <w:uiPriority w:val="1"/>
    <w:qFormat/>
    <w:rsid w:val="00881970"/>
    <w:pPr>
      <w:spacing w:after="0" w:line="240" w:lineRule="auto"/>
    </w:pPr>
    <w:rPr>
      <w:rFonts w:ascii="Verdana" w:eastAsia="Times New Roman" w:hAnsi="Verdana" w:cs="Times New Roman"/>
      <w:sz w:val="18"/>
      <w:szCs w:val="24"/>
      <w:lang w:eastAsia="nl-NL"/>
    </w:rPr>
  </w:style>
  <w:style w:type="table" w:customStyle="1" w:styleId="Gemiddeldelijst21">
    <w:name w:val="Gemiddelde lijst 21"/>
    <w:basedOn w:val="Standaardtabel"/>
    <w:uiPriority w:val="66"/>
    <w:rsid w:val="0071209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71209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3-accent1">
    <w:name w:val="Medium Grid 3 Accent 1"/>
    <w:basedOn w:val="Standaardtabel"/>
    <w:uiPriority w:val="69"/>
    <w:rsid w:val="0071209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Revisie">
    <w:name w:val="Revision"/>
    <w:hidden/>
    <w:uiPriority w:val="99"/>
    <w:semiHidden/>
    <w:rsid w:val="00016D35"/>
    <w:pPr>
      <w:spacing w:after="0" w:line="240" w:lineRule="auto"/>
    </w:pPr>
    <w:rPr>
      <w:rFonts w:ascii="Verdana" w:eastAsia="Times New Roman" w:hAnsi="Verdana" w:cs="Times New Roman"/>
      <w:sz w:val="18"/>
      <w:szCs w:val="24"/>
      <w:lang w:eastAsia="nl-NL"/>
    </w:rPr>
  </w:style>
  <w:style w:type="table" w:customStyle="1" w:styleId="Lichtelijst-accent51">
    <w:name w:val="Lichte lijst - accent 51"/>
    <w:basedOn w:val="Standaardtabel"/>
    <w:next w:val="Lichtelijst-accent5"/>
    <w:uiPriority w:val="61"/>
    <w:rsid w:val="00853ED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5">
    <w:name w:val="Light List Accent 5"/>
    <w:basedOn w:val="Standaardtabel"/>
    <w:uiPriority w:val="61"/>
    <w:rsid w:val="00853ED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Kopvaninhoudsopgave">
    <w:name w:val="TOC Heading"/>
    <w:basedOn w:val="Kop1"/>
    <w:next w:val="Standaard"/>
    <w:uiPriority w:val="39"/>
    <w:unhideWhenUsed/>
    <w:qFormat/>
    <w:rsid w:val="00925B25"/>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character" w:styleId="Tekstvantijdelijkeaanduiding">
    <w:name w:val="Placeholder Text"/>
    <w:basedOn w:val="Standaardalinea-lettertype"/>
    <w:uiPriority w:val="99"/>
    <w:semiHidden/>
    <w:rsid w:val="0090635E"/>
    <w:rPr>
      <w:color w:val="808080"/>
    </w:rPr>
  </w:style>
  <w:style w:type="paragraph" w:styleId="Bijschrift">
    <w:name w:val="caption"/>
    <w:basedOn w:val="Standaard"/>
    <w:next w:val="Standaard"/>
    <w:uiPriority w:val="35"/>
    <w:unhideWhenUsed/>
    <w:qFormat/>
    <w:rsid w:val="00DE5C9C"/>
    <w:pPr>
      <w:spacing w:after="200" w:line="240" w:lineRule="auto"/>
    </w:pPr>
    <w:rPr>
      <w:i/>
      <w:iCs/>
      <w:color w:val="1F497D" w:themeColor="text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100436">
      <w:bodyDiv w:val="1"/>
      <w:marLeft w:val="0"/>
      <w:marRight w:val="0"/>
      <w:marTop w:val="0"/>
      <w:marBottom w:val="0"/>
      <w:divBdr>
        <w:top w:val="none" w:sz="0" w:space="0" w:color="auto"/>
        <w:left w:val="none" w:sz="0" w:space="0" w:color="auto"/>
        <w:bottom w:val="none" w:sz="0" w:space="0" w:color="auto"/>
        <w:right w:val="none" w:sz="0" w:space="0" w:color="auto"/>
      </w:divBdr>
    </w:div>
    <w:div w:id="684946493">
      <w:bodyDiv w:val="1"/>
      <w:marLeft w:val="0"/>
      <w:marRight w:val="0"/>
      <w:marTop w:val="0"/>
      <w:marBottom w:val="0"/>
      <w:divBdr>
        <w:top w:val="none" w:sz="0" w:space="0" w:color="auto"/>
        <w:left w:val="none" w:sz="0" w:space="0" w:color="auto"/>
        <w:bottom w:val="none" w:sz="0" w:space="0" w:color="auto"/>
        <w:right w:val="none" w:sz="0" w:space="0" w:color="auto"/>
      </w:divBdr>
    </w:div>
    <w:div w:id="781073440">
      <w:bodyDiv w:val="1"/>
      <w:marLeft w:val="0"/>
      <w:marRight w:val="0"/>
      <w:marTop w:val="0"/>
      <w:marBottom w:val="0"/>
      <w:divBdr>
        <w:top w:val="none" w:sz="0" w:space="0" w:color="auto"/>
        <w:left w:val="none" w:sz="0" w:space="0" w:color="auto"/>
        <w:bottom w:val="none" w:sz="0" w:space="0" w:color="auto"/>
        <w:right w:val="none" w:sz="0" w:space="0" w:color="auto"/>
      </w:divBdr>
    </w:div>
    <w:div w:id="816410399">
      <w:bodyDiv w:val="1"/>
      <w:marLeft w:val="0"/>
      <w:marRight w:val="0"/>
      <w:marTop w:val="0"/>
      <w:marBottom w:val="0"/>
      <w:divBdr>
        <w:top w:val="none" w:sz="0" w:space="0" w:color="auto"/>
        <w:left w:val="none" w:sz="0" w:space="0" w:color="auto"/>
        <w:bottom w:val="none" w:sz="0" w:space="0" w:color="auto"/>
        <w:right w:val="none" w:sz="0" w:space="0" w:color="auto"/>
      </w:divBdr>
    </w:div>
    <w:div w:id="1303385010">
      <w:bodyDiv w:val="1"/>
      <w:marLeft w:val="0"/>
      <w:marRight w:val="0"/>
      <w:marTop w:val="0"/>
      <w:marBottom w:val="0"/>
      <w:divBdr>
        <w:top w:val="none" w:sz="0" w:space="0" w:color="auto"/>
        <w:left w:val="none" w:sz="0" w:space="0" w:color="auto"/>
        <w:bottom w:val="none" w:sz="0" w:space="0" w:color="auto"/>
        <w:right w:val="none" w:sz="0" w:space="0" w:color="auto"/>
      </w:divBdr>
    </w:div>
    <w:div w:id="1489050367">
      <w:bodyDiv w:val="1"/>
      <w:marLeft w:val="0"/>
      <w:marRight w:val="0"/>
      <w:marTop w:val="0"/>
      <w:marBottom w:val="0"/>
      <w:divBdr>
        <w:top w:val="none" w:sz="0" w:space="0" w:color="auto"/>
        <w:left w:val="none" w:sz="0" w:space="0" w:color="auto"/>
        <w:bottom w:val="none" w:sz="0" w:space="0" w:color="auto"/>
        <w:right w:val="none" w:sz="0" w:space="0" w:color="auto"/>
      </w:divBdr>
    </w:div>
    <w:div w:id="1775124621">
      <w:bodyDiv w:val="1"/>
      <w:marLeft w:val="0"/>
      <w:marRight w:val="0"/>
      <w:marTop w:val="0"/>
      <w:marBottom w:val="0"/>
      <w:divBdr>
        <w:top w:val="none" w:sz="0" w:space="0" w:color="auto"/>
        <w:left w:val="none" w:sz="0" w:space="0" w:color="auto"/>
        <w:bottom w:val="none" w:sz="0" w:space="0" w:color="auto"/>
        <w:right w:val="none" w:sz="0" w:space="0" w:color="auto"/>
      </w:divBdr>
    </w:div>
    <w:div w:id="1847480037">
      <w:bodyDiv w:val="1"/>
      <w:marLeft w:val="0"/>
      <w:marRight w:val="0"/>
      <w:marTop w:val="0"/>
      <w:marBottom w:val="0"/>
      <w:divBdr>
        <w:top w:val="none" w:sz="0" w:space="0" w:color="auto"/>
        <w:left w:val="none" w:sz="0" w:space="0" w:color="auto"/>
        <w:bottom w:val="none" w:sz="0" w:space="0" w:color="auto"/>
        <w:right w:val="none" w:sz="0" w:space="0" w:color="auto"/>
      </w:divBdr>
    </w:div>
    <w:div w:id="209054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image" Target="cid:image001.png@01D70A9E.2DB02CB0"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4.gif"/><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7.xml"/><Relationship Id="rId10" Type="http://schemas.openxmlformats.org/officeDocument/2006/relationships/footer" Target="footer2.xm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eader" Target="header4.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9CBE96-A076-48F1-8EEA-8BB62B840CFE}">
  <ds:schemaRefs>
    <ds:schemaRef ds:uri="http://schemas.openxmlformats.org/officeDocument/2006/bibliography"/>
  </ds:schemaRefs>
</ds:datastoreItem>
</file>

<file path=docMetadata/LabelInfo.xml><?xml version="1.0" encoding="utf-8"?>
<clbl:labelList xmlns:clbl="http://schemas.microsoft.com/office/2020/mipLabelMetadata">
  <clbl:label id="{acd88dc2-102c-473d-aa45-6161565a3617}" enabled="1" method="Standard" siteId="{1321633e-f6b9-44e2-a44f-59b9d264ecb7}" contentBits="2" removed="0"/>
</clbl:labelList>
</file>

<file path=docProps/app.xml><?xml version="1.0" encoding="utf-8"?>
<Properties xmlns="http://schemas.openxmlformats.org/officeDocument/2006/extended-properties" xmlns:vt="http://schemas.openxmlformats.org/officeDocument/2006/docPropsVTypes">
  <Template>Normal</Template>
  <TotalTime>13</TotalTime>
  <Pages>13</Pages>
  <Words>3380</Words>
  <Characters>18592</Characters>
  <Application>Microsoft Office Word</Application>
  <DocSecurity>0</DocSecurity>
  <Lines>154</Lines>
  <Paragraphs>43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marcel.staps@rvo.nl</dc:creator>
  <dc:description>Akkoord CAB 11-07-19</dc:description>
  <cp:lastModifiedBy>Hake, N. ten (Nathalie)</cp:lastModifiedBy>
  <cp:revision>4</cp:revision>
  <cp:lastPrinted>2019-07-02T09:02:00Z</cp:lastPrinted>
  <dcterms:created xsi:type="dcterms:W3CDTF">2026-02-09T13:07:00Z</dcterms:created>
  <dcterms:modified xsi:type="dcterms:W3CDTF">2026-04-22T06:55:00Z</dcterms:modified>
  <cp:contentStatus>Definitief</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f,10,11,17,18,19,1a,1b,1c</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