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D962A" w14:textId="77777777" w:rsidR="00E63706" w:rsidRPr="00E6463A" w:rsidRDefault="00E63706" w:rsidP="00E63706">
      <w:pPr>
        <w:pStyle w:val="Geenafstand"/>
        <w:rPr>
          <w:rFonts w:ascii="Verdana" w:hAnsi="Verdana"/>
          <w:b/>
          <w:bCs/>
          <w:color w:val="000000" w:themeColor="text1"/>
          <w:sz w:val="20"/>
          <w:szCs w:val="20"/>
        </w:rPr>
      </w:pPr>
      <w:r w:rsidRPr="00E6463A">
        <w:rPr>
          <w:rFonts w:ascii="Verdana" w:hAnsi="Verdana"/>
          <w:b/>
          <w:bCs/>
          <w:color w:val="000000" w:themeColor="text1"/>
          <w:sz w:val="20"/>
          <w:szCs w:val="20"/>
        </w:rPr>
        <w:t xml:space="preserve">Bijlage 6 Procedure </w:t>
      </w:r>
      <w:r>
        <w:rPr>
          <w:rFonts w:ascii="Verdana" w:hAnsi="Verdana"/>
          <w:b/>
          <w:bCs/>
          <w:color w:val="000000" w:themeColor="text1"/>
          <w:sz w:val="20"/>
          <w:szCs w:val="20"/>
        </w:rPr>
        <w:t>N</w:t>
      </w:r>
      <w:r w:rsidRPr="00E6463A">
        <w:rPr>
          <w:rFonts w:ascii="Verdana" w:hAnsi="Verdana"/>
          <w:b/>
          <w:bCs/>
          <w:color w:val="000000" w:themeColor="text1"/>
          <w:sz w:val="20"/>
          <w:szCs w:val="20"/>
        </w:rPr>
        <w:t xml:space="preserve">adere offerteaanvraag </w:t>
      </w:r>
    </w:p>
    <w:p w14:paraId="69867C0F" w14:textId="77777777" w:rsidR="00E63706" w:rsidRDefault="00E63706" w:rsidP="00E63706">
      <w:pPr>
        <w:rPr>
          <w:bCs/>
          <w:color w:val="000000" w:themeColor="text1"/>
          <w:szCs w:val="18"/>
        </w:rPr>
      </w:pPr>
      <w:r>
        <w:rPr>
          <w:bCs/>
          <w:color w:val="000000" w:themeColor="text1"/>
          <w:szCs w:val="18"/>
        </w:rPr>
        <w:t xml:space="preserve">Het proces van een Nadere offerteaanvraag bestaat uit de volgende stappen. </w:t>
      </w:r>
    </w:p>
    <w:p w14:paraId="67522B21" w14:textId="77777777" w:rsidR="00E63706" w:rsidRDefault="00E63706" w:rsidP="00E63706">
      <w:pPr>
        <w:rPr>
          <w:bCs/>
          <w:color w:val="000000" w:themeColor="text1"/>
          <w:szCs w:val="18"/>
        </w:rPr>
      </w:pPr>
      <w:r>
        <w:rPr>
          <w:bCs/>
          <w:color w:val="000000" w:themeColor="text1"/>
          <w:szCs w:val="18"/>
        </w:rPr>
        <w:t>Deze zijn als volgt:</w:t>
      </w:r>
    </w:p>
    <w:p w14:paraId="564D8F77" w14:textId="77777777" w:rsidR="00E63706" w:rsidRDefault="00E63706" w:rsidP="00E63706">
      <w:pPr>
        <w:rPr>
          <w:bCs/>
          <w:color w:val="000000" w:themeColor="text1"/>
          <w:szCs w:val="18"/>
        </w:rPr>
      </w:pPr>
    </w:p>
    <w:p w14:paraId="7885B972" w14:textId="77777777" w:rsidR="00E63706" w:rsidRDefault="00E63706" w:rsidP="00E63706">
      <w:pPr>
        <w:pStyle w:val="Lijstalinea"/>
        <w:numPr>
          <w:ilvl w:val="0"/>
          <w:numId w:val="16"/>
        </w:numPr>
        <w:spacing w:after="240"/>
        <w:ind w:hanging="357"/>
        <w:contextualSpacing w:val="0"/>
        <w:rPr>
          <w:bCs/>
          <w:color w:val="000000" w:themeColor="text1"/>
          <w:szCs w:val="18"/>
        </w:rPr>
      </w:pPr>
      <w:r>
        <w:rPr>
          <w:bCs/>
          <w:color w:val="000000" w:themeColor="text1"/>
          <w:szCs w:val="18"/>
        </w:rPr>
        <w:t xml:space="preserve">Opdrachtnemer levert bij NVWA een overzichtsbestand aan met potentieel in te zetten Practitioners. </w:t>
      </w:r>
      <w:r w:rsidRPr="00717004">
        <w:rPr>
          <w:bCs/>
          <w:color w:val="000000" w:themeColor="text1"/>
          <w:szCs w:val="18"/>
        </w:rPr>
        <w:t xml:space="preserve">Opdrachtnemer registreert </w:t>
      </w:r>
      <w:r>
        <w:rPr>
          <w:bCs/>
          <w:color w:val="000000" w:themeColor="text1"/>
          <w:szCs w:val="18"/>
        </w:rPr>
        <w:t xml:space="preserve">de </w:t>
      </w:r>
      <w:r w:rsidRPr="00717004">
        <w:rPr>
          <w:bCs/>
          <w:color w:val="000000" w:themeColor="text1"/>
          <w:szCs w:val="18"/>
        </w:rPr>
        <w:t xml:space="preserve">Practitioners die </w:t>
      </w:r>
      <w:r>
        <w:rPr>
          <w:bCs/>
          <w:color w:val="000000" w:themeColor="text1"/>
          <w:szCs w:val="18"/>
        </w:rPr>
        <w:t>ingezet</w:t>
      </w:r>
      <w:r w:rsidRPr="00717004">
        <w:rPr>
          <w:bCs/>
          <w:color w:val="000000" w:themeColor="text1"/>
          <w:szCs w:val="18"/>
        </w:rPr>
        <w:t xml:space="preserve"> kunnen worden voor de uitvoering van Inspectie</w:t>
      </w:r>
      <w:r>
        <w:rPr>
          <w:bCs/>
          <w:color w:val="000000" w:themeColor="text1"/>
          <w:szCs w:val="18"/>
        </w:rPr>
        <w:t>diens</w:t>
      </w:r>
      <w:r w:rsidRPr="00717004">
        <w:rPr>
          <w:bCs/>
          <w:color w:val="000000" w:themeColor="text1"/>
          <w:szCs w:val="18"/>
        </w:rPr>
        <w:t>ten</w:t>
      </w:r>
      <w:r>
        <w:rPr>
          <w:bCs/>
          <w:color w:val="000000" w:themeColor="text1"/>
          <w:szCs w:val="18"/>
        </w:rPr>
        <w:t xml:space="preserve"> (Nadere opdrachten)</w:t>
      </w:r>
      <w:r w:rsidRPr="00717004">
        <w:rPr>
          <w:bCs/>
          <w:color w:val="000000" w:themeColor="text1"/>
          <w:szCs w:val="18"/>
        </w:rPr>
        <w:t xml:space="preserve"> met inachtneming van de in de Raamovereenkomst en het Programma van Eisen gestelde eisen.</w:t>
      </w:r>
    </w:p>
    <w:p w14:paraId="3D2835DD" w14:textId="77777777" w:rsidR="00E63706" w:rsidRDefault="00E63706" w:rsidP="00E63706">
      <w:pPr>
        <w:pStyle w:val="Lijstalinea"/>
        <w:numPr>
          <w:ilvl w:val="0"/>
          <w:numId w:val="16"/>
        </w:numPr>
        <w:spacing w:after="240"/>
        <w:ind w:hanging="357"/>
        <w:contextualSpacing w:val="0"/>
        <w:rPr>
          <w:bCs/>
          <w:color w:val="000000" w:themeColor="text1"/>
          <w:szCs w:val="18"/>
        </w:rPr>
      </w:pPr>
      <w:r w:rsidRPr="003D6F8F">
        <w:rPr>
          <w:bCs/>
          <w:color w:val="000000" w:themeColor="text1"/>
          <w:szCs w:val="18"/>
        </w:rPr>
        <w:t xml:space="preserve">De planningsafdeling van NVWA stelt een 4-wekelijks </w:t>
      </w:r>
      <w:r>
        <w:rPr>
          <w:bCs/>
          <w:color w:val="000000" w:themeColor="text1"/>
          <w:szCs w:val="18"/>
        </w:rPr>
        <w:t xml:space="preserve">indicatieve </w:t>
      </w:r>
      <w:r w:rsidRPr="003D6F8F">
        <w:rPr>
          <w:bCs/>
          <w:color w:val="000000" w:themeColor="text1"/>
          <w:szCs w:val="18"/>
        </w:rPr>
        <w:t xml:space="preserve">planningsschema op met </w:t>
      </w:r>
      <w:r>
        <w:rPr>
          <w:bCs/>
          <w:color w:val="000000" w:themeColor="text1"/>
          <w:szCs w:val="18"/>
        </w:rPr>
        <w:t xml:space="preserve">overzicht van </w:t>
      </w:r>
      <w:r w:rsidRPr="003D6F8F">
        <w:rPr>
          <w:bCs/>
          <w:color w:val="000000" w:themeColor="text1"/>
          <w:szCs w:val="18"/>
        </w:rPr>
        <w:t>uit te voeren Inspectie</w:t>
      </w:r>
      <w:r>
        <w:rPr>
          <w:bCs/>
          <w:color w:val="000000" w:themeColor="text1"/>
          <w:szCs w:val="18"/>
        </w:rPr>
        <w:t>diens</w:t>
      </w:r>
      <w:r w:rsidRPr="003D6F8F">
        <w:rPr>
          <w:bCs/>
          <w:color w:val="000000" w:themeColor="text1"/>
          <w:szCs w:val="18"/>
        </w:rPr>
        <w:t>ten</w:t>
      </w:r>
      <w:r>
        <w:rPr>
          <w:bCs/>
          <w:color w:val="000000" w:themeColor="text1"/>
          <w:szCs w:val="18"/>
        </w:rPr>
        <w:t>, en bespreekt deze met Opdrachtnemer (Nadere offerteaanvraag)</w:t>
      </w:r>
      <w:r w:rsidRPr="003D6F8F">
        <w:rPr>
          <w:bCs/>
          <w:color w:val="000000" w:themeColor="text1"/>
          <w:szCs w:val="18"/>
        </w:rPr>
        <w:t>.</w:t>
      </w:r>
      <w:r>
        <w:rPr>
          <w:bCs/>
          <w:color w:val="000000" w:themeColor="text1"/>
          <w:szCs w:val="18"/>
        </w:rPr>
        <w:t xml:space="preserve"> </w:t>
      </w:r>
    </w:p>
    <w:p w14:paraId="4AA7250B" w14:textId="77777777" w:rsidR="00E63706" w:rsidRPr="00D94BAB" w:rsidRDefault="00E63706" w:rsidP="00E63706">
      <w:pPr>
        <w:pStyle w:val="Lijstalinea"/>
        <w:numPr>
          <w:ilvl w:val="0"/>
          <w:numId w:val="16"/>
        </w:numPr>
        <w:spacing w:after="240"/>
        <w:ind w:hanging="357"/>
        <w:contextualSpacing w:val="0"/>
        <w:rPr>
          <w:bCs/>
          <w:color w:val="000000" w:themeColor="text1"/>
          <w:szCs w:val="18"/>
        </w:rPr>
      </w:pPr>
      <w:r>
        <w:rPr>
          <w:bCs/>
          <w:color w:val="000000" w:themeColor="text1"/>
          <w:szCs w:val="18"/>
        </w:rPr>
        <w:t xml:space="preserve">Opdrachtnemer geeft 4-wekelijks de basisbeschikbaarheid van alle beschikbare Practitioners door aan NVWA en geeft wekelijks een update van eventuele wijzigingen in de beschikbaarheid (Nadere offerte). </w:t>
      </w:r>
    </w:p>
    <w:p w14:paraId="0944F4F6" w14:textId="77777777" w:rsidR="00E63706" w:rsidRPr="00D94BAB" w:rsidRDefault="00E63706" w:rsidP="00E63706">
      <w:pPr>
        <w:pStyle w:val="Lijstalinea"/>
        <w:numPr>
          <w:ilvl w:val="0"/>
          <w:numId w:val="17"/>
        </w:numPr>
        <w:spacing w:after="240"/>
        <w:ind w:hanging="357"/>
        <w:contextualSpacing w:val="0"/>
        <w:rPr>
          <w:bCs/>
          <w:color w:val="000000" w:themeColor="text1"/>
          <w:szCs w:val="18"/>
        </w:rPr>
      </w:pPr>
      <w:r w:rsidRPr="00832DD2">
        <w:rPr>
          <w:bCs/>
          <w:color w:val="000000" w:themeColor="text1"/>
          <w:szCs w:val="18"/>
        </w:rPr>
        <w:t>Elke week geeft Opdrachtnemer op maandag uiterlijk 10:00 uur de wijzigingen in beschikbaarheid (exclusief reistijd) van de potentieel in te zetten Practitioners door aan de plankantoren van NVWA middels het Excelformat van NVWA. De wijzigingen die afwijken van de basisbeschikbaarheid dienen geel gearceerd te worden.</w:t>
      </w:r>
    </w:p>
    <w:p w14:paraId="35762C4D" w14:textId="77777777" w:rsidR="00E63706" w:rsidRPr="00832DD2" w:rsidRDefault="00E63706" w:rsidP="00E63706">
      <w:pPr>
        <w:pStyle w:val="Lijstalinea"/>
        <w:numPr>
          <w:ilvl w:val="0"/>
          <w:numId w:val="17"/>
        </w:numPr>
        <w:spacing w:after="240"/>
        <w:ind w:hanging="357"/>
        <w:contextualSpacing w:val="0"/>
        <w:rPr>
          <w:color w:val="000000" w:themeColor="text1"/>
        </w:rPr>
      </w:pPr>
      <w:r w:rsidRPr="00832DD2">
        <w:rPr>
          <w:color w:val="000000" w:themeColor="text1"/>
        </w:rPr>
        <w:t>Eventuele mutaties op de beschikbaarheid voor de volgende werkweek tussen maandag 10:00 uur en woensdag 12:00 uur dienen per e-mail en telefonisch doorgegeven te worden aan het desbetreffende plankantoor.</w:t>
      </w:r>
    </w:p>
    <w:p w14:paraId="118E62E3" w14:textId="77777777" w:rsidR="00E63706" w:rsidRPr="00146D76" w:rsidRDefault="00E63706" w:rsidP="00E63706">
      <w:pPr>
        <w:pStyle w:val="Lijstalinea"/>
        <w:numPr>
          <w:ilvl w:val="0"/>
          <w:numId w:val="17"/>
        </w:numPr>
        <w:spacing w:after="240"/>
        <w:ind w:hanging="357"/>
        <w:contextualSpacing w:val="0"/>
      </w:pPr>
      <w:r>
        <w:rPr>
          <w:bCs/>
          <w:color w:val="000000" w:themeColor="text1"/>
          <w:szCs w:val="18"/>
        </w:rPr>
        <w:t xml:space="preserve">Niet-beschikbare Practitioners </w:t>
      </w:r>
      <w:r w:rsidRPr="00146D76">
        <w:t>dienen rood gearceerd in het Excelformat te worden.</w:t>
      </w:r>
    </w:p>
    <w:p w14:paraId="1E745AEF" w14:textId="77777777" w:rsidR="00E63706" w:rsidRDefault="00E63706" w:rsidP="00E63706">
      <w:pPr>
        <w:pStyle w:val="Lijstalinea"/>
        <w:numPr>
          <w:ilvl w:val="0"/>
          <w:numId w:val="16"/>
        </w:numPr>
        <w:spacing w:after="240"/>
        <w:ind w:hanging="357"/>
        <w:contextualSpacing w:val="0"/>
        <w:rPr>
          <w:bCs/>
          <w:color w:val="000000" w:themeColor="text1"/>
          <w:szCs w:val="18"/>
        </w:rPr>
      </w:pPr>
      <w:r w:rsidRPr="00146D76">
        <w:rPr>
          <w:bCs/>
          <w:color w:val="000000" w:themeColor="text1"/>
          <w:szCs w:val="18"/>
        </w:rPr>
        <w:t>Opdrachtgever plant, met inachtneming van het indicatieve planningsschema en de door Opdrachtnemer opgegeven beschikbaarheid</w:t>
      </w:r>
      <w:r>
        <w:rPr>
          <w:bCs/>
          <w:color w:val="000000" w:themeColor="text1"/>
          <w:szCs w:val="18"/>
        </w:rPr>
        <w:t xml:space="preserve"> en andere objectieve criteria</w:t>
      </w:r>
      <w:r w:rsidRPr="00146D76">
        <w:rPr>
          <w:bCs/>
          <w:color w:val="000000" w:themeColor="text1"/>
          <w:szCs w:val="18"/>
        </w:rPr>
        <w:t xml:space="preserve">, de </w:t>
      </w:r>
      <w:r>
        <w:rPr>
          <w:bCs/>
          <w:color w:val="000000" w:themeColor="text1"/>
          <w:szCs w:val="18"/>
        </w:rPr>
        <w:t>Inspectiediensten</w:t>
      </w:r>
      <w:r w:rsidRPr="00146D76">
        <w:rPr>
          <w:bCs/>
          <w:color w:val="000000" w:themeColor="text1"/>
          <w:szCs w:val="18"/>
        </w:rPr>
        <w:t xml:space="preserve"> in voor de uitvoering en zendt hiervan een schriftelijke bevestiging aan Opdrachtnemer</w:t>
      </w:r>
      <w:r>
        <w:rPr>
          <w:bCs/>
          <w:color w:val="000000" w:themeColor="text1"/>
          <w:szCs w:val="18"/>
        </w:rPr>
        <w:t xml:space="preserve"> (Nadere opdracht)</w:t>
      </w:r>
      <w:r w:rsidRPr="00146D76">
        <w:rPr>
          <w:bCs/>
          <w:color w:val="000000" w:themeColor="text1"/>
          <w:szCs w:val="18"/>
        </w:rPr>
        <w:t>.</w:t>
      </w:r>
      <w:r>
        <w:rPr>
          <w:bCs/>
          <w:color w:val="000000" w:themeColor="text1"/>
          <w:szCs w:val="18"/>
        </w:rPr>
        <w:t xml:space="preserve"> </w:t>
      </w:r>
    </w:p>
    <w:p w14:paraId="70D14CB3" w14:textId="77777777" w:rsidR="00E63706" w:rsidRPr="00BE5660" w:rsidRDefault="00E63706" w:rsidP="00E63706">
      <w:pPr>
        <w:pStyle w:val="Lijstalinea"/>
        <w:numPr>
          <w:ilvl w:val="0"/>
          <w:numId w:val="16"/>
        </w:numPr>
        <w:spacing w:after="240"/>
        <w:ind w:hanging="357"/>
        <w:contextualSpacing w:val="0"/>
        <w:rPr>
          <w:bCs/>
          <w:color w:val="000000" w:themeColor="text1"/>
          <w:szCs w:val="18"/>
        </w:rPr>
      </w:pPr>
      <w:r w:rsidRPr="00146D76">
        <w:rPr>
          <w:bCs/>
          <w:color w:val="000000" w:themeColor="text1"/>
          <w:szCs w:val="18"/>
        </w:rPr>
        <w:t xml:space="preserve">Indien Opdrachtnemer niet binnen twee (2) werkuren na verzending van </w:t>
      </w:r>
      <w:r>
        <w:rPr>
          <w:bCs/>
          <w:color w:val="000000" w:themeColor="text1"/>
          <w:szCs w:val="18"/>
        </w:rPr>
        <w:t>deze bevestiging</w:t>
      </w:r>
      <w:r w:rsidRPr="00146D76">
        <w:rPr>
          <w:bCs/>
          <w:color w:val="000000" w:themeColor="text1"/>
          <w:szCs w:val="18"/>
        </w:rPr>
        <w:t xml:space="preserve"> reageert, wordt de Nadere opdracht geacht rechtsgeldig</w:t>
      </w:r>
      <w:r>
        <w:rPr>
          <w:bCs/>
          <w:color w:val="000000" w:themeColor="text1"/>
          <w:szCs w:val="18"/>
        </w:rPr>
        <w:t xml:space="preserve"> </w:t>
      </w:r>
      <w:r w:rsidRPr="00146D76">
        <w:rPr>
          <w:bCs/>
          <w:color w:val="000000" w:themeColor="text1"/>
          <w:szCs w:val="18"/>
        </w:rPr>
        <w:t>tot stand te zijn gekomen.</w:t>
      </w:r>
    </w:p>
    <w:p w14:paraId="5254A2F6" w14:textId="77777777" w:rsidR="006961F7" w:rsidRDefault="006961F7">
      <w:pPr>
        <w:rPr>
          <w:b/>
          <w:bCs/>
        </w:rPr>
      </w:pPr>
      <w:r>
        <w:rPr>
          <w:b/>
          <w:bCs/>
        </w:rPr>
        <w:br w:type="page"/>
      </w:r>
    </w:p>
    <w:p w14:paraId="0FF0B859" w14:textId="25FF6865" w:rsidR="00E43809" w:rsidRPr="00991D5D" w:rsidRDefault="00F55B7D" w:rsidP="00E43809">
      <w:pPr>
        <w:ind w:left="363"/>
        <w:rPr>
          <w:b/>
          <w:bCs/>
        </w:rPr>
      </w:pPr>
      <w:r w:rsidRPr="00991D5D">
        <w:rPr>
          <w:b/>
          <w:bCs/>
        </w:rPr>
        <w:lastRenderedPageBreak/>
        <w:t>N</w:t>
      </w:r>
      <w:r w:rsidR="00E43809" w:rsidRPr="00991D5D">
        <w:rPr>
          <w:b/>
          <w:bCs/>
        </w:rPr>
        <w:t>ieuwe Practitioners niveau B en toelating NVWA-maatwerkopleiding</w:t>
      </w:r>
    </w:p>
    <w:p w14:paraId="20DCD6B8" w14:textId="0FC00928" w:rsidR="00E43809" w:rsidRPr="00E43809" w:rsidRDefault="00E43809" w:rsidP="00E43809">
      <w:pPr>
        <w:ind w:left="363"/>
      </w:pPr>
      <w:r w:rsidRPr="00E43809">
        <w:t xml:space="preserve">Partijen analyseren periodiek en in onderling overleg of voldoende Inspectiecapaciteit beschikbaar is voor de uitvoering van de </w:t>
      </w:r>
      <w:r w:rsidR="00E63706">
        <w:t>Nadere opdrachten</w:t>
      </w:r>
      <w:r w:rsidRPr="00E43809">
        <w:t>. Deze analyse vindt plaats per soort Inspectiedienst, zoals beschreven in Bijlage 2 (Beschrijving en eisen Inspectiediensten).</w:t>
      </w:r>
    </w:p>
    <w:p w14:paraId="53262703" w14:textId="13FCA105" w:rsidR="00E43809" w:rsidRPr="00E43809" w:rsidRDefault="00E43809" w:rsidP="00E43809">
      <w:pPr>
        <w:ind w:left="363"/>
      </w:pPr>
      <w:r w:rsidRPr="00E43809">
        <w:t>Indien Opdrachtgever concludeert dat voor een specifieke Inspectiedienst aanvullende capaciteit benodigd is, identificeert Opdrachtnemer binnen zijn eigen organisatie en netwerk potentiële Practitioners die naar het oordeel van Opdrachtnemer geschikt kunnen zijn voor inzet binnen de uitvoering van de Overeenkomst. Opdrachtnemer stelt deze potentiële Practitioners, conform het door Opdrachtgever gehanteerde format (nader af te stemmen tijdens de implementatiefase), voor aan Opdrachtgever ten behoeve van een beoordeling in het kader van toelating tot de NVWA-maatwerkopleiding.</w:t>
      </w:r>
      <w:r w:rsidR="006961F7">
        <w:br/>
      </w:r>
    </w:p>
    <w:p w14:paraId="79B37394" w14:textId="77777777" w:rsidR="00E43809" w:rsidRPr="00E43809" w:rsidRDefault="00E43809" w:rsidP="00E43809">
      <w:pPr>
        <w:ind w:left="363"/>
      </w:pPr>
      <w:r w:rsidRPr="00E43809">
        <w:t>Opdrachtgever beoordeelt uitsluitend of de potentiële Practitioner voldoet aan de voorwaarden voor deelname aan de NVWA-maatwerkopleiding en eventuele toepasselijke eisen uit het Inspectiekader. Opdrachtgever bepaalt welke potentiële Practitioners worden uitgenodigd voor een kennismakingsgesprek en/of een meeloopdag. Opdrachtnemer blijft verantwoordelijk voor de afstemming en communicatie met de potentiële Practitioners.</w:t>
      </w:r>
    </w:p>
    <w:p w14:paraId="7465FEA1" w14:textId="5DB9F4A3" w:rsidR="00E43809" w:rsidRPr="00E43809" w:rsidRDefault="00E43809" w:rsidP="00E43809">
      <w:pPr>
        <w:ind w:left="363"/>
      </w:pPr>
      <w:r w:rsidRPr="00E43809">
        <w:t>Opdrachtgever bepaalt, mede op basis van de door Opdrachtnemer aangeleverde informatie, welke potentiële Practitioners worden toegelaten tot deelname aan de NVWA-maatwerkopleiding. Het besluit tot toelating wordt schriftelijk door Opdrachtgever aan Opdrachtnemer bevestigd.</w:t>
      </w:r>
      <w:r w:rsidR="006961F7">
        <w:br/>
      </w:r>
    </w:p>
    <w:p w14:paraId="07E66F16" w14:textId="6E22946B" w:rsidR="00E43809" w:rsidRPr="00E43809" w:rsidRDefault="00E43809" w:rsidP="00E43809">
      <w:pPr>
        <w:ind w:left="363"/>
      </w:pPr>
      <w:r w:rsidRPr="00E43809">
        <w:t>Opdrachtnemer is niet gerechtigd om voor de in dit artikel genoemde activiteiten kosten in rekening te brengen bij Opdrachtgever. Uren verband houdende met kennismakingsgesprekken, meeloopdagen en toelatingsactiviteiten komen niet voor vergoeding door Opdrachtgever in aanmerking.</w:t>
      </w:r>
      <w:r w:rsidR="006961F7">
        <w:br/>
      </w:r>
    </w:p>
    <w:p w14:paraId="2E405791" w14:textId="41EAF76B" w:rsidR="00E43809" w:rsidRPr="00E43809" w:rsidRDefault="00E43809" w:rsidP="00E43809">
      <w:pPr>
        <w:ind w:left="363"/>
      </w:pPr>
      <w:r w:rsidRPr="00E43809">
        <w:t xml:space="preserve">Voor de opleidingskosten en opleidingsuren na toelating tot de NVWA-maatwerkopleiding wordt verwezen naar </w:t>
      </w:r>
      <w:r w:rsidR="00E63706">
        <w:t>de Eisen ten aanzien van de opdracht (hoofdstuk 3 van het aanbestedingsdocument)</w:t>
      </w:r>
      <w:r w:rsidRPr="00E43809">
        <w:t xml:space="preserve">, waaronder eis </w:t>
      </w:r>
      <w:r w:rsidR="00E63706">
        <w:t>5</w:t>
      </w:r>
      <w:r w:rsidRPr="00E43809">
        <w:t>7.</w:t>
      </w:r>
      <w:r w:rsidR="006961F7">
        <w:br/>
      </w:r>
    </w:p>
    <w:p w14:paraId="756C0E78" w14:textId="2555D746" w:rsidR="00E43809" w:rsidRPr="00E43809" w:rsidRDefault="00E43809" w:rsidP="00E43809">
      <w:pPr>
        <w:ind w:left="363"/>
      </w:pPr>
      <w:r w:rsidRPr="00E43809">
        <w:t xml:space="preserve">Het volgen van de NVWA-maatwerkopleiding en/of toelating daartoe geeft een potentiële Practitioner geen garantie op het verkrijgen van </w:t>
      </w:r>
      <w:r w:rsidR="00E63706">
        <w:t>Nadere opdrachten</w:t>
      </w:r>
      <w:r w:rsidRPr="00E43809">
        <w:t>. De inzet van Practitioners in het kader van deze Overeenkomst blijft de verantwoordelijkheid van Opdrachtnemer, tenzij Partijen ten aanzien van een specifieke Practitioner schriftelijk anders overeenkomen.</w:t>
      </w:r>
    </w:p>
    <w:p w14:paraId="515FCC72" w14:textId="77777777" w:rsidR="00E43809" w:rsidRDefault="00E43809" w:rsidP="00E43809">
      <w:pPr>
        <w:ind w:left="363"/>
      </w:pPr>
    </w:p>
    <w:p w14:paraId="0880BC48" w14:textId="77777777" w:rsidR="00146D76" w:rsidRDefault="00146D76" w:rsidP="00BE5660">
      <w:pPr>
        <w:pStyle w:val="Lijstalinea"/>
      </w:pPr>
    </w:p>
    <w:p w14:paraId="47F8BE39" w14:textId="28CE8D91" w:rsidR="00146D76" w:rsidRPr="00BE5660" w:rsidRDefault="00146D76" w:rsidP="00C10D18">
      <w:pPr>
        <w:pStyle w:val="Lijstalinea"/>
        <w:rPr>
          <w:bCs/>
          <w:color w:val="000000" w:themeColor="text1"/>
          <w:szCs w:val="18"/>
        </w:rPr>
      </w:pPr>
    </w:p>
    <w:sectPr w:rsidR="00146D76" w:rsidRPr="00BE5660" w:rsidSect="00782597">
      <w:headerReference w:type="default" r:id="rId11"/>
      <w:footerReference w:type="default" r:id="rId12"/>
      <w:pgSz w:w="11907" w:h="16839" w:code="9"/>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DB4B26" w14:textId="77777777" w:rsidR="00B5217C" w:rsidRDefault="00B5217C" w:rsidP="00BC4591">
      <w:pPr>
        <w:spacing w:line="240" w:lineRule="auto"/>
      </w:pPr>
      <w:r>
        <w:separator/>
      </w:r>
    </w:p>
  </w:endnote>
  <w:endnote w:type="continuationSeparator" w:id="0">
    <w:p w14:paraId="1E29F2E7" w14:textId="77777777" w:rsidR="00B5217C" w:rsidRDefault="00B5217C" w:rsidP="00BC45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rofont">
    <w:panose1 w:val="020B0503040100020103"/>
    <w:charset w:val="00"/>
    <w:family w:val="swiss"/>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3012154"/>
      <w:docPartObj>
        <w:docPartGallery w:val="Page Numbers (Bottom of Page)"/>
        <w:docPartUnique/>
      </w:docPartObj>
    </w:sdtPr>
    <w:sdtEndPr/>
    <w:sdtContent>
      <w:sdt>
        <w:sdtPr>
          <w:id w:val="-1669238322"/>
          <w:docPartObj>
            <w:docPartGallery w:val="Page Numbers (Top of Page)"/>
            <w:docPartUnique/>
          </w:docPartObj>
        </w:sdtPr>
        <w:sdtEndPr/>
        <w:sdtContent>
          <w:p w14:paraId="0DB8AC7C" w14:textId="77777777" w:rsidR="00075F3B" w:rsidRDefault="00075F3B">
            <w:pPr>
              <w:pStyle w:val="Voettekst"/>
              <w:jc w:val="center"/>
            </w:pPr>
            <w:r>
              <w:rPr>
                <w:lang w:val="nl-NL"/>
              </w:rPr>
              <w:t xml:space="preserve">Pagina </w:t>
            </w:r>
            <w:r>
              <w:rPr>
                <w:b/>
                <w:bCs/>
                <w:sz w:val="24"/>
                <w:szCs w:val="24"/>
              </w:rPr>
              <w:fldChar w:fldCharType="begin"/>
            </w:r>
            <w:r>
              <w:rPr>
                <w:b/>
                <w:bCs/>
              </w:rPr>
              <w:instrText>PAGE</w:instrText>
            </w:r>
            <w:r>
              <w:rPr>
                <w:b/>
                <w:bCs/>
                <w:sz w:val="24"/>
                <w:szCs w:val="24"/>
              </w:rPr>
              <w:fldChar w:fldCharType="separate"/>
            </w:r>
            <w:r w:rsidR="00257C7F">
              <w:rPr>
                <w:b/>
                <w:bCs/>
                <w:noProof/>
              </w:rPr>
              <w:t>1</w:t>
            </w:r>
            <w:r>
              <w:rPr>
                <w:b/>
                <w:bCs/>
                <w:sz w:val="24"/>
                <w:szCs w:val="24"/>
              </w:rPr>
              <w:fldChar w:fldCharType="end"/>
            </w:r>
            <w:r>
              <w:rPr>
                <w:lang w:val="nl-NL"/>
              </w:rPr>
              <w:t xml:space="preserve"> van </w:t>
            </w:r>
            <w:r>
              <w:rPr>
                <w:b/>
                <w:bCs/>
                <w:sz w:val="24"/>
                <w:szCs w:val="24"/>
              </w:rPr>
              <w:fldChar w:fldCharType="begin"/>
            </w:r>
            <w:r>
              <w:rPr>
                <w:b/>
                <w:bCs/>
              </w:rPr>
              <w:instrText>NUMPAGES</w:instrText>
            </w:r>
            <w:r>
              <w:rPr>
                <w:b/>
                <w:bCs/>
                <w:sz w:val="24"/>
                <w:szCs w:val="24"/>
              </w:rPr>
              <w:fldChar w:fldCharType="separate"/>
            </w:r>
            <w:r w:rsidR="00257C7F">
              <w:rPr>
                <w:b/>
                <w:bCs/>
                <w:noProof/>
              </w:rPr>
              <w:t>3</w:t>
            </w:r>
            <w:r>
              <w:rPr>
                <w:b/>
                <w:bCs/>
                <w:sz w:val="24"/>
                <w:szCs w:val="24"/>
              </w:rPr>
              <w:fldChar w:fldCharType="end"/>
            </w:r>
          </w:p>
        </w:sdtContent>
      </w:sdt>
    </w:sdtContent>
  </w:sdt>
  <w:p w14:paraId="00BDC354" w14:textId="77777777" w:rsidR="00075F3B" w:rsidRDefault="00075F3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358D7" w14:textId="77777777" w:rsidR="00B5217C" w:rsidRDefault="00B5217C" w:rsidP="00BC4591">
      <w:pPr>
        <w:spacing w:line="240" w:lineRule="auto"/>
      </w:pPr>
      <w:r>
        <w:separator/>
      </w:r>
    </w:p>
  </w:footnote>
  <w:footnote w:type="continuationSeparator" w:id="0">
    <w:p w14:paraId="2F87FD5C" w14:textId="77777777" w:rsidR="00B5217C" w:rsidRDefault="00B5217C" w:rsidP="00BC45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D546" w14:textId="684FB717" w:rsidR="00E95C2A" w:rsidRPr="001F6104" w:rsidRDefault="00E95C2A">
    <w:pPr>
      <w:pStyle w:val="Koptekst"/>
      <w:rPr>
        <w:lang w:val="nl-NL"/>
      </w:rPr>
    </w:pPr>
  </w:p>
  <w:p w14:paraId="3AC62ECC" w14:textId="77777777" w:rsidR="00E95C2A" w:rsidRPr="001F6104" w:rsidRDefault="00E95C2A">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8AFA"/>
    <w:multiLevelType w:val="hybridMultilevel"/>
    <w:tmpl w:val="871261C6"/>
    <w:lvl w:ilvl="0" w:tplc="6A56D9B2">
      <w:start w:val="1"/>
      <w:numFmt w:val="bullet"/>
      <w:lvlText w:val=""/>
      <w:lvlJc w:val="left"/>
      <w:pPr>
        <w:ind w:left="720" w:hanging="360"/>
      </w:pPr>
      <w:rPr>
        <w:rFonts w:ascii="Symbol" w:hAnsi="Symbol" w:hint="default"/>
      </w:rPr>
    </w:lvl>
    <w:lvl w:ilvl="1" w:tplc="1514F0D6">
      <w:start w:val="1"/>
      <w:numFmt w:val="bullet"/>
      <w:lvlText w:val="o"/>
      <w:lvlJc w:val="left"/>
      <w:pPr>
        <w:ind w:left="1440" w:hanging="360"/>
      </w:pPr>
      <w:rPr>
        <w:rFonts w:ascii="Courier New" w:hAnsi="Courier New" w:hint="default"/>
      </w:rPr>
    </w:lvl>
    <w:lvl w:ilvl="2" w:tplc="DFC88656">
      <w:start w:val="1"/>
      <w:numFmt w:val="bullet"/>
      <w:lvlText w:val=""/>
      <w:lvlJc w:val="left"/>
      <w:pPr>
        <w:ind w:left="2160" w:hanging="360"/>
      </w:pPr>
      <w:rPr>
        <w:rFonts w:ascii="Wingdings" w:hAnsi="Wingdings" w:hint="default"/>
      </w:rPr>
    </w:lvl>
    <w:lvl w:ilvl="3" w:tplc="22F21B26">
      <w:start w:val="1"/>
      <w:numFmt w:val="bullet"/>
      <w:lvlText w:val=""/>
      <w:lvlJc w:val="left"/>
      <w:pPr>
        <w:ind w:left="2880" w:hanging="360"/>
      </w:pPr>
      <w:rPr>
        <w:rFonts w:ascii="Symbol" w:hAnsi="Symbol" w:hint="default"/>
      </w:rPr>
    </w:lvl>
    <w:lvl w:ilvl="4" w:tplc="C798A276">
      <w:start w:val="1"/>
      <w:numFmt w:val="bullet"/>
      <w:lvlText w:val="o"/>
      <w:lvlJc w:val="left"/>
      <w:pPr>
        <w:ind w:left="3600" w:hanging="360"/>
      </w:pPr>
      <w:rPr>
        <w:rFonts w:ascii="Courier New" w:hAnsi="Courier New" w:hint="default"/>
      </w:rPr>
    </w:lvl>
    <w:lvl w:ilvl="5" w:tplc="140C963E">
      <w:start w:val="1"/>
      <w:numFmt w:val="bullet"/>
      <w:lvlText w:val=""/>
      <w:lvlJc w:val="left"/>
      <w:pPr>
        <w:ind w:left="4320" w:hanging="360"/>
      </w:pPr>
      <w:rPr>
        <w:rFonts w:ascii="Wingdings" w:hAnsi="Wingdings" w:hint="default"/>
      </w:rPr>
    </w:lvl>
    <w:lvl w:ilvl="6" w:tplc="368E7142">
      <w:start w:val="1"/>
      <w:numFmt w:val="bullet"/>
      <w:lvlText w:val=""/>
      <w:lvlJc w:val="left"/>
      <w:pPr>
        <w:ind w:left="5040" w:hanging="360"/>
      </w:pPr>
      <w:rPr>
        <w:rFonts w:ascii="Symbol" w:hAnsi="Symbol" w:hint="default"/>
      </w:rPr>
    </w:lvl>
    <w:lvl w:ilvl="7" w:tplc="76A8AA4E">
      <w:start w:val="1"/>
      <w:numFmt w:val="bullet"/>
      <w:lvlText w:val="o"/>
      <w:lvlJc w:val="left"/>
      <w:pPr>
        <w:ind w:left="5760" w:hanging="360"/>
      </w:pPr>
      <w:rPr>
        <w:rFonts w:ascii="Courier New" w:hAnsi="Courier New" w:hint="default"/>
      </w:rPr>
    </w:lvl>
    <w:lvl w:ilvl="8" w:tplc="E2A2E9C8">
      <w:start w:val="1"/>
      <w:numFmt w:val="bullet"/>
      <w:lvlText w:val=""/>
      <w:lvlJc w:val="left"/>
      <w:pPr>
        <w:ind w:left="6480" w:hanging="360"/>
      </w:pPr>
      <w:rPr>
        <w:rFonts w:ascii="Wingdings" w:hAnsi="Wingdings" w:hint="default"/>
      </w:rPr>
    </w:lvl>
  </w:abstractNum>
  <w:abstractNum w:abstractNumId="1" w15:restartNumberingAfterBreak="0">
    <w:nsid w:val="03963C1E"/>
    <w:multiLevelType w:val="hybridMultilevel"/>
    <w:tmpl w:val="4B6245E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39754DF"/>
    <w:multiLevelType w:val="hybridMultilevel"/>
    <w:tmpl w:val="5DFE67A2"/>
    <w:lvl w:ilvl="0" w:tplc="04130001">
      <w:start w:val="1"/>
      <w:numFmt w:val="bullet"/>
      <w:lvlText w:val=""/>
      <w:lvlJc w:val="left"/>
      <w:pPr>
        <w:ind w:left="1060" w:hanging="360"/>
      </w:pPr>
      <w:rPr>
        <w:rFonts w:ascii="Symbol" w:hAnsi="Symbol"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3"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7C5675A"/>
    <w:multiLevelType w:val="hybridMultilevel"/>
    <w:tmpl w:val="D1820834"/>
    <w:lvl w:ilvl="0" w:tplc="6C603752">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84309B"/>
    <w:multiLevelType w:val="hybridMultilevel"/>
    <w:tmpl w:val="BDF27FF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6" w15:restartNumberingAfterBreak="0">
    <w:nsid w:val="2CC35EB6"/>
    <w:multiLevelType w:val="hybridMultilevel"/>
    <w:tmpl w:val="51D001F6"/>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7" w15:restartNumberingAfterBreak="0">
    <w:nsid w:val="2E55375C"/>
    <w:multiLevelType w:val="hybridMultilevel"/>
    <w:tmpl w:val="39C492A8"/>
    <w:lvl w:ilvl="0" w:tplc="7674D462">
      <w:start w:val="7"/>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E5E05B4"/>
    <w:multiLevelType w:val="hybridMultilevel"/>
    <w:tmpl w:val="2A4CFD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F656CB0"/>
    <w:multiLevelType w:val="hybridMultilevel"/>
    <w:tmpl w:val="B504F0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54C34C4"/>
    <w:multiLevelType w:val="hybridMultilevel"/>
    <w:tmpl w:val="CEEE0BF6"/>
    <w:lvl w:ilvl="0" w:tplc="8018BD12">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6F7467"/>
    <w:multiLevelType w:val="hybridMultilevel"/>
    <w:tmpl w:val="C530554A"/>
    <w:lvl w:ilvl="0" w:tplc="87C29182">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EF8346F"/>
    <w:multiLevelType w:val="hybridMultilevel"/>
    <w:tmpl w:val="6D9ED5F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B342E4D"/>
    <w:multiLevelType w:val="hybridMultilevel"/>
    <w:tmpl w:val="AC5822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F825AD4"/>
    <w:multiLevelType w:val="hybridMultilevel"/>
    <w:tmpl w:val="6832DE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33C17F2"/>
    <w:multiLevelType w:val="hybridMultilevel"/>
    <w:tmpl w:val="136A36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7B885DEB"/>
    <w:multiLevelType w:val="hybridMultilevel"/>
    <w:tmpl w:val="594C50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2091243">
    <w:abstractNumId w:val="0"/>
  </w:num>
  <w:num w:numId="2" w16cid:durableId="1672634771">
    <w:abstractNumId w:val="3"/>
  </w:num>
  <w:num w:numId="3" w16cid:durableId="995449532">
    <w:abstractNumId w:val="9"/>
  </w:num>
  <w:num w:numId="4" w16cid:durableId="1178738243">
    <w:abstractNumId w:val="2"/>
  </w:num>
  <w:num w:numId="5" w16cid:durableId="2109688554">
    <w:abstractNumId w:val="16"/>
  </w:num>
  <w:num w:numId="6" w16cid:durableId="116146129">
    <w:abstractNumId w:val="14"/>
  </w:num>
  <w:num w:numId="7" w16cid:durableId="476383109">
    <w:abstractNumId w:val="7"/>
  </w:num>
  <w:num w:numId="8" w16cid:durableId="981999932">
    <w:abstractNumId w:val="11"/>
  </w:num>
  <w:num w:numId="9" w16cid:durableId="2112964499">
    <w:abstractNumId w:val="1"/>
  </w:num>
  <w:num w:numId="10" w16cid:durableId="1918708311">
    <w:abstractNumId w:val="8"/>
  </w:num>
  <w:num w:numId="11" w16cid:durableId="716466467">
    <w:abstractNumId w:val="10"/>
  </w:num>
  <w:num w:numId="12" w16cid:durableId="1688364707">
    <w:abstractNumId w:val="13"/>
  </w:num>
  <w:num w:numId="13" w16cid:durableId="1402798484">
    <w:abstractNumId w:val="4"/>
  </w:num>
  <w:num w:numId="14" w16cid:durableId="1349406312">
    <w:abstractNumId w:val="12"/>
  </w:num>
  <w:num w:numId="15" w16cid:durableId="1788239211">
    <w:abstractNumId w:val="6"/>
  </w:num>
  <w:num w:numId="16" w16cid:durableId="248657483">
    <w:abstractNumId w:val="15"/>
  </w:num>
  <w:num w:numId="17" w16cid:durableId="1254379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591"/>
    <w:rsid w:val="000456AE"/>
    <w:rsid w:val="000502E6"/>
    <w:rsid w:val="000663F6"/>
    <w:rsid w:val="00075F3B"/>
    <w:rsid w:val="00097064"/>
    <w:rsid w:val="0009790D"/>
    <w:rsid w:val="000B4824"/>
    <w:rsid w:val="0010528D"/>
    <w:rsid w:val="00105C16"/>
    <w:rsid w:val="00113AD7"/>
    <w:rsid w:val="00123249"/>
    <w:rsid w:val="001309FA"/>
    <w:rsid w:val="00134C91"/>
    <w:rsid w:val="00145E06"/>
    <w:rsid w:val="00146D76"/>
    <w:rsid w:val="00155C60"/>
    <w:rsid w:val="001A2DBF"/>
    <w:rsid w:val="001A5D87"/>
    <w:rsid w:val="001B5065"/>
    <w:rsid w:val="001C2CF1"/>
    <w:rsid w:val="001D04D2"/>
    <w:rsid w:val="001F6104"/>
    <w:rsid w:val="00257C7F"/>
    <w:rsid w:val="00271209"/>
    <w:rsid w:val="0029234D"/>
    <w:rsid w:val="002A06AA"/>
    <w:rsid w:val="002B21B4"/>
    <w:rsid w:val="002C2C8C"/>
    <w:rsid w:val="002C4087"/>
    <w:rsid w:val="00300E35"/>
    <w:rsid w:val="00305F5C"/>
    <w:rsid w:val="003166E7"/>
    <w:rsid w:val="00332E52"/>
    <w:rsid w:val="003B38E6"/>
    <w:rsid w:val="003C6108"/>
    <w:rsid w:val="003D6F8F"/>
    <w:rsid w:val="003E7B5D"/>
    <w:rsid w:val="003F169B"/>
    <w:rsid w:val="003F5C0D"/>
    <w:rsid w:val="004121B6"/>
    <w:rsid w:val="00413DD6"/>
    <w:rsid w:val="00423A59"/>
    <w:rsid w:val="00435849"/>
    <w:rsid w:val="00435BC3"/>
    <w:rsid w:val="00473EE4"/>
    <w:rsid w:val="00481E15"/>
    <w:rsid w:val="00482D38"/>
    <w:rsid w:val="004D01DF"/>
    <w:rsid w:val="004D2CFA"/>
    <w:rsid w:val="004E1951"/>
    <w:rsid w:val="00501CF9"/>
    <w:rsid w:val="005528DB"/>
    <w:rsid w:val="00594C9F"/>
    <w:rsid w:val="005B701D"/>
    <w:rsid w:val="005C547B"/>
    <w:rsid w:val="005C74C6"/>
    <w:rsid w:val="005D4578"/>
    <w:rsid w:val="00610D1D"/>
    <w:rsid w:val="00621516"/>
    <w:rsid w:val="00630D4F"/>
    <w:rsid w:val="00656AA0"/>
    <w:rsid w:val="00665B4E"/>
    <w:rsid w:val="0068116B"/>
    <w:rsid w:val="00695310"/>
    <w:rsid w:val="006961F7"/>
    <w:rsid w:val="006B6A29"/>
    <w:rsid w:val="006E63EE"/>
    <w:rsid w:val="007030D6"/>
    <w:rsid w:val="00717004"/>
    <w:rsid w:val="007359A7"/>
    <w:rsid w:val="00735CD2"/>
    <w:rsid w:val="00782597"/>
    <w:rsid w:val="00802900"/>
    <w:rsid w:val="008257F4"/>
    <w:rsid w:val="00832DD2"/>
    <w:rsid w:val="00837989"/>
    <w:rsid w:val="00841E2F"/>
    <w:rsid w:val="00847AD9"/>
    <w:rsid w:val="00860A1F"/>
    <w:rsid w:val="0086618E"/>
    <w:rsid w:val="00896F36"/>
    <w:rsid w:val="008B5650"/>
    <w:rsid w:val="008C75F7"/>
    <w:rsid w:val="008D214C"/>
    <w:rsid w:val="008D3090"/>
    <w:rsid w:val="00911136"/>
    <w:rsid w:val="00924FF6"/>
    <w:rsid w:val="00964A94"/>
    <w:rsid w:val="00986396"/>
    <w:rsid w:val="00991D5D"/>
    <w:rsid w:val="0099343C"/>
    <w:rsid w:val="00994756"/>
    <w:rsid w:val="009B7A93"/>
    <w:rsid w:val="009F5464"/>
    <w:rsid w:val="00A304CB"/>
    <w:rsid w:val="00A378BA"/>
    <w:rsid w:val="00A4658E"/>
    <w:rsid w:val="00A94AD4"/>
    <w:rsid w:val="00AA76B3"/>
    <w:rsid w:val="00AB0FA7"/>
    <w:rsid w:val="00AE0046"/>
    <w:rsid w:val="00AF5544"/>
    <w:rsid w:val="00B236C5"/>
    <w:rsid w:val="00B3654A"/>
    <w:rsid w:val="00B5217C"/>
    <w:rsid w:val="00B563EA"/>
    <w:rsid w:val="00B62D1E"/>
    <w:rsid w:val="00B75A54"/>
    <w:rsid w:val="00BC4591"/>
    <w:rsid w:val="00BE5660"/>
    <w:rsid w:val="00BF02C7"/>
    <w:rsid w:val="00C10D18"/>
    <w:rsid w:val="00C21053"/>
    <w:rsid w:val="00C359ED"/>
    <w:rsid w:val="00C36934"/>
    <w:rsid w:val="00C54CEA"/>
    <w:rsid w:val="00C624DC"/>
    <w:rsid w:val="00CC409E"/>
    <w:rsid w:val="00CE1115"/>
    <w:rsid w:val="00CE448F"/>
    <w:rsid w:val="00CF16F2"/>
    <w:rsid w:val="00CF6C55"/>
    <w:rsid w:val="00D23B13"/>
    <w:rsid w:val="00D241A5"/>
    <w:rsid w:val="00D32B11"/>
    <w:rsid w:val="00D94BAB"/>
    <w:rsid w:val="00DC32FB"/>
    <w:rsid w:val="00DE676F"/>
    <w:rsid w:val="00DF5E95"/>
    <w:rsid w:val="00E362D1"/>
    <w:rsid w:val="00E43809"/>
    <w:rsid w:val="00E456B4"/>
    <w:rsid w:val="00E521F0"/>
    <w:rsid w:val="00E579A1"/>
    <w:rsid w:val="00E63706"/>
    <w:rsid w:val="00E6463A"/>
    <w:rsid w:val="00E77CE8"/>
    <w:rsid w:val="00E95C2A"/>
    <w:rsid w:val="00EB774F"/>
    <w:rsid w:val="00EC61A1"/>
    <w:rsid w:val="00EC68FE"/>
    <w:rsid w:val="00EF0B83"/>
    <w:rsid w:val="00EF4919"/>
    <w:rsid w:val="00F17E13"/>
    <w:rsid w:val="00F54A09"/>
    <w:rsid w:val="00F55B7D"/>
    <w:rsid w:val="00F64148"/>
    <w:rsid w:val="00F77D54"/>
    <w:rsid w:val="00F9468E"/>
    <w:rsid w:val="00FA4F8F"/>
    <w:rsid w:val="00FC0D31"/>
    <w:rsid w:val="00FD1B19"/>
    <w:rsid w:val="00FD1FC7"/>
    <w:rsid w:val="00FE79E2"/>
    <w:rsid w:val="00FF26E7"/>
    <w:rsid w:val="04BEF6CD"/>
    <w:rsid w:val="121A436B"/>
    <w:rsid w:val="128B18A6"/>
    <w:rsid w:val="197381A1"/>
    <w:rsid w:val="1C173BCA"/>
    <w:rsid w:val="1C2CFB30"/>
    <w:rsid w:val="20A139C8"/>
    <w:rsid w:val="20DC4730"/>
    <w:rsid w:val="259185A4"/>
    <w:rsid w:val="27B739EA"/>
    <w:rsid w:val="2E70B6BD"/>
    <w:rsid w:val="3200E96D"/>
    <w:rsid w:val="3313D6D8"/>
    <w:rsid w:val="33B0FF25"/>
    <w:rsid w:val="3973F0BF"/>
    <w:rsid w:val="3C608332"/>
    <w:rsid w:val="3E918BB5"/>
    <w:rsid w:val="42EE1200"/>
    <w:rsid w:val="4533D4E2"/>
    <w:rsid w:val="464E4B45"/>
    <w:rsid w:val="4C19A1D2"/>
    <w:rsid w:val="4FB02150"/>
    <w:rsid w:val="5BC1994B"/>
    <w:rsid w:val="5DD666E8"/>
    <w:rsid w:val="5F39D8BD"/>
    <w:rsid w:val="679873B1"/>
    <w:rsid w:val="6963667E"/>
    <w:rsid w:val="6B342CD1"/>
    <w:rsid w:val="6DD6E512"/>
    <w:rsid w:val="70F5569E"/>
    <w:rsid w:val="7F69A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F704E"/>
  <w15:docId w15:val="{FAC9DAE0-7D79-4518-8188-39DBC008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4591"/>
    <w:rPr>
      <w:rFonts w:ascii="Verdana" w:eastAsia="MS Mincho" w:hAnsi="Verdana" w:cs="Times New Roman"/>
      <w:sz w:val="18"/>
      <w:szCs w:val="24"/>
      <w:lang w:val="nl-NL" w:eastAsia="nl-NL"/>
    </w:rPr>
  </w:style>
  <w:style w:type="paragraph" w:styleId="Kop1">
    <w:name w:val="heading 1"/>
    <w:basedOn w:val="Standaard"/>
    <w:next w:val="Standaard"/>
    <w:link w:val="Kop1Char"/>
    <w:uiPriority w:val="9"/>
    <w:qFormat/>
    <w:rsid w:val="00BC45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C4591"/>
    <w:pPr>
      <w:tabs>
        <w:tab w:val="center" w:pos="4536"/>
        <w:tab w:val="right" w:pos="9072"/>
      </w:tabs>
      <w:spacing w:line="240" w:lineRule="auto"/>
    </w:pPr>
    <w:rPr>
      <w:rFonts w:asciiTheme="minorHAnsi" w:eastAsiaTheme="minorHAnsi" w:hAnsiTheme="minorHAnsi" w:cstheme="minorBidi"/>
      <w:sz w:val="22"/>
      <w:szCs w:val="22"/>
      <w:lang w:val="en-US" w:eastAsia="en-US"/>
    </w:rPr>
  </w:style>
  <w:style w:type="character" w:customStyle="1" w:styleId="KoptekstChar">
    <w:name w:val="Koptekst Char"/>
    <w:basedOn w:val="Standaardalinea-lettertype"/>
    <w:link w:val="Koptekst"/>
    <w:uiPriority w:val="99"/>
    <w:rsid w:val="00BC4591"/>
  </w:style>
  <w:style w:type="paragraph" w:styleId="Voettekst">
    <w:name w:val="footer"/>
    <w:basedOn w:val="Standaard"/>
    <w:link w:val="VoettekstChar"/>
    <w:uiPriority w:val="99"/>
    <w:unhideWhenUsed/>
    <w:rsid w:val="00BC4591"/>
    <w:pPr>
      <w:tabs>
        <w:tab w:val="center" w:pos="4536"/>
        <w:tab w:val="right" w:pos="9072"/>
      </w:tabs>
      <w:spacing w:line="240" w:lineRule="auto"/>
    </w:pPr>
    <w:rPr>
      <w:rFonts w:asciiTheme="minorHAnsi" w:eastAsiaTheme="minorHAnsi" w:hAnsiTheme="minorHAnsi" w:cstheme="minorBidi"/>
      <w:sz w:val="22"/>
      <w:szCs w:val="22"/>
      <w:lang w:val="en-US" w:eastAsia="en-US"/>
    </w:rPr>
  </w:style>
  <w:style w:type="character" w:customStyle="1" w:styleId="VoettekstChar">
    <w:name w:val="Voettekst Char"/>
    <w:basedOn w:val="Standaardalinea-lettertype"/>
    <w:link w:val="Voettekst"/>
    <w:uiPriority w:val="99"/>
    <w:rsid w:val="00BC4591"/>
  </w:style>
  <w:style w:type="paragraph" w:styleId="Voetnoottekst">
    <w:name w:val="footnote text"/>
    <w:basedOn w:val="Standaard"/>
    <w:link w:val="VoetnoottekstChar"/>
    <w:uiPriority w:val="99"/>
    <w:semiHidden/>
    <w:rsid w:val="00BC4591"/>
    <w:pPr>
      <w:spacing w:line="260" w:lineRule="atLeast"/>
    </w:pPr>
    <w:rPr>
      <w:rFonts w:ascii="Agrofont" w:hAnsi="Agrofont"/>
      <w:kern w:val="14"/>
      <w:sz w:val="20"/>
      <w:szCs w:val="20"/>
      <w:lang w:eastAsia="en-US"/>
    </w:rPr>
  </w:style>
  <w:style w:type="character" w:customStyle="1" w:styleId="VoetnoottekstChar">
    <w:name w:val="Voetnoottekst Char"/>
    <w:basedOn w:val="Standaardalinea-lettertype"/>
    <w:link w:val="Voetnoottekst"/>
    <w:uiPriority w:val="99"/>
    <w:semiHidden/>
    <w:rsid w:val="00BC4591"/>
    <w:rPr>
      <w:rFonts w:ascii="Agrofont" w:eastAsia="MS Mincho" w:hAnsi="Agrofont" w:cs="Times New Roman"/>
      <w:kern w:val="14"/>
      <w:sz w:val="20"/>
      <w:szCs w:val="20"/>
      <w:lang w:val="nl-NL"/>
    </w:rPr>
  </w:style>
  <w:style w:type="character" w:styleId="Voetnootmarkering">
    <w:name w:val="footnote reference"/>
    <w:uiPriority w:val="99"/>
    <w:semiHidden/>
    <w:rsid w:val="00BC4591"/>
    <w:rPr>
      <w:vertAlign w:val="superscript"/>
    </w:rPr>
  </w:style>
  <w:style w:type="paragraph" w:customStyle="1" w:styleId="Bijlage">
    <w:name w:val="Bijlage"/>
    <w:aliases w:val="Formulier"/>
    <w:basedOn w:val="Kop1"/>
    <w:next w:val="Standaard"/>
    <w:link w:val="BijlageChar"/>
    <w:autoRedefine/>
    <w:rsid w:val="001F6104"/>
    <w:pPr>
      <w:keepLines w:val="0"/>
      <w:spacing w:before="240" w:after="300"/>
    </w:pPr>
    <w:rPr>
      <w:rFonts w:ascii="Verdana" w:eastAsia="MS Mincho" w:hAnsi="Verdana" w:cs="Times New Roman"/>
      <w:color w:val="auto"/>
      <w:kern w:val="32"/>
    </w:rPr>
  </w:style>
  <w:style w:type="character" w:customStyle="1" w:styleId="BijlageChar">
    <w:name w:val="Bijlage Char"/>
    <w:aliases w:val="Formulier Char"/>
    <w:basedOn w:val="Kop1Char"/>
    <w:link w:val="Bijlage"/>
    <w:rsid w:val="001F6104"/>
    <w:rPr>
      <w:rFonts w:ascii="Verdana" w:eastAsia="MS Mincho" w:hAnsi="Verdana" w:cs="Times New Roman"/>
      <w:b/>
      <w:bCs/>
      <w:color w:val="365F91" w:themeColor="accent1" w:themeShade="BF"/>
      <w:kern w:val="32"/>
      <w:sz w:val="28"/>
      <w:szCs w:val="28"/>
      <w:lang w:val="nl-NL" w:eastAsia="nl-NL"/>
    </w:rPr>
  </w:style>
  <w:style w:type="character" w:customStyle="1" w:styleId="Kop1Char">
    <w:name w:val="Kop 1 Char"/>
    <w:basedOn w:val="Standaardalinea-lettertype"/>
    <w:link w:val="Kop1"/>
    <w:uiPriority w:val="9"/>
    <w:rsid w:val="00BC4591"/>
    <w:rPr>
      <w:rFonts w:asciiTheme="majorHAnsi" w:eastAsiaTheme="majorEastAsia" w:hAnsiTheme="majorHAnsi" w:cstheme="majorBidi"/>
      <w:b/>
      <w:bCs/>
      <w:color w:val="365F91" w:themeColor="accent1" w:themeShade="BF"/>
      <w:sz w:val="28"/>
      <w:szCs w:val="28"/>
      <w:lang w:val="nl-NL" w:eastAsia="nl-NL"/>
    </w:rPr>
  </w:style>
  <w:style w:type="table" w:styleId="Tabelraster">
    <w:name w:val="Table Grid"/>
    <w:basedOn w:val="Standaardtabel"/>
    <w:uiPriority w:val="59"/>
    <w:rsid w:val="00075F3B"/>
    <w:pPr>
      <w:spacing w:line="240" w:lineRule="auto"/>
    </w:pPr>
    <w:rPr>
      <w:rFonts w:ascii="Verdana" w:eastAsia="MS Mincho" w:hAnsi="Verdana" w:cs="Times New Roman"/>
      <w:sz w:val="20"/>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075F3B"/>
    <w:pPr>
      <w:ind w:left="720"/>
      <w:contextualSpacing/>
    </w:pPr>
  </w:style>
  <w:style w:type="paragraph" w:styleId="Geenafstand">
    <w:name w:val="No Spacing"/>
    <w:uiPriority w:val="1"/>
    <w:qFormat/>
    <w:rsid w:val="00075F3B"/>
    <w:pPr>
      <w:spacing w:line="240" w:lineRule="auto"/>
    </w:pPr>
    <w:rPr>
      <w:lang w:val="nl-NL"/>
    </w:rPr>
  </w:style>
  <w:style w:type="paragraph" w:styleId="Ballontekst">
    <w:name w:val="Balloon Text"/>
    <w:basedOn w:val="Standaard"/>
    <w:link w:val="BallontekstChar"/>
    <w:uiPriority w:val="99"/>
    <w:semiHidden/>
    <w:unhideWhenUsed/>
    <w:rsid w:val="00FE79E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9E2"/>
    <w:rPr>
      <w:rFonts w:ascii="Tahoma" w:eastAsia="MS Mincho" w:hAnsi="Tahoma" w:cs="Tahoma"/>
      <w:sz w:val="16"/>
      <w:szCs w:val="16"/>
      <w:lang w:val="nl-NL" w:eastAsia="nl-NL"/>
    </w:rPr>
  </w:style>
  <w:style w:type="character" w:styleId="Verwijzingopmerking">
    <w:name w:val="annotation reference"/>
    <w:uiPriority w:val="99"/>
    <w:semiHidden/>
    <w:rsid w:val="0010528D"/>
    <w:rPr>
      <w:sz w:val="16"/>
    </w:rPr>
  </w:style>
  <w:style w:type="paragraph" w:styleId="Tekstopmerking">
    <w:name w:val="annotation text"/>
    <w:basedOn w:val="Standaard"/>
    <w:link w:val="TekstopmerkingChar"/>
    <w:autoRedefine/>
    <w:uiPriority w:val="99"/>
    <w:rsid w:val="00B236C5"/>
    <w:pPr>
      <w:spacing w:line="260" w:lineRule="atLeast"/>
    </w:pPr>
    <w:rPr>
      <w:rFonts w:eastAsia="Times New Roman"/>
      <w:kern w:val="14"/>
      <w:szCs w:val="18"/>
      <w:lang w:eastAsia="en-US"/>
    </w:rPr>
  </w:style>
  <w:style w:type="character" w:customStyle="1" w:styleId="TekstopmerkingChar">
    <w:name w:val="Tekst opmerking Char"/>
    <w:basedOn w:val="Standaardalinea-lettertype"/>
    <w:link w:val="Tekstopmerking"/>
    <w:uiPriority w:val="99"/>
    <w:rsid w:val="00B236C5"/>
    <w:rPr>
      <w:rFonts w:ascii="Verdana" w:eastAsia="Times New Roman" w:hAnsi="Verdana" w:cs="Times New Roman"/>
      <w:kern w:val="14"/>
      <w:sz w:val="18"/>
      <w:szCs w:val="18"/>
      <w:lang w:val="nl-NL"/>
    </w:rPr>
  </w:style>
  <w:style w:type="character" w:customStyle="1" w:styleId="LijstalineaChar">
    <w:name w:val="Lijstalinea Char"/>
    <w:basedOn w:val="Standaardalinea-lettertype"/>
    <w:link w:val="Lijstalinea"/>
    <w:uiPriority w:val="34"/>
    <w:locked/>
    <w:rsid w:val="0010528D"/>
    <w:rPr>
      <w:rFonts w:ascii="Verdana" w:eastAsia="MS Mincho" w:hAnsi="Verdana" w:cs="Times New Roman"/>
      <w:sz w:val="18"/>
      <w:szCs w:val="24"/>
      <w:lang w:val="nl-NL" w:eastAsia="nl-NL"/>
    </w:rPr>
  </w:style>
  <w:style w:type="paragraph" w:styleId="Onderwerpvanopmerking">
    <w:name w:val="annotation subject"/>
    <w:basedOn w:val="Tekstopmerking"/>
    <w:next w:val="Tekstopmerking"/>
    <w:link w:val="OnderwerpvanopmerkingChar"/>
    <w:uiPriority w:val="99"/>
    <w:semiHidden/>
    <w:unhideWhenUsed/>
    <w:rsid w:val="0009790D"/>
    <w:pPr>
      <w:spacing w:line="240" w:lineRule="auto"/>
    </w:pPr>
    <w:rPr>
      <w:rFonts w:eastAsia="MS Mincho"/>
      <w:b/>
      <w:bCs/>
      <w:kern w:val="0"/>
      <w:sz w:val="20"/>
      <w:szCs w:val="20"/>
      <w:lang w:eastAsia="nl-NL"/>
    </w:rPr>
  </w:style>
  <w:style w:type="character" w:customStyle="1" w:styleId="OnderwerpvanopmerkingChar">
    <w:name w:val="Onderwerp van opmerking Char"/>
    <w:basedOn w:val="TekstopmerkingChar"/>
    <w:link w:val="Onderwerpvanopmerking"/>
    <w:uiPriority w:val="99"/>
    <w:semiHidden/>
    <w:rsid w:val="0009790D"/>
    <w:rPr>
      <w:rFonts w:ascii="Verdana" w:eastAsia="MS Mincho" w:hAnsi="Verdana" w:cs="Times New Roman"/>
      <w:b/>
      <w:bCs/>
      <w:kern w:val="14"/>
      <w:sz w:val="20"/>
      <w:szCs w:val="20"/>
      <w:lang w:val="nl-NL" w:eastAsia="nl-NL"/>
    </w:rPr>
  </w:style>
  <w:style w:type="paragraph" w:styleId="Revisie">
    <w:name w:val="Revision"/>
    <w:hidden/>
    <w:uiPriority w:val="99"/>
    <w:semiHidden/>
    <w:rsid w:val="00B236C5"/>
    <w:pPr>
      <w:spacing w:line="240" w:lineRule="auto"/>
    </w:pPr>
    <w:rPr>
      <w:rFonts w:ascii="Verdana" w:eastAsia="MS Mincho" w:hAnsi="Verdana" w:cs="Times New Roman"/>
      <w:sz w:val="18"/>
      <w:szCs w:val="24"/>
      <w:lang w:val="nl-NL" w:eastAsia="nl-NL"/>
    </w:rPr>
  </w:style>
  <w:style w:type="character" w:styleId="Hyperlink">
    <w:name w:val="Hyperlink"/>
    <w:basedOn w:val="Standaardalinea-lettertype"/>
    <w:uiPriority w:val="99"/>
    <w:unhideWhenUsed/>
    <w:rsid w:val="20DC47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4D656A2FF01944A91F62595F5CD97F" ma:contentTypeVersion="3" ma:contentTypeDescription="Een nieuw document maken." ma:contentTypeScope="" ma:versionID="0080bc577b1854d4dd537e8907d1d58c">
  <xsd:schema xmlns:xsd="http://www.w3.org/2001/XMLSchema" xmlns:xs="http://www.w3.org/2001/XMLSchema" xmlns:p="http://schemas.microsoft.com/office/2006/metadata/properties" xmlns:ns2="f40229dc-057d-475f-a80a-83e9bedcddf7" targetNamespace="http://schemas.microsoft.com/office/2006/metadata/properties" ma:root="true" ma:fieldsID="9fb83cf0b0a698bdca9c2b6e822fce07" ns2:_="">
    <xsd:import namespace="f40229dc-057d-475f-a80a-83e9bedcddf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229dc-057d-475f-a80a-83e9bedcdd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D800D2-759C-43BB-9352-AA9839F5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229dc-057d-475f-a80a-83e9bedcd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4C7DF3-31D1-4944-AACC-C7736B4414AB}">
  <ds:schemaRefs>
    <ds:schemaRef ds:uri="http://schemas.openxmlformats.org/officeDocument/2006/bibliography"/>
  </ds:schemaRefs>
</ds:datastoreItem>
</file>

<file path=customXml/itemProps3.xml><?xml version="1.0" encoding="utf-8"?>
<ds:datastoreItem xmlns:ds="http://schemas.openxmlformats.org/officeDocument/2006/customXml" ds:itemID="{125A1978-ACDF-461D-A624-9370107BB2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07F5A7-02A0-402A-A596-95CC0BE6052B}">
  <ds:schemaRefs>
    <ds:schemaRef ds:uri="http://schemas.microsoft.com/sharepoint/v3/contenttype/forms"/>
  </ds:schemaRefs>
</ds:datastoreItem>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LNV</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Konijn, J.A. (John)</dc:creator>
  <cp:lastModifiedBy>Vries - Teong, J.P. de (Jong-Ping)</cp:lastModifiedBy>
  <cp:revision>8</cp:revision>
  <cp:lastPrinted>2022-08-04T11:33:00Z</cp:lastPrinted>
  <dcterms:created xsi:type="dcterms:W3CDTF">2026-04-29T09:06:00Z</dcterms:created>
  <dcterms:modified xsi:type="dcterms:W3CDTF">2026-05-21T21:06:00Z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0x010100DC4D656A2FF01944A91F62595F5CD97F</vt:lpwstr>
  </property>
</Properties>
</file>