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1A79" w14:textId="57DAE00D" w:rsidR="00FB212F" w:rsidRPr="00FB212F" w:rsidRDefault="00FB212F" w:rsidP="00FB212F">
      <w:pPr>
        <w:spacing w:after="0" w:line="240" w:lineRule="auto"/>
        <w:textAlignment w:val="baseline"/>
        <w:rPr>
          <w:rFonts w:eastAsia="Times New Roman" w:cs="Segoe UI"/>
          <w:i/>
          <w:iCs/>
          <w:color w:val="007A4B"/>
          <w:sz w:val="24"/>
          <w:szCs w:val="24"/>
          <w:lang w:eastAsia="nl-NL"/>
        </w:rPr>
      </w:pPr>
      <w:r w:rsidRPr="00DA32D7">
        <w:rPr>
          <w:rFonts w:eastAsia="Times New Roman" w:cs="Segoe UI"/>
          <w:i/>
          <w:iCs/>
          <w:color w:val="007A4B"/>
          <w:sz w:val="24"/>
          <w:szCs w:val="24"/>
          <w:lang w:eastAsia="nl-NL"/>
        </w:rPr>
        <w:t>B</w:t>
      </w:r>
      <w:r w:rsidRPr="00FB212F">
        <w:rPr>
          <w:rFonts w:eastAsia="Times New Roman" w:cs="Segoe UI"/>
          <w:i/>
          <w:iCs/>
          <w:color w:val="007A4B"/>
          <w:sz w:val="24"/>
          <w:szCs w:val="24"/>
          <w:lang w:eastAsia="nl-NL"/>
        </w:rPr>
        <w:t>ijlage 4: Programma van eisen Sociale basis </w:t>
      </w:r>
    </w:p>
    <w:p w14:paraId="25C85C44" w14:textId="77777777" w:rsid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 </w:t>
      </w:r>
    </w:p>
    <w:p w14:paraId="2CB8F8B9" w14:textId="77777777" w:rsidR="00DA32D7" w:rsidRPr="00FB212F" w:rsidRDefault="00DA32D7" w:rsidP="00FB212F">
      <w:pPr>
        <w:spacing w:after="0" w:line="240" w:lineRule="auto"/>
        <w:textAlignment w:val="baseline"/>
        <w:rPr>
          <w:rFonts w:eastAsia="Times New Roman" w:cs="Segoe UI"/>
          <w:lang w:eastAsia="nl-NL"/>
        </w:rPr>
      </w:pPr>
    </w:p>
    <w:p w14:paraId="3CA7124B" w14:textId="77777777" w:rsidR="00DA32D7" w:rsidRDefault="00DA32D7" w:rsidP="00FB212F">
      <w:pPr>
        <w:spacing w:after="0" w:line="240" w:lineRule="auto"/>
        <w:textAlignment w:val="baseline"/>
        <w:rPr>
          <w:rFonts w:eastAsia="Times New Roman" w:cs="Segoe UI"/>
          <w:lang w:eastAsia="nl-NL"/>
        </w:rPr>
      </w:pPr>
    </w:p>
    <w:p w14:paraId="12885B0C" w14:textId="285AC0E6"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De inschrijver dient deze bijlage ingevuld bij de inschrijving te voegen, zodat gecontroleerd kan worden of de inschrijver aan deze eisen voldoet.  </w:t>
      </w:r>
    </w:p>
    <w:p w14:paraId="141993A2"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 </w:t>
      </w:r>
    </w:p>
    <w:p w14:paraId="34417123"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Aan de inschrijver wordt een aantal minimumeisen gesteld door de Opdrachtgever. Deze eisen hebben betrekking op de integriteit van de instelling, de professionaliteit en deskundigheid van medewerkers en de uitvoering van de opdracht.  </w:t>
      </w:r>
    </w:p>
    <w:p w14:paraId="4D9E29E6"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 </w:t>
      </w:r>
    </w:p>
    <w:p w14:paraId="47BA42C2"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De inschrijver dient zonder voorbehoud akkoord te gaan met de onderstaande eisen. Wanneer de inschrijver niet akkoord gaat met (een onderdeel van) een eis kan dit leiden tot uitsluiting van de verdere procedure.  </w:t>
      </w:r>
    </w:p>
    <w:p w14:paraId="4F9FDD06"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 </w:t>
      </w:r>
    </w:p>
    <w:p w14:paraId="42EF1322" w14:textId="77777777" w:rsidR="00FB212F" w:rsidRP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De toelichting op een eis is optioneel. Wanneer de inschrijver gebruik maakt van de mogelijkheid een toelichting te geven, dient inschrijver ervoor te waken dat de toelichting geen strijdigheid met de gestelde eis bevat. Een toelichting mag op straffe van ongeldigheid van de inschrijving niet afdoen aan het onvoorwaardelijke karakter van de akkoordverklaring.  </w:t>
      </w:r>
    </w:p>
    <w:p w14:paraId="68BDE507" w14:textId="77777777" w:rsidR="00FB212F" w:rsidRDefault="00FB212F" w:rsidP="00FB212F">
      <w:pPr>
        <w:spacing w:after="0" w:line="240" w:lineRule="auto"/>
        <w:textAlignment w:val="baseline"/>
        <w:rPr>
          <w:rFonts w:eastAsia="Times New Roman" w:cs="Segoe UI"/>
          <w:lang w:eastAsia="nl-NL"/>
        </w:rPr>
      </w:pPr>
      <w:r w:rsidRPr="00FB212F">
        <w:rPr>
          <w:rFonts w:eastAsia="Times New Roman" w:cs="Segoe UI"/>
          <w:lang w:eastAsia="nl-NL"/>
        </w:rPr>
        <w:t> </w:t>
      </w:r>
    </w:p>
    <w:p w14:paraId="0C07F550" w14:textId="77777777" w:rsidR="00DA32D7" w:rsidRPr="00FB212F" w:rsidRDefault="00DA32D7" w:rsidP="00FB212F">
      <w:pPr>
        <w:spacing w:after="0" w:line="240" w:lineRule="auto"/>
        <w:textAlignment w:val="baseline"/>
        <w:rPr>
          <w:rFonts w:eastAsia="Times New Roman" w:cs="Segoe UI"/>
          <w:lang w:eastAsia="nl-NL"/>
        </w:rPr>
      </w:pPr>
    </w:p>
    <w:tbl>
      <w:tblPr>
        <w:tblW w:w="91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7365"/>
        <w:gridCol w:w="901"/>
        <w:gridCol w:w="1053"/>
      </w:tblGrid>
      <w:tr w:rsidR="00FB212F" w:rsidRPr="00FB212F" w14:paraId="00094E97"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shd w:val="clear" w:color="auto" w:fill="277778"/>
            <w:hideMark/>
          </w:tcPr>
          <w:p w14:paraId="58082A0A" w14:textId="77777777" w:rsidR="00FB212F" w:rsidRPr="00FB212F" w:rsidRDefault="00FB212F" w:rsidP="00844A17">
            <w:pPr>
              <w:tabs>
                <w:tab w:val="left" w:pos="193"/>
              </w:tabs>
              <w:spacing w:after="0" w:line="240" w:lineRule="auto"/>
              <w:textAlignment w:val="baseline"/>
              <w:rPr>
                <w:rFonts w:eastAsia="Times New Roman" w:cs="Times New Roman"/>
                <w:color w:val="F5F5F5"/>
                <w:lang w:eastAsia="nl-NL"/>
              </w:rPr>
            </w:pPr>
            <w:r w:rsidRPr="00FB212F">
              <w:rPr>
                <w:rFonts w:eastAsia="Times New Roman" w:cs="Times New Roman"/>
                <w:color w:val="FFFFFF"/>
                <w:lang w:eastAsia="nl-NL"/>
              </w:rPr>
              <w:t>Nummer </w:t>
            </w:r>
          </w:p>
        </w:tc>
        <w:tc>
          <w:tcPr>
            <w:tcW w:w="6552" w:type="dxa"/>
            <w:tcBorders>
              <w:top w:val="single" w:sz="6" w:space="0" w:color="auto"/>
              <w:left w:val="single" w:sz="6" w:space="0" w:color="auto"/>
              <w:bottom w:val="single" w:sz="6" w:space="0" w:color="auto"/>
              <w:right w:val="single" w:sz="6" w:space="0" w:color="auto"/>
            </w:tcBorders>
            <w:shd w:val="clear" w:color="auto" w:fill="277778"/>
            <w:hideMark/>
          </w:tcPr>
          <w:p w14:paraId="4C419C12" w14:textId="77777777" w:rsidR="00FB212F" w:rsidRPr="00FB212F" w:rsidRDefault="00FB212F" w:rsidP="00FB212F">
            <w:pPr>
              <w:spacing w:after="0" w:line="240" w:lineRule="auto"/>
              <w:textAlignment w:val="baseline"/>
              <w:rPr>
                <w:rFonts w:eastAsia="Times New Roman" w:cs="Times New Roman"/>
                <w:color w:val="F5F5F5"/>
                <w:lang w:eastAsia="nl-NL"/>
              </w:rPr>
            </w:pPr>
            <w:r w:rsidRPr="00FB212F">
              <w:rPr>
                <w:rFonts w:eastAsia="Times New Roman" w:cs="Times New Roman"/>
                <w:color w:val="FFFFFF"/>
                <w:lang w:eastAsia="nl-NL"/>
              </w:rPr>
              <w:t>Eis </w:t>
            </w:r>
          </w:p>
        </w:tc>
        <w:tc>
          <w:tcPr>
            <w:tcW w:w="800" w:type="dxa"/>
            <w:tcBorders>
              <w:top w:val="single" w:sz="6" w:space="0" w:color="auto"/>
              <w:left w:val="single" w:sz="6" w:space="0" w:color="auto"/>
              <w:bottom w:val="single" w:sz="6" w:space="0" w:color="auto"/>
              <w:right w:val="single" w:sz="6" w:space="0" w:color="auto"/>
            </w:tcBorders>
            <w:shd w:val="clear" w:color="auto" w:fill="277778"/>
            <w:hideMark/>
          </w:tcPr>
          <w:p w14:paraId="0C0D4199" w14:textId="77777777" w:rsidR="00FB212F" w:rsidRPr="00FB212F" w:rsidRDefault="00FB212F" w:rsidP="00FB212F">
            <w:pPr>
              <w:spacing w:after="0" w:line="240" w:lineRule="auto"/>
              <w:textAlignment w:val="baseline"/>
              <w:rPr>
                <w:rFonts w:eastAsia="Times New Roman" w:cs="Times New Roman"/>
                <w:color w:val="F5F5F5"/>
                <w:lang w:eastAsia="nl-NL"/>
              </w:rPr>
            </w:pPr>
            <w:r w:rsidRPr="00FB212F">
              <w:rPr>
                <w:rFonts w:eastAsia="Times New Roman" w:cs="Times New Roman"/>
                <w:color w:val="FFFFFF"/>
                <w:lang w:eastAsia="nl-NL"/>
              </w:rPr>
              <w:t>Akkoord? </w:t>
            </w:r>
          </w:p>
        </w:tc>
        <w:tc>
          <w:tcPr>
            <w:tcW w:w="939" w:type="dxa"/>
            <w:tcBorders>
              <w:top w:val="single" w:sz="6" w:space="0" w:color="auto"/>
              <w:left w:val="single" w:sz="6" w:space="0" w:color="auto"/>
              <w:bottom w:val="single" w:sz="6" w:space="0" w:color="auto"/>
              <w:right w:val="single" w:sz="6" w:space="0" w:color="auto"/>
            </w:tcBorders>
            <w:shd w:val="clear" w:color="auto" w:fill="277778"/>
            <w:hideMark/>
          </w:tcPr>
          <w:p w14:paraId="739A4300" w14:textId="77777777" w:rsidR="00FB212F" w:rsidRPr="00FB212F" w:rsidRDefault="00FB212F" w:rsidP="00FB212F">
            <w:pPr>
              <w:spacing w:after="0" w:line="240" w:lineRule="auto"/>
              <w:textAlignment w:val="baseline"/>
              <w:rPr>
                <w:rFonts w:eastAsia="Times New Roman" w:cs="Times New Roman"/>
                <w:color w:val="F5F5F5"/>
                <w:lang w:eastAsia="nl-NL"/>
              </w:rPr>
            </w:pPr>
            <w:r w:rsidRPr="00FB212F">
              <w:rPr>
                <w:rFonts w:eastAsia="Times New Roman" w:cs="Times New Roman"/>
                <w:color w:val="FFFFFF"/>
                <w:lang w:eastAsia="nl-NL"/>
              </w:rPr>
              <w:t>Toelichting </w:t>
            </w:r>
          </w:p>
        </w:tc>
      </w:tr>
      <w:tr w:rsidR="00FB212F" w:rsidRPr="00FB212F" w14:paraId="367023E2"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shd w:val="clear" w:color="auto" w:fill="78D2D3"/>
            <w:hideMark/>
          </w:tcPr>
          <w:p w14:paraId="0018A670" w14:textId="77777777" w:rsidR="00FB212F" w:rsidRPr="00FB212F" w:rsidRDefault="00FB212F" w:rsidP="00844A17">
            <w:pPr>
              <w:tabs>
                <w:tab w:val="left" w:pos="193"/>
              </w:tabs>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shd w:val="clear" w:color="auto" w:fill="78D2D3"/>
            <w:hideMark/>
          </w:tcPr>
          <w:p w14:paraId="4CB5D747"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800" w:type="dxa"/>
            <w:tcBorders>
              <w:top w:val="single" w:sz="6" w:space="0" w:color="auto"/>
              <w:left w:val="single" w:sz="6" w:space="0" w:color="auto"/>
              <w:bottom w:val="single" w:sz="6" w:space="0" w:color="auto"/>
              <w:right w:val="single" w:sz="6" w:space="0" w:color="auto"/>
            </w:tcBorders>
            <w:shd w:val="clear" w:color="auto" w:fill="78D2D3"/>
            <w:hideMark/>
          </w:tcPr>
          <w:p w14:paraId="771095F3" w14:textId="77777777" w:rsidR="00FB212F" w:rsidRPr="00FB212F" w:rsidRDefault="00FB212F" w:rsidP="00FB212F">
            <w:pPr>
              <w:spacing w:after="0" w:line="240" w:lineRule="auto"/>
              <w:textAlignment w:val="baseline"/>
              <w:rPr>
                <w:rFonts w:eastAsia="Times New Roman" w:cs="Times New Roman"/>
                <w:b/>
                <w:bCs/>
                <w:lang w:eastAsia="nl-NL"/>
              </w:rPr>
            </w:pPr>
            <w:r w:rsidRPr="00FB212F">
              <w:rPr>
                <w:rFonts w:eastAsia="Times New Roman" w:cs="Times New Roman"/>
                <w:b/>
                <w:bCs/>
                <w:color w:val="FFFFFF"/>
                <w:lang w:eastAsia="nl-NL"/>
              </w:rPr>
              <w:t>(ja/nee) </w:t>
            </w:r>
          </w:p>
        </w:tc>
        <w:tc>
          <w:tcPr>
            <w:tcW w:w="939" w:type="dxa"/>
            <w:tcBorders>
              <w:top w:val="single" w:sz="6" w:space="0" w:color="auto"/>
              <w:left w:val="single" w:sz="6" w:space="0" w:color="auto"/>
              <w:bottom w:val="single" w:sz="6" w:space="0" w:color="auto"/>
              <w:right w:val="single" w:sz="6" w:space="0" w:color="auto"/>
            </w:tcBorders>
            <w:shd w:val="clear" w:color="auto" w:fill="78D2D3"/>
            <w:hideMark/>
          </w:tcPr>
          <w:p w14:paraId="525588D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102C3934" w14:textId="77777777" w:rsidTr="008D7801">
        <w:trPr>
          <w:trHeight w:val="300"/>
          <w:jc w:val="center"/>
        </w:trPr>
        <w:tc>
          <w:tcPr>
            <w:tcW w:w="9135" w:type="dxa"/>
            <w:gridSpan w:val="4"/>
            <w:tcBorders>
              <w:top w:val="single" w:sz="6" w:space="0" w:color="auto"/>
              <w:left w:val="single" w:sz="6" w:space="0" w:color="auto"/>
              <w:bottom w:val="single" w:sz="6" w:space="0" w:color="auto"/>
              <w:right w:val="single" w:sz="6" w:space="0" w:color="auto"/>
            </w:tcBorders>
            <w:hideMark/>
          </w:tcPr>
          <w:p w14:paraId="071D6547" w14:textId="77777777" w:rsidR="00FB212F" w:rsidRPr="00FB212F" w:rsidRDefault="00FB212F" w:rsidP="00844A17">
            <w:pPr>
              <w:tabs>
                <w:tab w:val="left" w:pos="193"/>
              </w:tabs>
              <w:spacing w:after="0" w:line="240" w:lineRule="auto"/>
              <w:textAlignment w:val="baseline"/>
              <w:rPr>
                <w:rFonts w:eastAsia="Times New Roman" w:cs="Times New Roman"/>
                <w:b/>
                <w:bCs/>
                <w:lang w:eastAsia="nl-NL"/>
              </w:rPr>
            </w:pPr>
            <w:r w:rsidRPr="00FB212F">
              <w:rPr>
                <w:rFonts w:eastAsia="Times New Roman" w:cs="Times New Roman"/>
                <w:b/>
                <w:bCs/>
                <w:lang w:eastAsia="nl-NL"/>
              </w:rPr>
              <w:t>Algemeen </w:t>
            </w:r>
          </w:p>
          <w:p w14:paraId="0DC315E9" w14:textId="77777777" w:rsidR="00FB212F" w:rsidRPr="00FB212F" w:rsidRDefault="00FB212F" w:rsidP="00844A17">
            <w:pPr>
              <w:tabs>
                <w:tab w:val="left" w:pos="193"/>
              </w:tabs>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3308318"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0B9B4427" w14:textId="77777777" w:rsidR="00FB212F" w:rsidRPr="00FB212F" w:rsidRDefault="00FB212F" w:rsidP="00844A17">
            <w:pPr>
              <w:numPr>
                <w:ilvl w:val="0"/>
                <w:numId w:val="1"/>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5E9251D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onderschrijft en wil mede uitvoering geven aan onze visie voor het sociaal domein ‘Naar het hart van de beweging’.  </w:t>
            </w:r>
          </w:p>
        </w:tc>
        <w:tc>
          <w:tcPr>
            <w:tcW w:w="800" w:type="dxa"/>
            <w:tcBorders>
              <w:top w:val="single" w:sz="6" w:space="0" w:color="auto"/>
              <w:left w:val="single" w:sz="6" w:space="0" w:color="auto"/>
              <w:bottom w:val="single" w:sz="6" w:space="0" w:color="auto"/>
              <w:right w:val="single" w:sz="6" w:space="0" w:color="auto"/>
            </w:tcBorders>
            <w:hideMark/>
          </w:tcPr>
          <w:p w14:paraId="2E5AEF30"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7196D9D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0FE3FB70"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37221626" w14:textId="77777777" w:rsidR="00FB212F" w:rsidRPr="00FB212F" w:rsidRDefault="00FB212F" w:rsidP="00844A17">
            <w:pPr>
              <w:numPr>
                <w:ilvl w:val="0"/>
                <w:numId w:val="2"/>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31B86EE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is bereid met Opdrachtgever en overige partners zoals scholen, </w:t>
            </w:r>
            <w:proofErr w:type="spellStart"/>
            <w:r w:rsidRPr="00FB212F">
              <w:rPr>
                <w:rFonts w:eastAsia="Times New Roman" w:cs="Times New Roman"/>
                <w:lang w:eastAsia="nl-NL"/>
              </w:rPr>
              <w:t>Wmo</w:t>
            </w:r>
            <w:proofErr w:type="spellEnd"/>
            <w:r w:rsidRPr="00FB212F">
              <w:rPr>
                <w:rFonts w:eastAsia="Times New Roman" w:cs="Times New Roman"/>
                <w:lang w:eastAsia="nl-NL"/>
              </w:rPr>
              <w:t>-consulenten, Samen Sterker Thuis professionals, Buurtzorg Jong, consulenten schuldhulpverlening, inkomens- en loopbaanbegeleiders (STOER), consulenten inburgering, zorgaanbieders, huisartsen, verenigingen en inwonerinitiatieven aantoonbaar te werken aan integrale samenwerking in de ondersteuning van en de zorg voor inwoners.  </w:t>
            </w:r>
          </w:p>
        </w:tc>
        <w:tc>
          <w:tcPr>
            <w:tcW w:w="800" w:type="dxa"/>
            <w:tcBorders>
              <w:top w:val="single" w:sz="6" w:space="0" w:color="auto"/>
              <w:left w:val="single" w:sz="6" w:space="0" w:color="auto"/>
              <w:bottom w:val="single" w:sz="6" w:space="0" w:color="auto"/>
              <w:right w:val="single" w:sz="6" w:space="0" w:color="auto"/>
            </w:tcBorders>
            <w:hideMark/>
          </w:tcPr>
          <w:p w14:paraId="0B831EC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4040C57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30D175E"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3831BAAD" w14:textId="77777777" w:rsidR="00FB212F" w:rsidRPr="00FB212F" w:rsidRDefault="00FB212F" w:rsidP="00844A17">
            <w:pPr>
              <w:numPr>
                <w:ilvl w:val="0"/>
                <w:numId w:val="3"/>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66D34128"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is bereid hiertoe zijn kantoorlocatie (bureauwerkplekken voor medewerkers) te vestigen aan de Frank </w:t>
            </w:r>
            <w:proofErr w:type="spellStart"/>
            <w:r w:rsidRPr="00FB212F">
              <w:rPr>
                <w:rFonts w:eastAsia="Times New Roman" w:cs="Times New Roman"/>
                <w:lang w:eastAsia="nl-NL"/>
              </w:rPr>
              <w:t>Daamenstraat</w:t>
            </w:r>
            <w:proofErr w:type="spellEnd"/>
            <w:r w:rsidRPr="00FB212F">
              <w:rPr>
                <w:rFonts w:eastAsia="Times New Roman" w:cs="Times New Roman"/>
                <w:lang w:eastAsia="nl-NL"/>
              </w:rPr>
              <w:t> 4 in Ulft en hiervoor een huurovereenkomst af te sluiten met de gemeente als eigenaar van het pand. De prijs per m2 en/of per flexibele werkplek wordt op dit moment nog uitgewerkt waarbij de markt en bestaande huurprijzen van vergelijkbare partners en locaties als referentie dienen. Uw inschatting van het benodigd aantal m2 en/of werkplekken is leidend voor de huurovereenkomst. Belang van de huisvesting in dit pand zit in de korte lijnen en de samenwerking met de gemeentelijke medewerker en andere zorgpartners in het sociaal domein.   </w:t>
            </w:r>
          </w:p>
        </w:tc>
        <w:tc>
          <w:tcPr>
            <w:tcW w:w="800" w:type="dxa"/>
            <w:tcBorders>
              <w:top w:val="single" w:sz="6" w:space="0" w:color="auto"/>
              <w:left w:val="single" w:sz="6" w:space="0" w:color="auto"/>
              <w:bottom w:val="single" w:sz="6" w:space="0" w:color="auto"/>
              <w:right w:val="single" w:sz="6" w:space="0" w:color="auto"/>
            </w:tcBorders>
            <w:hideMark/>
          </w:tcPr>
          <w:p w14:paraId="51779238"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73313D6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3C4CBD34"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68465CAB" w14:textId="77777777" w:rsidR="00FB212F" w:rsidRPr="00FB212F" w:rsidRDefault="00FB212F" w:rsidP="00844A17">
            <w:pPr>
              <w:numPr>
                <w:ilvl w:val="0"/>
                <w:numId w:val="4"/>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6E5DFF0F" w14:textId="7AE0AC1C"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is in staat en verplicht zich om de werkzaamheden zoals omschreven in hoofdstuk 1 van de inschrijvingsleidraad Sociale basis, adequaat uit te voeren conform het gestelde in deze leidraad.   </w:t>
            </w:r>
          </w:p>
        </w:tc>
        <w:tc>
          <w:tcPr>
            <w:tcW w:w="800" w:type="dxa"/>
            <w:tcBorders>
              <w:top w:val="single" w:sz="6" w:space="0" w:color="auto"/>
              <w:left w:val="single" w:sz="6" w:space="0" w:color="auto"/>
              <w:bottom w:val="single" w:sz="6" w:space="0" w:color="auto"/>
              <w:right w:val="single" w:sz="6" w:space="0" w:color="auto"/>
            </w:tcBorders>
            <w:hideMark/>
          </w:tcPr>
          <w:p w14:paraId="270ED4B7"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7F034A77"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2A4B6A90"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67034509" w14:textId="77777777" w:rsidR="00FB212F" w:rsidRPr="00FB212F" w:rsidRDefault="00FB212F" w:rsidP="00844A17">
            <w:pPr>
              <w:numPr>
                <w:ilvl w:val="0"/>
                <w:numId w:val="5"/>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037C5F9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hanteert voor het in te zetten personeel in loondienst de van toepassing zijnde CAO.  </w:t>
            </w:r>
          </w:p>
        </w:tc>
        <w:tc>
          <w:tcPr>
            <w:tcW w:w="800" w:type="dxa"/>
            <w:tcBorders>
              <w:top w:val="single" w:sz="6" w:space="0" w:color="auto"/>
              <w:left w:val="single" w:sz="6" w:space="0" w:color="auto"/>
              <w:bottom w:val="single" w:sz="6" w:space="0" w:color="auto"/>
              <w:right w:val="single" w:sz="6" w:space="0" w:color="auto"/>
            </w:tcBorders>
            <w:hideMark/>
          </w:tcPr>
          <w:p w14:paraId="556CA86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448480B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1F97E7AB" w14:textId="77777777" w:rsidTr="008D7801">
        <w:trPr>
          <w:trHeight w:val="300"/>
          <w:jc w:val="center"/>
        </w:trPr>
        <w:tc>
          <w:tcPr>
            <w:tcW w:w="9135" w:type="dxa"/>
            <w:gridSpan w:val="4"/>
            <w:tcBorders>
              <w:top w:val="single" w:sz="6" w:space="0" w:color="auto"/>
              <w:left w:val="single" w:sz="6" w:space="0" w:color="auto"/>
              <w:bottom w:val="single" w:sz="6" w:space="0" w:color="auto"/>
              <w:right w:val="single" w:sz="6" w:space="0" w:color="auto"/>
            </w:tcBorders>
            <w:hideMark/>
          </w:tcPr>
          <w:p w14:paraId="2A43EDFB" w14:textId="77777777" w:rsidR="00FB212F" w:rsidRPr="00FB212F" w:rsidRDefault="00FB212F" w:rsidP="00844A17">
            <w:pPr>
              <w:tabs>
                <w:tab w:val="left" w:pos="193"/>
              </w:tabs>
              <w:spacing w:after="0" w:line="240" w:lineRule="auto"/>
              <w:textAlignment w:val="baseline"/>
              <w:rPr>
                <w:rFonts w:eastAsia="Times New Roman" w:cs="Times New Roman"/>
                <w:b/>
                <w:bCs/>
                <w:lang w:eastAsia="nl-NL"/>
              </w:rPr>
            </w:pPr>
            <w:r w:rsidRPr="00FB212F">
              <w:rPr>
                <w:rFonts w:eastAsia="Times New Roman" w:cs="Times New Roman"/>
                <w:b/>
                <w:bCs/>
                <w:lang w:eastAsia="nl-NL"/>
              </w:rPr>
              <w:t>Wet en regelgeving </w:t>
            </w:r>
          </w:p>
          <w:p w14:paraId="0B0D7D98" w14:textId="77777777" w:rsidR="00FB212F" w:rsidRPr="00FB212F" w:rsidRDefault="00FB212F" w:rsidP="00844A17">
            <w:pPr>
              <w:tabs>
                <w:tab w:val="left" w:pos="193"/>
              </w:tabs>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3934E623"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219F4E7C" w14:textId="77777777" w:rsidR="00FB212F" w:rsidRPr="00FB212F" w:rsidRDefault="00FB212F" w:rsidP="00844A17">
            <w:pPr>
              <w:numPr>
                <w:ilvl w:val="0"/>
                <w:numId w:val="6"/>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7792A9D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voldoet aan alle wet- en regelgeving waar hij als dienstverlener in het sociaal domein aan dient te voldoen.  </w:t>
            </w:r>
          </w:p>
          <w:p w14:paraId="508A58D3"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667E67A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800" w:type="dxa"/>
            <w:tcBorders>
              <w:top w:val="single" w:sz="6" w:space="0" w:color="auto"/>
              <w:left w:val="single" w:sz="6" w:space="0" w:color="auto"/>
              <w:bottom w:val="single" w:sz="6" w:space="0" w:color="auto"/>
              <w:right w:val="single" w:sz="6" w:space="0" w:color="auto"/>
            </w:tcBorders>
            <w:hideMark/>
          </w:tcPr>
          <w:p w14:paraId="1A5B32B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7B516B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0777D254" w14:textId="77777777" w:rsidTr="008D7801">
        <w:trPr>
          <w:trHeight w:val="300"/>
          <w:jc w:val="center"/>
        </w:trPr>
        <w:tc>
          <w:tcPr>
            <w:tcW w:w="9135" w:type="dxa"/>
            <w:gridSpan w:val="4"/>
            <w:tcBorders>
              <w:top w:val="single" w:sz="6" w:space="0" w:color="auto"/>
              <w:left w:val="single" w:sz="6" w:space="0" w:color="auto"/>
              <w:bottom w:val="single" w:sz="6" w:space="0" w:color="auto"/>
              <w:right w:val="single" w:sz="6" w:space="0" w:color="auto"/>
            </w:tcBorders>
            <w:hideMark/>
          </w:tcPr>
          <w:p w14:paraId="3D6D9206" w14:textId="77777777" w:rsidR="00FB212F" w:rsidRPr="00FB212F" w:rsidRDefault="00FB212F" w:rsidP="00844A17">
            <w:pPr>
              <w:tabs>
                <w:tab w:val="left" w:pos="193"/>
              </w:tabs>
              <w:spacing w:after="0" w:line="240" w:lineRule="auto"/>
              <w:textAlignment w:val="baseline"/>
              <w:rPr>
                <w:rFonts w:eastAsia="Times New Roman" w:cs="Times New Roman"/>
                <w:b/>
                <w:bCs/>
                <w:lang w:eastAsia="nl-NL"/>
              </w:rPr>
            </w:pPr>
            <w:r w:rsidRPr="00FB212F">
              <w:rPr>
                <w:rFonts w:eastAsia="Times New Roman" w:cs="Times New Roman"/>
                <w:b/>
                <w:bCs/>
                <w:lang w:eastAsia="nl-NL"/>
              </w:rPr>
              <w:lastRenderedPageBreak/>
              <w:t>Eisen aan de organisatie </w:t>
            </w:r>
          </w:p>
          <w:p w14:paraId="2F87CAB2" w14:textId="77777777" w:rsidR="00FB212F" w:rsidRPr="00FB212F" w:rsidRDefault="00FB212F" w:rsidP="00844A17">
            <w:pPr>
              <w:tabs>
                <w:tab w:val="left" w:pos="193"/>
              </w:tabs>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688D941F"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ACC94D1" w14:textId="77777777" w:rsidR="00FB212F" w:rsidRPr="00FB212F" w:rsidRDefault="00FB212F" w:rsidP="00844A17">
            <w:pPr>
              <w:numPr>
                <w:ilvl w:val="0"/>
                <w:numId w:val="7"/>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3575E78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geeft toestemming aan opdrachtgever om naam, vestigingsplaats, contactgegevens en website van de opdrachtnemer te publiceren op de website van opdrachtgever.  </w:t>
            </w:r>
          </w:p>
        </w:tc>
        <w:tc>
          <w:tcPr>
            <w:tcW w:w="800" w:type="dxa"/>
            <w:tcBorders>
              <w:top w:val="single" w:sz="6" w:space="0" w:color="auto"/>
              <w:left w:val="single" w:sz="6" w:space="0" w:color="auto"/>
              <w:bottom w:val="single" w:sz="6" w:space="0" w:color="auto"/>
              <w:right w:val="single" w:sz="6" w:space="0" w:color="auto"/>
            </w:tcBorders>
            <w:hideMark/>
          </w:tcPr>
          <w:p w14:paraId="073FD21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66C01C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2EBD30EE"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A785F20" w14:textId="77777777" w:rsidR="00FB212F" w:rsidRPr="00FB212F" w:rsidRDefault="00FB212F" w:rsidP="00844A17">
            <w:pPr>
              <w:numPr>
                <w:ilvl w:val="0"/>
                <w:numId w:val="8"/>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16E61DC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draagt zorg voor zorgvuldige uitwisseling van gegevens. De wederzijds verstrekte en verwerkte informatie ten aanzien van persoonsgegevens wordt niet voor andere doeleinden gebruikt dan die passen in de doelstellingen van de onderhavige opdracht.  </w:t>
            </w:r>
          </w:p>
        </w:tc>
        <w:tc>
          <w:tcPr>
            <w:tcW w:w="800" w:type="dxa"/>
            <w:tcBorders>
              <w:top w:val="single" w:sz="6" w:space="0" w:color="auto"/>
              <w:left w:val="single" w:sz="6" w:space="0" w:color="auto"/>
              <w:bottom w:val="single" w:sz="6" w:space="0" w:color="auto"/>
              <w:right w:val="single" w:sz="6" w:space="0" w:color="auto"/>
            </w:tcBorders>
            <w:hideMark/>
          </w:tcPr>
          <w:p w14:paraId="1510216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26DE06F2"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6569422D"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2B0AEB16" w14:textId="77777777" w:rsidR="00FB212F" w:rsidRPr="00FB212F" w:rsidRDefault="00FB212F" w:rsidP="00844A17">
            <w:pPr>
              <w:numPr>
                <w:ilvl w:val="0"/>
                <w:numId w:val="9"/>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5CE96F8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en Opdrachtgever verwerken persoonsgegevens uitsluitend voor zover dit noodzakelijk is voor de totstandkoming en uitvoering van de opdracht. </w:t>
            </w:r>
          </w:p>
        </w:tc>
        <w:tc>
          <w:tcPr>
            <w:tcW w:w="800" w:type="dxa"/>
            <w:tcBorders>
              <w:top w:val="single" w:sz="6" w:space="0" w:color="auto"/>
              <w:left w:val="single" w:sz="6" w:space="0" w:color="auto"/>
              <w:bottom w:val="single" w:sz="6" w:space="0" w:color="auto"/>
              <w:right w:val="single" w:sz="6" w:space="0" w:color="auto"/>
            </w:tcBorders>
            <w:hideMark/>
          </w:tcPr>
          <w:p w14:paraId="026955C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1E0CA02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9DB5E28"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21C9DCE" w14:textId="77777777" w:rsidR="00FB212F" w:rsidRPr="00FB212F" w:rsidRDefault="00FB212F" w:rsidP="00844A17">
            <w:pPr>
              <w:numPr>
                <w:ilvl w:val="0"/>
                <w:numId w:val="10"/>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6EDE9910"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is verplicht tijdens de looptijd alle reorganisaties, verandertrajecten en andere grote organisatorische wijzigingen voorafgaand aan de Opdrachtgever te melden en vermelden welke maatregelen worden genomen om mogelijke problemen in de uitvoering van de opdracht sociale basis te voorkomen. Dit geldt eveneens voor dreigende financiële problemen.  </w:t>
            </w:r>
          </w:p>
        </w:tc>
        <w:tc>
          <w:tcPr>
            <w:tcW w:w="800" w:type="dxa"/>
            <w:tcBorders>
              <w:top w:val="single" w:sz="6" w:space="0" w:color="auto"/>
              <w:left w:val="single" w:sz="6" w:space="0" w:color="auto"/>
              <w:bottom w:val="single" w:sz="6" w:space="0" w:color="auto"/>
              <w:right w:val="single" w:sz="6" w:space="0" w:color="auto"/>
            </w:tcBorders>
            <w:hideMark/>
          </w:tcPr>
          <w:p w14:paraId="6CA2E19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FB625F7"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05AFB09A"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7FB7EDCF" w14:textId="77777777" w:rsidR="00FB212F" w:rsidRPr="00FB212F" w:rsidRDefault="00FB212F" w:rsidP="00844A17">
            <w:pPr>
              <w:numPr>
                <w:ilvl w:val="0"/>
                <w:numId w:val="11"/>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4E2B10C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waarborgt dat alle ingezette professionals werkzaam binnen de opdracht handelen conform de geldende beroepscode sociaal werk van de Beroepsvereniging van Professionals in Sociaal Werk (BPSW).</w:t>
            </w:r>
            <w:r w:rsidRPr="00FB212F">
              <w:rPr>
                <w:rFonts w:eastAsia="Times New Roman" w:cs="Segoe UI"/>
                <w:lang w:eastAsia="nl-NL"/>
              </w:rPr>
              <w:t> </w:t>
            </w:r>
            <w:r w:rsidRPr="00FB212F">
              <w:rPr>
                <w:rFonts w:eastAsia="Times New Roman" w:cs="Times New Roman"/>
                <w:lang w:eastAsia="nl-NL"/>
              </w:rPr>
              <w:t>Deze eis sluit aan bij de algemeen aanvaarde professionele standaarden in het sociaal werk.  </w:t>
            </w:r>
            <w:r w:rsidRPr="00FB212F">
              <w:rPr>
                <w:rFonts w:eastAsia="Times New Roman" w:cs="Times New Roman"/>
                <w:lang w:eastAsia="nl-NL"/>
              </w:rPr>
              <w:br/>
              <w:t>Zie: https://www.bpsw.nl/app/data/uploads/BPSW-Beroepscode-2021.pdf.  </w:t>
            </w:r>
          </w:p>
        </w:tc>
        <w:tc>
          <w:tcPr>
            <w:tcW w:w="800" w:type="dxa"/>
            <w:tcBorders>
              <w:top w:val="single" w:sz="6" w:space="0" w:color="auto"/>
              <w:left w:val="single" w:sz="6" w:space="0" w:color="auto"/>
              <w:bottom w:val="single" w:sz="6" w:space="0" w:color="auto"/>
              <w:right w:val="single" w:sz="6" w:space="0" w:color="auto"/>
            </w:tcBorders>
            <w:hideMark/>
          </w:tcPr>
          <w:p w14:paraId="652EFEB3"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56EE0E8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7CA318FE"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4016C4D5" w14:textId="77777777" w:rsidR="00FB212F" w:rsidRPr="00FB212F" w:rsidRDefault="00FB212F" w:rsidP="00844A17">
            <w:pPr>
              <w:numPr>
                <w:ilvl w:val="0"/>
                <w:numId w:val="12"/>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448A04C2"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handelt in overeenstemming met de principes van de </w:t>
            </w:r>
            <w:proofErr w:type="spellStart"/>
            <w:r w:rsidRPr="00FB212F">
              <w:rPr>
                <w:rFonts w:eastAsia="Times New Roman" w:cs="Times New Roman"/>
                <w:lang w:eastAsia="nl-NL"/>
              </w:rPr>
              <w:t>Governancecode</w:t>
            </w:r>
            <w:proofErr w:type="spellEnd"/>
            <w:r w:rsidRPr="00FB212F">
              <w:rPr>
                <w:rFonts w:eastAsia="Times New Roman" w:cs="Times New Roman"/>
                <w:lang w:eastAsia="nl-NL"/>
              </w:rPr>
              <w:t> Sociaal Werk zoals ontwikkeld binnen de sector door onder andere Sociaal Werk Nederland.  </w:t>
            </w:r>
            <w:r w:rsidRPr="00FB212F">
              <w:rPr>
                <w:rFonts w:eastAsia="Times New Roman" w:cs="Times New Roman"/>
                <w:lang w:eastAsia="nl-NL"/>
              </w:rPr>
              <w:br/>
              <w:t>Zie: </w:t>
            </w:r>
            <w:hyperlink r:id="rId7" w:tgtFrame="_blank" w:history="1">
              <w:r w:rsidRPr="00FB212F">
                <w:rPr>
                  <w:rFonts w:eastAsia="Times New Roman" w:cs="Times New Roman"/>
                  <w:color w:val="34A0A1"/>
                  <w:lang w:eastAsia="nl-NL"/>
                </w:rPr>
                <w:t>https://sociaalwerknederland.nl/wp-content/uploads/2025/12/Governancecode-sociaal-werk-2025.pdf</w:t>
              </w:r>
            </w:hyperlink>
            <w:r w:rsidRPr="00FB212F">
              <w:rPr>
                <w:rFonts w:eastAsia="Times New Roman" w:cs="Times New Roman"/>
                <w:lang w:eastAsia="nl-NL"/>
              </w:rPr>
              <w:t>.  </w:t>
            </w:r>
          </w:p>
        </w:tc>
        <w:tc>
          <w:tcPr>
            <w:tcW w:w="800" w:type="dxa"/>
            <w:tcBorders>
              <w:top w:val="single" w:sz="6" w:space="0" w:color="auto"/>
              <w:left w:val="single" w:sz="6" w:space="0" w:color="auto"/>
              <w:bottom w:val="single" w:sz="6" w:space="0" w:color="auto"/>
              <w:right w:val="single" w:sz="6" w:space="0" w:color="auto"/>
            </w:tcBorders>
            <w:hideMark/>
          </w:tcPr>
          <w:p w14:paraId="7DE5571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624B450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5670E0D2"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802BC1E" w14:textId="77777777" w:rsidR="00FB212F" w:rsidRPr="00FB212F" w:rsidRDefault="00FB212F" w:rsidP="00844A17">
            <w:pPr>
              <w:numPr>
                <w:ilvl w:val="0"/>
                <w:numId w:val="13"/>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3BF7777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zet, daar waar van toepassing op de functie/rol, uitsluitend professionals in die aantoonbaar beschikken over competenties passend bij het actuele beroepscompetentieprofiel sociaal werk, zoals gehanteerd binnen de sector of aantoonbaar gelijkwaardig profiel.  </w:t>
            </w:r>
          </w:p>
        </w:tc>
        <w:tc>
          <w:tcPr>
            <w:tcW w:w="800" w:type="dxa"/>
            <w:tcBorders>
              <w:top w:val="single" w:sz="6" w:space="0" w:color="auto"/>
              <w:left w:val="single" w:sz="6" w:space="0" w:color="auto"/>
              <w:bottom w:val="single" w:sz="6" w:space="0" w:color="auto"/>
              <w:right w:val="single" w:sz="6" w:space="0" w:color="auto"/>
            </w:tcBorders>
            <w:hideMark/>
          </w:tcPr>
          <w:p w14:paraId="1FAF8672"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2BC5984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54FA966"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436DB520" w14:textId="77777777" w:rsidR="00FB212F" w:rsidRPr="00FB212F" w:rsidRDefault="00FB212F" w:rsidP="00844A17">
            <w:pPr>
              <w:numPr>
                <w:ilvl w:val="0"/>
                <w:numId w:val="14"/>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62CA687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Alle gevraagde stukken ter controle van de rechtsmatigheid en kwaliteit van dienstverlening alsmede de stukken betreffende de financiële huishouding van de organisatie en gelieerde partijen worden onverwijld aangeleverd door de Opdrachtnemer aan de Opdrachtgever indien gevraagd.  </w:t>
            </w:r>
          </w:p>
        </w:tc>
        <w:tc>
          <w:tcPr>
            <w:tcW w:w="800" w:type="dxa"/>
            <w:tcBorders>
              <w:top w:val="single" w:sz="6" w:space="0" w:color="auto"/>
              <w:left w:val="single" w:sz="6" w:space="0" w:color="auto"/>
              <w:bottom w:val="single" w:sz="6" w:space="0" w:color="auto"/>
              <w:right w:val="single" w:sz="6" w:space="0" w:color="auto"/>
            </w:tcBorders>
            <w:hideMark/>
          </w:tcPr>
          <w:p w14:paraId="0A17516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B9B065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FDAFE09" w14:textId="77777777" w:rsidTr="008D7801">
        <w:trPr>
          <w:trHeight w:val="300"/>
          <w:jc w:val="center"/>
        </w:trPr>
        <w:tc>
          <w:tcPr>
            <w:tcW w:w="9135" w:type="dxa"/>
            <w:gridSpan w:val="4"/>
            <w:tcBorders>
              <w:top w:val="single" w:sz="6" w:space="0" w:color="auto"/>
              <w:left w:val="single" w:sz="6" w:space="0" w:color="auto"/>
              <w:bottom w:val="single" w:sz="6" w:space="0" w:color="auto"/>
              <w:right w:val="single" w:sz="6" w:space="0" w:color="auto"/>
            </w:tcBorders>
            <w:hideMark/>
          </w:tcPr>
          <w:p w14:paraId="1C228DD1" w14:textId="77777777" w:rsidR="00FB212F" w:rsidRPr="00FB212F" w:rsidRDefault="00FB212F" w:rsidP="00844A17">
            <w:pPr>
              <w:tabs>
                <w:tab w:val="left" w:pos="193"/>
              </w:tabs>
              <w:spacing w:after="0" w:line="240" w:lineRule="auto"/>
              <w:ind w:left="275"/>
              <w:textAlignment w:val="baseline"/>
              <w:rPr>
                <w:rFonts w:eastAsia="Times New Roman" w:cs="Times New Roman"/>
                <w:b/>
                <w:bCs/>
                <w:lang w:eastAsia="nl-NL"/>
              </w:rPr>
            </w:pPr>
            <w:r w:rsidRPr="00FB212F">
              <w:rPr>
                <w:rFonts w:eastAsia="Times New Roman" w:cs="Times New Roman"/>
                <w:b/>
                <w:bCs/>
                <w:lang w:eastAsia="nl-NL"/>
              </w:rPr>
              <w:t>Inhoudelijke eisen </w:t>
            </w:r>
          </w:p>
          <w:p w14:paraId="74A743A5" w14:textId="77777777" w:rsidR="00FB212F" w:rsidRPr="00FB212F" w:rsidRDefault="00FB212F" w:rsidP="00844A17">
            <w:pPr>
              <w:tabs>
                <w:tab w:val="left" w:pos="193"/>
              </w:tabs>
              <w:spacing w:after="0" w:line="240" w:lineRule="auto"/>
              <w:ind w:left="275"/>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1A0E3AFD"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F508B18" w14:textId="77777777" w:rsidR="00FB212F" w:rsidRPr="00FB212F" w:rsidRDefault="00FB212F" w:rsidP="00844A17">
            <w:pPr>
              <w:numPr>
                <w:ilvl w:val="0"/>
                <w:numId w:val="15"/>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6FF4D9CE"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beschikt over expertise en vaardigheden om te werken aan veiligheid voor inwoners in het kader van huiselijk geweld en kindermishandeling. Opdrachtnemer hanteert daarbij de </w:t>
            </w:r>
            <w:r w:rsidRPr="00FB212F">
              <w:rPr>
                <w:rFonts w:eastAsia="Times New Roman" w:cs="Times New Roman"/>
                <w:b/>
                <w:bCs/>
                <w:lang w:eastAsia="nl-NL"/>
              </w:rPr>
              <w:t>Meldcode Huiselijk Geweld en Kindermishandeling </w:t>
            </w:r>
            <w:r w:rsidRPr="00FB212F">
              <w:rPr>
                <w:rFonts w:eastAsia="Times New Roman" w:cs="Times New Roman"/>
                <w:lang w:eastAsia="nl-NL"/>
              </w:rPr>
              <w:t>en heeft tenminste één </w:t>
            </w:r>
            <w:proofErr w:type="spellStart"/>
            <w:r w:rsidRPr="00FB212F">
              <w:rPr>
                <w:rFonts w:eastAsia="Times New Roman" w:cs="Times New Roman"/>
                <w:lang w:eastAsia="nl-NL"/>
              </w:rPr>
              <w:t>aandachtsfunctionaris</w:t>
            </w:r>
            <w:proofErr w:type="spellEnd"/>
            <w:r w:rsidRPr="00FB212F">
              <w:rPr>
                <w:rFonts w:eastAsia="Times New Roman" w:cs="Times New Roman"/>
                <w:lang w:eastAsia="nl-NL"/>
              </w:rPr>
              <w:t> Huiselijk Geweld en Kindermishandeling beschikbaar voor deze opdracht. Zie: https://www.bpsw.nl/app/data/uploads/BPSW-Beroepscode-2021.pdf. </w:t>
            </w:r>
          </w:p>
        </w:tc>
        <w:tc>
          <w:tcPr>
            <w:tcW w:w="800" w:type="dxa"/>
            <w:tcBorders>
              <w:top w:val="single" w:sz="6" w:space="0" w:color="auto"/>
              <w:left w:val="single" w:sz="6" w:space="0" w:color="auto"/>
              <w:bottom w:val="single" w:sz="6" w:space="0" w:color="auto"/>
              <w:right w:val="single" w:sz="6" w:space="0" w:color="auto"/>
            </w:tcBorders>
            <w:hideMark/>
          </w:tcPr>
          <w:p w14:paraId="1F54959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0AFCA9E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1EAA899A"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2EF9C75D" w14:textId="77777777" w:rsidR="00FB212F" w:rsidRPr="00FB212F" w:rsidRDefault="00FB212F" w:rsidP="00844A17">
            <w:pPr>
              <w:numPr>
                <w:ilvl w:val="0"/>
                <w:numId w:val="16"/>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3F62114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draagt aantoonbaar bij aan de basisfunctionaliteiten zoals benoemd in het Aanvullend Zorg en Welzijnsakkoord (AZWA) en a) voert </w:t>
            </w:r>
            <w:r w:rsidRPr="00FB212F">
              <w:rPr>
                <w:rFonts w:eastAsia="Times New Roman" w:cs="Times New Roman"/>
                <w:b/>
                <w:bCs/>
                <w:lang w:eastAsia="nl-NL"/>
              </w:rPr>
              <w:t>sociaal verwijzen</w:t>
            </w:r>
            <w:r w:rsidRPr="00FB212F">
              <w:rPr>
                <w:rFonts w:eastAsia="Times New Roman" w:cs="Times New Roman"/>
                <w:lang w:eastAsia="nl-NL"/>
              </w:rPr>
              <w:t> (Welzijn op recept) uit, b) vult de functie van de </w:t>
            </w:r>
            <w:r w:rsidRPr="00FB212F">
              <w:rPr>
                <w:rFonts w:eastAsia="Times New Roman" w:cs="Times New Roman"/>
                <w:b/>
                <w:bCs/>
                <w:lang w:eastAsia="nl-NL"/>
              </w:rPr>
              <w:t>Centrale Zorgcoördinator</w:t>
            </w:r>
            <w:r w:rsidRPr="00FB212F">
              <w:rPr>
                <w:rFonts w:eastAsia="Times New Roman" w:cs="Times New Roman"/>
                <w:lang w:eastAsia="nl-NL"/>
              </w:rPr>
              <w:t> binnen de ketenaanpak Kind op gezond gewicht uit, c) organiseert en ondersteunt </w:t>
            </w:r>
            <w:r w:rsidRPr="00FB212F">
              <w:rPr>
                <w:rFonts w:eastAsia="Times New Roman" w:cs="Times New Roman"/>
                <w:b/>
                <w:bCs/>
                <w:lang w:eastAsia="nl-NL"/>
              </w:rPr>
              <w:t>laagdrempelige steunpunten</w:t>
            </w:r>
            <w:r w:rsidRPr="00FB212F">
              <w:rPr>
                <w:rFonts w:eastAsia="Times New Roman" w:cs="Times New Roman"/>
                <w:lang w:eastAsia="nl-NL"/>
              </w:rPr>
              <w:t> en activiteiten in de wijk, d) neemt actief deel aan</w:t>
            </w:r>
            <w:r w:rsidRPr="00FB212F">
              <w:rPr>
                <w:rFonts w:eastAsia="Times New Roman" w:cs="Times New Roman"/>
                <w:b/>
                <w:bCs/>
                <w:lang w:eastAsia="nl-NL"/>
              </w:rPr>
              <w:t> lokale teams en netwerken, </w:t>
            </w:r>
            <w:r w:rsidRPr="00FB212F">
              <w:rPr>
                <w:rFonts w:eastAsia="Times New Roman" w:cs="Times New Roman"/>
                <w:lang w:eastAsia="nl-NL"/>
              </w:rPr>
              <w:t>e) denkt actief mee in de verdere uitwerking van de vijf AZWA leefgebieden. </w:t>
            </w:r>
            <w:r w:rsidRPr="00FB212F">
              <w:rPr>
                <w:rFonts w:eastAsia="Times New Roman" w:cs="Times New Roman"/>
                <w:lang w:eastAsia="nl-NL"/>
              </w:rPr>
              <w:br/>
              <w:t>Zie: https://open.overheid.nl/documenten/52fcdec1-71d5-4695-87bf-e4c46c73d730/file. </w:t>
            </w:r>
          </w:p>
        </w:tc>
        <w:tc>
          <w:tcPr>
            <w:tcW w:w="800" w:type="dxa"/>
            <w:tcBorders>
              <w:top w:val="single" w:sz="6" w:space="0" w:color="auto"/>
              <w:left w:val="single" w:sz="6" w:space="0" w:color="auto"/>
              <w:bottom w:val="single" w:sz="6" w:space="0" w:color="auto"/>
              <w:right w:val="single" w:sz="6" w:space="0" w:color="auto"/>
            </w:tcBorders>
            <w:hideMark/>
          </w:tcPr>
          <w:p w14:paraId="303CB59E"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2410416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0A7E7569"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0F6DA9B9" w14:textId="77777777" w:rsidR="00FB212F" w:rsidRPr="00FB212F" w:rsidRDefault="00FB212F" w:rsidP="00844A17">
            <w:pPr>
              <w:numPr>
                <w:ilvl w:val="0"/>
                <w:numId w:val="17"/>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7D14CA5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xml:space="preserve">Opdrachtnemer is in staat en bereid om te functioneren binnen en bij te dragen aan de (door)ontwikkeling van lokale teams, conform het ‘richtinggevend </w:t>
            </w:r>
            <w:r w:rsidRPr="00FB212F">
              <w:rPr>
                <w:rFonts w:eastAsia="Times New Roman" w:cs="Times New Roman"/>
                <w:lang w:eastAsia="nl-NL"/>
              </w:rPr>
              <w:lastRenderedPageBreak/>
              <w:t>kader toegang lokale team en integrale dienstverlening’ van de VNG. Opdrachtnemer werkt daartoe actief samen met de gemeentelijke toegang(en), ketenpartners en informele netwerken, is in staat om flexibel in te spelen op een veranderende inrichting van het sociaal domein en levert een constructieve bijdrage aan gezamenlijke leer- en ontwikkelprocessen. Opdrachtnemer committeert zich aan een ontwikkelgerichte samenwerking met de gemeente, waarbij nadere invulling van de lokale teams gedurende de looptijd van de overeenkomst gezamenlijk vorm krijgt. </w:t>
            </w:r>
          </w:p>
          <w:p w14:paraId="21A344E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Zie: https://vng.nl/sites/default/files/2024-03/richtinggevend_kader_toegang_lokale_teams_en_integrale_dienstverlening.pdf  </w:t>
            </w:r>
          </w:p>
        </w:tc>
        <w:tc>
          <w:tcPr>
            <w:tcW w:w="800" w:type="dxa"/>
            <w:tcBorders>
              <w:top w:val="single" w:sz="6" w:space="0" w:color="auto"/>
              <w:left w:val="single" w:sz="6" w:space="0" w:color="auto"/>
              <w:bottom w:val="single" w:sz="6" w:space="0" w:color="auto"/>
              <w:right w:val="single" w:sz="6" w:space="0" w:color="auto"/>
            </w:tcBorders>
            <w:hideMark/>
          </w:tcPr>
          <w:p w14:paraId="0F97D8F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lastRenderedPageBreak/>
              <w:t> </w:t>
            </w:r>
          </w:p>
        </w:tc>
        <w:tc>
          <w:tcPr>
            <w:tcW w:w="939" w:type="dxa"/>
            <w:tcBorders>
              <w:top w:val="single" w:sz="6" w:space="0" w:color="auto"/>
              <w:left w:val="single" w:sz="6" w:space="0" w:color="auto"/>
              <w:bottom w:val="single" w:sz="6" w:space="0" w:color="auto"/>
              <w:right w:val="single" w:sz="6" w:space="0" w:color="auto"/>
            </w:tcBorders>
            <w:hideMark/>
          </w:tcPr>
          <w:p w14:paraId="4F6C582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6FC3D1E9"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306AFB30" w14:textId="77777777" w:rsidR="00FB212F" w:rsidRPr="00FB212F" w:rsidRDefault="00FB212F" w:rsidP="00844A17">
            <w:pPr>
              <w:numPr>
                <w:ilvl w:val="0"/>
                <w:numId w:val="18"/>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1333233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voert binnen de opdracht </w:t>
            </w:r>
            <w:r w:rsidRPr="00FB212F">
              <w:rPr>
                <w:rFonts w:eastAsia="Times New Roman" w:cs="Times New Roman"/>
                <w:b/>
                <w:bCs/>
                <w:lang w:eastAsia="nl-NL"/>
              </w:rPr>
              <w:t>onafhankelijke cliëntondersteuning </w:t>
            </w:r>
            <w:r w:rsidRPr="00FB212F">
              <w:rPr>
                <w:rFonts w:eastAsia="Times New Roman" w:cs="Times New Roman"/>
                <w:lang w:eastAsia="nl-NL"/>
              </w:rPr>
              <w:t>uit conform artikel 1.1.1 en 2.2.4 van de Wet maatschappelijke ondersteuning 2015 en artikel 2.6, eerste lid onder g, van de Jeugdwet inclusief ondersteuning bij bezwaar en beroep.  </w:t>
            </w:r>
          </w:p>
          <w:p w14:paraId="2BDA2F4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6C55534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cliëntondersteuning is voor inwoners kosteloos, onafhankelijk en gericht op het versterken van zelfredzaamheid en participatie. </w:t>
            </w:r>
          </w:p>
          <w:p w14:paraId="2069588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0476560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Het aantal in te zetten fte’s is afhankelijk van de wijze waarop u deze functie inbedt in uw plan van aanpak. Ter illustratie: Op dit moment wordt er jaarlijks ca. 0,15 fte (300 uur) ingezet aan cliëntondersteuning voor inwoners van onze gemeente, dat is exclusief cliëntondersteuning bij bezwaar en beroep. Daarmee worden ca. 50 inwoners ondersteund met een traject.  </w:t>
            </w:r>
          </w:p>
        </w:tc>
        <w:tc>
          <w:tcPr>
            <w:tcW w:w="800" w:type="dxa"/>
            <w:tcBorders>
              <w:top w:val="single" w:sz="6" w:space="0" w:color="auto"/>
              <w:left w:val="single" w:sz="6" w:space="0" w:color="auto"/>
              <w:bottom w:val="single" w:sz="6" w:space="0" w:color="auto"/>
              <w:right w:val="single" w:sz="6" w:space="0" w:color="auto"/>
            </w:tcBorders>
            <w:hideMark/>
          </w:tcPr>
          <w:p w14:paraId="4ACE8D8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7119399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0FA41BD4"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4658D958" w14:textId="77777777" w:rsidR="00FB212F" w:rsidRPr="00FB212F" w:rsidRDefault="00FB212F" w:rsidP="00844A17">
            <w:pPr>
              <w:numPr>
                <w:ilvl w:val="0"/>
                <w:numId w:val="19"/>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5996EEFE"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voert binnen de opdracht </w:t>
            </w:r>
            <w:r w:rsidRPr="00FB212F">
              <w:rPr>
                <w:rFonts w:eastAsia="Times New Roman" w:cs="Times New Roman"/>
                <w:b/>
                <w:bCs/>
                <w:lang w:eastAsia="nl-NL"/>
              </w:rPr>
              <w:t>Sociaal Raadsliedenwerk</w:t>
            </w:r>
            <w:r w:rsidRPr="00FB212F">
              <w:rPr>
                <w:rFonts w:eastAsia="Times New Roman" w:cs="Times New Roman"/>
                <w:lang w:eastAsia="nl-NL"/>
              </w:rPr>
              <w:t> uit als onderdeel van de algemene voorziening als bedoeld in artikel 2.1.1 en 2.1.2 van de Wet maatschappelijke ondersteuning 2015. </w:t>
            </w:r>
          </w:p>
          <w:p w14:paraId="0E5B60F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Het Sociaal Raadsliedenwerk biedt inwoners laagdrempelige, onafhankelijke en deskundige ondersteuning bij vragen en problemen op het gebied van wet- en regelgeving, inkomensvoorzieningen, schulden, huisvesting, arbeid, sociale zekerheid en bestuursrecht. </w:t>
            </w:r>
          </w:p>
          <w:p w14:paraId="62A2A8C8"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is in staat daarbij tijdige toegang, juridische basisdeskundigheid en een integrale werkwijze te waarborgen en draagt zorg voor signalering van structurele knelpunten richting Opdrachtgever. </w:t>
            </w:r>
          </w:p>
          <w:p w14:paraId="1531F972"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r w:rsidRPr="00FB212F">
              <w:rPr>
                <w:rFonts w:eastAsia="Times New Roman" w:cs="Times New Roman"/>
                <w:lang w:eastAsia="nl-NL"/>
              </w:rPr>
              <w:br/>
              <w:t>Het aantal in te zetten fte’s is afhankelijk van de wijze waarop u deze functie inbedt in uw plan van aanpak. Op dit moment wordt de uitvoering van deze functie gedaan door 1,05 fte Sociale Raadslieden. Hiervoor worden jaarlijks zo’n 200 trajecten geleverd. Dat is inclusief het onderdeel bezwaar en beroep van de Onafhankelijke Cliëntondersteuning (zie 18.).  </w:t>
            </w:r>
          </w:p>
        </w:tc>
        <w:tc>
          <w:tcPr>
            <w:tcW w:w="800" w:type="dxa"/>
            <w:tcBorders>
              <w:top w:val="single" w:sz="6" w:space="0" w:color="auto"/>
              <w:left w:val="single" w:sz="6" w:space="0" w:color="auto"/>
              <w:bottom w:val="single" w:sz="6" w:space="0" w:color="auto"/>
              <w:right w:val="single" w:sz="6" w:space="0" w:color="auto"/>
            </w:tcBorders>
            <w:hideMark/>
          </w:tcPr>
          <w:p w14:paraId="393B366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2FA2B26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22BB0D8A"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25CC3CC7" w14:textId="77777777" w:rsidR="00FB212F" w:rsidRPr="00FB212F" w:rsidRDefault="00FB212F" w:rsidP="00844A17">
            <w:pPr>
              <w:numPr>
                <w:ilvl w:val="0"/>
                <w:numId w:val="20"/>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274470F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voert binnen de opdracht integraal maatschappelijk werk uit als onderdeel van het sociaal werk. Het maatschappelijk werk biedt </w:t>
            </w:r>
            <w:r w:rsidRPr="00FB212F">
              <w:rPr>
                <w:rFonts w:eastAsia="Times New Roman" w:cs="Times New Roman"/>
                <w:b/>
                <w:bCs/>
                <w:lang w:eastAsia="nl-NL"/>
              </w:rPr>
              <w:t>laagdrempelige, professionele en methodische ondersteuning aan inwoners met psychosociale, relationele en/of maatschappelijke problematiek</w:t>
            </w:r>
            <w:r w:rsidRPr="00FB212F">
              <w:rPr>
                <w:rFonts w:eastAsia="Times New Roman" w:cs="Times New Roman"/>
                <w:lang w:eastAsia="nl-NL"/>
              </w:rPr>
              <w:t>, gericht op het versterken van zelfredzaamheid, participatie en het duurzaam oplossen of stabiliseren van problemen. </w:t>
            </w:r>
          </w:p>
          <w:p w14:paraId="07AD8E7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Opdrachtnemer waarborgt dat het maatschappelijk werk wordt uitgevoerd door gekwalificeerde professionals, integraal samenwerkt binnen het sociaal domein en tijdig opschaalt of doorverwijst indien specialistische of geïndiceerde zorg noodzakelijk is. </w:t>
            </w:r>
          </w:p>
          <w:p w14:paraId="283E441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r w:rsidRPr="00FB212F">
              <w:rPr>
                <w:rFonts w:eastAsia="Times New Roman" w:cs="Times New Roman"/>
                <w:lang w:eastAsia="nl-NL"/>
              </w:rPr>
              <w:br/>
              <w:t>Het aantal in te zetten fte’s is afhankelijk van de wijze waarop u deze functie inbedt in uw plan van aanpak. Ter illustratie: op dit moment wordt de uitvoering van deze functie gedaan door 2,66 fte. Hiervoor worden jaarlijks zo’n 200 inwoners ondersteund met een groepsgewijs of individueel traject en zo’n 100 inwoners ondersteund met een kort contact.  </w:t>
            </w:r>
          </w:p>
        </w:tc>
        <w:tc>
          <w:tcPr>
            <w:tcW w:w="800" w:type="dxa"/>
            <w:tcBorders>
              <w:top w:val="single" w:sz="6" w:space="0" w:color="auto"/>
              <w:left w:val="single" w:sz="6" w:space="0" w:color="auto"/>
              <w:bottom w:val="single" w:sz="6" w:space="0" w:color="auto"/>
              <w:right w:val="single" w:sz="6" w:space="0" w:color="auto"/>
            </w:tcBorders>
            <w:hideMark/>
          </w:tcPr>
          <w:p w14:paraId="77C610C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047F4D0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68D8FEA5"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7D03349B" w14:textId="77777777" w:rsidR="00FB212F" w:rsidRPr="00FB212F" w:rsidRDefault="00FB212F" w:rsidP="00844A17">
            <w:pPr>
              <w:numPr>
                <w:ilvl w:val="0"/>
                <w:numId w:val="21"/>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7F061777"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is bereid en in staat om structureel samen te werken met stichting Schuldhulpmaatje (SHM) ten behoeve van de ondersteuning van inwoners op het gebied van financiën. SHM levert hierbij de inzet van vrijwilligers. Opdrachtnemer draagt zorg voor de coördinatie van deze vrijwilligers. Opdrachtnemer draagt daarbij zorg voor een goede aansturing, begeleiding en facilitering van de vrijwilligers, evenals voor een heldere afstemming met SHM en Opdrachtgever, zodat de kwaliteit, continuïteit en integraliteit van de dienstverlening gewaarborgd is. </w:t>
            </w:r>
          </w:p>
          <w:p w14:paraId="27BF257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6B0E36F3"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Het aantal in te zetten fte’s is afhankelijk van de wijze waarop u deze functie inbedt in uw plan van aanpak.  Ter illustratie: Op dit moment wordt de betaalde coördinator ingezet voor 20 uur per week. Zij coördineert 24 maatjes die inzetbaar zijn. Jaarlijks worden er ongeveer 100 inwoners ondersteund bij hun financien.  </w:t>
            </w:r>
          </w:p>
        </w:tc>
        <w:tc>
          <w:tcPr>
            <w:tcW w:w="800" w:type="dxa"/>
            <w:tcBorders>
              <w:top w:val="single" w:sz="6" w:space="0" w:color="auto"/>
              <w:left w:val="single" w:sz="6" w:space="0" w:color="auto"/>
              <w:bottom w:val="single" w:sz="6" w:space="0" w:color="auto"/>
              <w:right w:val="single" w:sz="6" w:space="0" w:color="auto"/>
            </w:tcBorders>
            <w:hideMark/>
          </w:tcPr>
          <w:p w14:paraId="1B5F02D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26FD920F"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1CE679D0"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67ADFECB" w14:textId="77777777" w:rsidR="00FB212F" w:rsidRPr="00FB212F" w:rsidRDefault="00FB212F" w:rsidP="00844A17">
            <w:pPr>
              <w:numPr>
                <w:ilvl w:val="0"/>
                <w:numId w:val="22"/>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19149F72"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geeft binnen de opdracht structureel uitvoering aan de </w:t>
            </w:r>
            <w:r w:rsidRPr="00FB212F">
              <w:rPr>
                <w:rFonts w:eastAsia="Times New Roman" w:cs="Times New Roman"/>
                <w:b/>
                <w:bCs/>
                <w:lang w:eastAsia="nl-NL"/>
              </w:rPr>
              <w:t>ondersteuning en waardering van mantelzorgers</w:t>
            </w:r>
            <w:r w:rsidRPr="00FB212F">
              <w:rPr>
                <w:rFonts w:eastAsia="Times New Roman" w:cs="Times New Roman"/>
                <w:lang w:eastAsia="nl-NL"/>
              </w:rPr>
              <w:t> als bedoeld in artikel 1.1.1 van de Wet maatschappelijke ondersteuning 2015. </w:t>
            </w:r>
          </w:p>
          <w:p w14:paraId="473588E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De ondersteuning is gericht op het versterken van de draagkracht van mantelzorgers en het voorkomen van overbelasting en omvat onder meer informatie en advies, ondersteuning, (h)erkenning, lotgenotencontact, signalering en waar nodig ondersteuning bij het </w:t>
            </w:r>
            <w:proofErr w:type="spellStart"/>
            <w:r w:rsidRPr="00FB212F">
              <w:rPr>
                <w:rFonts w:eastAsia="Times New Roman" w:cs="Times New Roman"/>
                <w:lang w:eastAsia="nl-NL"/>
              </w:rPr>
              <w:t>toeleiden</w:t>
            </w:r>
            <w:proofErr w:type="spellEnd"/>
            <w:r w:rsidRPr="00FB212F">
              <w:rPr>
                <w:rFonts w:eastAsia="Times New Roman" w:cs="Times New Roman"/>
                <w:lang w:eastAsia="nl-NL"/>
              </w:rPr>
              <w:t> naar passende (respijt)voorzieningen. De opdrachtnemer borgt een laagdrempelige toegang en een samenhangende aanpak binnen het sociaal domein. </w:t>
            </w:r>
          </w:p>
          <w:p w14:paraId="6BD180A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5F422B43"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draagt in afstemming met de gemeente zorg voor het uitwerken van een plan om de jaarlijkse mantelzorgwaardering vorm te geven en is uiteindelijk verantwoordelijk voor de uitvoering daarvan. Voor de waardering zelf (afhankelijk van het plan bijvoorbeeld een cadeaubon of lunchbijeenkomst) heeft de gemeente een apart budget beschikbaar.  </w:t>
            </w:r>
          </w:p>
          <w:p w14:paraId="08828F05"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p w14:paraId="13B578F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Het aantal in te zetten fte’s is afhankelijk van de wijze waarop u deze functie inbedt in uw plan van aanpak. De inzet op mantelzorgondersteuning is in onze gemeente in ontwikkeling waaraan opdrachtnemer een bijdrage zal leveren. Op voorhand kunnen wij hier geen kengetallen aan koppelen omdat wij de doelgroep nog onvoldoende in beeld hebben. In het lopend jaar is wel opgeschaald naar 900 uren aan mantelzorgondersteuning.  </w:t>
            </w:r>
          </w:p>
          <w:p w14:paraId="33EDDCB8"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800" w:type="dxa"/>
            <w:tcBorders>
              <w:top w:val="single" w:sz="6" w:space="0" w:color="auto"/>
              <w:left w:val="single" w:sz="6" w:space="0" w:color="auto"/>
              <w:bottom w:val="single" w:sz="6" w:space="0" w:color="auto"/>
              <w:right w:val="single" w:sz="6" w:space="0" w:color="auto"/>
            </w:tcBorders>
            <w:hideMark/>
          </w:tcPr>
          <w:p w14:paraId="47393B89"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79ADD58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33B0B1AD"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50DBD024" w14:textId="77777777" w:rsidR="00FB212F" w:rsidRPr="00FB212F" w:rsidRDefault="00FB212F" w:rsidP="00844A17">
            <w:pPr>
              <w:numPr>
                <w:ilvl w:val="0"/>
                <w:numId w:val="23"/>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1BCCDC08"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waarborgt </w:t>
            </w:r>
            <w:r w:rsidRPr="00FB212F">
              <w:rPr>
                <w:rFonts w:eastAsia="Times New Roman" w:cs="Times New Roman"/>
                <w:b/>
                <w:bCs/>
                <w:lang w:eastAsia="nl-NL"/>
              </w:rPr>
              <w:t>een laagdrempelige en toegankelijke dienstverlening voor alle inwoners</w:t>
            </w:r>
            <w:r w:rsidRPr="00FB212F">
              <w:rPr>
                <w:rFonts w:eastAsia="Times New Roman" w:cs="Times New Roman"/>
                <w:lang w:eastAsia="nl-NL"/>
              </w:rPr>
              <w:t> door fysiek zichtbaar en herkenbaar aanwezig te zijn in alle kernen van de gemeente, met professionals die actief relaties opbouwen en bekend zijn bij inwoners. Daarnaast is de dienstverlening digitaal toegankelijk. De Opdrachtnemer hanteert korte communicatielijnen, reageert tijdig op vragen en signalen en communiceert in voor iedereen begrijpelijke taal (B1-niveau), waarbij ook inwoners met beperkte digitale of taalvaardigheden volwaardig toegang hebben tot ondersteuning. </w:t>
            </w:r>
          </w:p>
        </w:tc>
        <w:tc>
          <w:tcPr>
            <w:tcW w:w="800" w:type="dxa"/>
            <w:tcBorders>
              <w:top w:val="single" w:sz="6" w:space="0" w:color="auto"/>
              <w:left w:val="single" w:sz="6" w:space="0" w:color="auto"/>
              <w:bottom w:val="single" w:sz="6" w:space="0" w:color="auto"/>
              <w:right w:val="single" w:sz="6" w:space="0" w:color="auto"/>
            </w:tcBorders>
            <w:hideMark/>
          </w:tcPr>
          <w:p w14:paraId="1D21E86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8DDE54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4A344D6"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1C9D0321" w14:textId="77777777" w:rsidR="00FB212F" w:rsidRPr="00FB212F" w:rsidRDefault="00FB212F" w:rsidP="00844A17">
            <w:pPr>
              <w:numPr>
                <w:ilvl w:val="0"/>
                <w:numId w:val="24"/>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4E8DD531"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ondersteunt scholen en versterkt vrijwilligers en benut actief de talenten van inwoners, zodat zij vaardigheden en verantwoordelijkheden kunnen ontwikkelen. Hierbij wordt het initiatief van vrijwilligers en inwoners gestimuleerd, en draagt de Opdrachtnemer zorg voor het </w:t>
            </w:r>
            <w:r w:rsidRPr="00FB212F">
              <w:rPr>
                <w:rFonts w:eastAsia="Times New Roman" w:cs="Times New Roman"/>
                <w:b/>
                <w:bCs/>
                <w:lang w:eastAsia="nl-NL"/>
              </w:rPr>
              <w:t>loslaten en teruggeven van verantwoordelijkheden en regie</w:t>
            </w:r>
            <w:r w:rsidRPr="00FB212F">
              <w:rPr>
                <w:rFonts w:eastAsia="Times New Roman" w:cs="Times New Roman"/>
                <w:lang w:eastAsia="nl-NL"/>
              </w:rPr>
              <w:t> aan hen zodra zij hiertoe in staat zijn, zodat zelforganisatie en eigenaarschap duurzaam wordt bevorderd binnen de gemeenschap. </w:t>
            </w:r>
          </w:p>
        </w:tc>
        <w:tc>
          <w:tcPr>
            <w:tcW w:w="800" w:type="dxa"/>
            <w:tcBorders>
              <w:top w:val="single" w:sz="6" w:space="0" w:color="auto"/>
              <w:left w:val="single" w:sz="6" w:space="0" w:color="auto"/>
              <w:bottom w:val="single" w:sz="6" w:space="0" w:color="auto"/>
              <w:right w:val="single" w:sz="6" w:space="0" w:color="auto"/>
            </w:tcBorders>
            <w:hideMark/>
          </w:tcPr>
          <w:p w14:paraId="3238883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3DCEE13A"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4251EC8C"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4694AC9E" w14:textId="77777777" w:rsidR="00FB212F" w:rsidRPr="00FB212F" w:rsidRDefault="00FB212F" w:rsidP="00844A17">
            <w:pPr>
              <w:numPr>
                <w:ilvl w:val="0"/>
                <w:numId w:val="25"/>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50AF124C"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werkt actief mee aan en neemt deel aan de gemeentelijke reflexieve monitoring, waarbij gezamenlijk data en ervaringen worden verzameld, geanalyseerd en besproken. De Opdrachtnemer gebruikt de uitkomsten om het sociaal werk continu te </w:t>
            </w:r>
            <w:r w:rsidRPr="00FB212F">
              <w:rPr>
                <w:rFonts w:eastAsia="Times New Roman" w:cs="Times New Roman"/>
                <w:b/>
                <w:bCs/>
                <w:lang w:eastAsia="nl-NL"/>
              </w:rPr>
              <w:t>leren, verbeteren en bij te sturen</w:t>
            </w:r>
            <w:r w:rsidRPr="00FB212F">
              <w:rPr>
                <w:rFonts w:eastAsia="Times New Roman" w:cs="Times New Roman"/>
                <w:lang w:eastAsia="nl-NL"/>
              </w:rPr>
              <w:t>, en draagt bij aan een transparante en gezamenlijke leer- en verbetercyclus. </w:t>
            </w:r>
          </w:p>
        </w:tc>
        <w:tc>
          <w:tcPr>
            <w:tcW w:w="800" w:type="dxa"/>
            <w:tcBorders>
              <w:top w:val="single" w:sz="6" w:space="0" w:color="auto"/>
              <w:left w:val="single" w:sz="6" w:space="0" w:color="auto"/>
              <w:bottom w:val="single" w:sz="6" w:space="0" w:color="auto"/>
              <w:right w:val="single" w:sz="6" w:space="0" w:color="auto"/>
            </w:tcBorders>
            <w:hideMark/>
          </w:tcPr>
          <w:p w14:paraId="675DD2D6"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156E44CB"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r w:rsidR="00FB212F" w:rsidRPr="00FB212F" w14:paraId="7AFCB326" w14:textId="77777777" w:rsidTr="008D7801">
        <w:trPr>
          <w:trHeight w:val="300"/>
          <w:jc w:val="center"/>
        </w:trPr>
        <w:tc>
          <w:tcPr>
            <w:tcW w:w="843" w:type="dxa"/>
            <w:tcBorders>
              <w:top w:val="single" w:sz="6" w:space="0" w:color="auto"/>
              <w:left w:val="single" w:sz="6" w:space="0" w:color="auto"/>
              <w:bottom w:val="single" w:sz="6" w:space="0" w:color="auto"/>
              <w:right w:val="single" w:sz="6" w:space="0" w:color="auto"/>
            </w:tcBorders>
            <w:hideMark/>
          </w:tcPr>
          <w:p w14:paraId="5BEC97AA" w14:textId="77777777" w:rsidR="00FB212F" w:rsidRPr="00FB212F" w:rsidRDefault="00FB212F" w:rsidP="00844A17">
            <w:pPr>
              <w:numPr>
                <w:ilvl w:val="0"/>
                <w:numId w:val="26"/>
              </w:numPr>
              <w:tabs>
                <w:tab w:val="left" w:pos="193"/>
              </w:tabs>
              <w:spacing w:after="0" w:line="240" w:lineRule="auto"/>
              <w:ind w:left="275" w:firstLine="0"/>
              <w:textAlignment w:val="baseline"/>
              <w:rPr>
                <w:rFonts w:eastAsia="Times New Roman" w:cs="Times New Roman"/>
                <w:lang w:eastAsia="nl-NL"/>
              </w:rPr>
            </w:pPr>
            <w:r w:rsidRPr="00FB212F">
              <w:rPr>
                <w:rFonts w:eastAsia="Times New Roman" w:cs="Times New Roman"/>
                <w:lang w:eastAsia="nl-NL"/>
              </w:rPr>
              <w:t> </w:t>
            </w:r>
          </w:p>
        </w:tc>
        <w:tc>
          <w:tcPr>
            <w:tcW w:w="6552" w:type="dxa"/>
            <w:tcBorders>
              <w:top w:val="single" w:sz="6" w:space="0" w:color="auto"/>
              <w:left w:val="single" w:sz="6" w:space="0" w:color="auto"/>
              <w:bottom w:val="single" w:sz="6" w:space="0" w:color="auto"/>
              <w:right w:val="single" w:sz="6" w:space="0" w:color="auto"/>
            </w:tcBorders>
            <w:hideMark/>
          </w:tcPr>
          <w:p w14:paraId="1E8348AD"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Opdrachtnemer draagt zorg voor het actief gebruiken, en door ontwikkelen van de sociale kaart en platform </w:t>
            </w:r>
            <w:r w:rsidRPr="00FB212F">
              <w:rPr>
                <w:rFonts w:eastAsia="Times New Roman" w:cs="Times New Roman"/>
                <w:b/>
                <w:bCs/>
                <w:lang w:eastAsia="nl-NL"/>
              </w:rPr>
              <w:t>onzeoudeijsselstreek.nl https://onzeoudeijsselstreek.nl/ </w:t>
            </w:r>
            <w:r w:rsidRPr="00FB212F">
              <w:rPr>
                <w:rFonts w:eastAsia="Times New Roman" w:cs="Times New Roman"/>
                <w:lang w:eastAsia="nl-NL"/>
              </w:rPr>
              <w:t>als onderdeel van de sociale basis. Dit gebeurt in nauwe afstemming met de opdrachtgever als beheerder van het platform en met als doel het platform tot een toegankelijke, lerende en duurzame plek te ontwikkelen waar inwoners elkaar ontmoeten en informatie vinden en delen over hun buurt, wijk of kern. De ambitie is om het gebruik, beheer en inhoud op termijn van, voor en door inwoners vorm te geven. Dit vraag een investering die we als gemeente samen met opdrachtnemer willen doen. De verwachting is dat opdrachtnemer hier ca. 350 uur per jaar (verspreid over meerdere medewerkers) voor nodig zal hebben.  </w:t>
            </w:r>
          </w:p>
        </w:tc>
        <w:tc>
          <w:tcPr>
            <w:tcW w:w="800" w:type="dxa"/>
            <w:tcBorders>
              <w:top w:val="single" w:sz="6" w:space="0" w:color="auto"/>
              <w:left w:val="single" w:sz="6" w:space="0" w:color="auto"/>
              <w:bottom w:val="single" w:sz="6" w:space="0" w:color="auto"/>
              <w:right w:val="single" w:sz="6" w:space="0" w:color="auto"/>
            </w:tcBorders>
            <w:hideMark/>
          </w:tcPr>
          <w:p w14:paraId="2D87C840"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c>
          <w:tcPr>
            <w:tcW w:w="939" w:type="dxa"/>
            <w:tcBorders>
              <w:top w:val="single" w:sz="6" w:space="0" w:color="auto"/>
              <w:left w:val="single" w:sz="6" w:space="0" w:color="auto"/>
              <w:bottom w:val="single" w:sz="6" w:space="0" w:color="auto"/>
              <w:right w:val="single" w:sz="6" w:space="0" w:color="auto"/>
            </w:tcBorders>
            <w:hideMark/>
          </w:tcPr>
          <w:p w14:paraId="4D1A09F4" w14:textId="77777777" w:rsidR="00FB212F" w:rsidRPr="00FB212F" w:rsidRDefault="00FB212F" w:rsidP="00FB212F">
            <w:pPr>
              <w:spacing w:after="0" w:line="240" w:lineRule="auto"/>
              <w:textAlignment w:val="baseline"/>
              <w:rPr>
                <w:rFonts w:eastAsia="Times New Roman" w:cs="Times New Roman"/>
                <w:lang w:eastAsia="nl-NL"/>
              </w:rPr>
            </w:pPr>
            <w:r w:rsidRPr="00FB212F">
              <w:rPr>
                <w:rFonts w:eastAsia="Times New Roman" w:cs="Times New Roman"/>
                <w:lang w:eastAsia="nl-NL"/>
              </w:rPr>
              <w:t> </w:t>
            </w:r>
          </w:p>
        </w:tc>
      </w:tr>
    </w:tbl>
    <w:p w14:paraId="3C5314D2" w14:textId="77777777" w:rsidR="00DA17FE" w:rsidRPr="008D7801" w:rsidRDefault="00DA17FE"/>
    <w:sectPr w:rsidR="00DA17FE" w:rsidRPr="008D780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E9C0" w14:textId="77777777" w:rsidR="00FB212F" w:rsidRDefault="00FB212F" w:rsidP="00FB212F">
      <w:pPr>
        <w:spacing w:after="0" w:line="240" w:lineRule="auto"/>
      </w:pPr>
      <w:r>
        <w:separator/>
      </w:r>
    </w:p>
  </w:endnote>
  <w:endnote w:type="continuationSeparator" w:id="0">
    <w:p w14:paraId="157C22CF" w14:textId="77777777" w:rsidR="00FB212F" w:rsidRDefault="00FB212F" w:rsidP="00FB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162A" w14:textId="77777777" w:rsidR="00FB212F" w:rsidRDefault="00FB212F" w:rsidP="00FB212F">
      <w:pPr>
        <w:spacing w:after="0" w:line="240" w:lineRule="auto"/>
      </w:pPr>
      <w:r>
        <w:separator/>
      </w:r>
    </w:p>
  </w:footnote>
  <w:footnote w:type="continuationSeparator" w:id="0">
    <w:p w14:paraId="1305B696" w14:textId="77777777" w:rsidR="00FB212F" w:rsidRDefault="00FB212F" w:rsidP="00FB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1E3D" w14:textId="6C0CA7FE" w:rsidR="00FB212F" w:rsidRPr="00FB212F" w:rsidRDefault="00FB212F" w:rsidP="00FB212F">
    <w:pPr>
      <w:pStyle w:val="Koptekst"/>
      <w:rPr>
        <w:rFonts w:ascii="Courier New" w:eastAsia="Times New Roman" w:hAnsi="Courier New" w:cs="Times New Roman"/>
        <w:lang w:eastAsia="nl-NL"/>
      </w:rPr>
    </w:pPr>
  </w:p>
  <w:tbl>
    <w:tblPr>
      <w:tblW w:w="11586" w:type="dxa"/>
      <w:tblInd w:w="-1735" w:type="dxa"/>
      <w:tblLook w:val="04A0" w:firstRow="1" w:lastRow="0" w:firstColumn="1" w:lastColumn="0" w:noHBand="0" w:noVBand="1"/>
    </w:tblPr>
    <w:tblGrid>
      <w:gridCol w:w="1844"/>
      <w:gridCol w:w="3685"/>
      <w:gridCol w:w="2019"/>
      <w:gridCol w:w="2019"/>
      <w:gridCol w:w="2019"/>
    </w:tblGrid>
    <w:tr w:rsidR="00FB212F" w:rsidRPr="00FB212F" w14:paraId="3A4F16C5" w14:textId="77777777" w:rsidTr="00C8243A">
      <w:trPr>
        <w:trHeight w:hRule="exact" w:val="138"/>
      </w:trPr>
      <w:tc>
        <w:tcPr>
          <w:tcW w:w="1844" w:type="dxa"/>
          <w:vAlign w:val="center"/>
        </w:tcPr>
        <w:p w14:paraId="7D78D6BC" w14:textId="77777777" w:rsidR="00FB212F" w:rsidRPr="00FB212F" w:rsidRDefault="00FB212F" w:rsidP="00FB212F">
          <w:pPr>
            <w:tabs>
              <w:tab w:val="center" w:pos="4536"/>
              <w:tab w:val="right" w:pos="9072"/>
            </w:tabs>
            <w:spacing w:after="0" w:line="240" w:lineRule="auto"/>
            <w:ind w:firstLine="25"/>
            <w:jc w:val="right"/>
            <w:rPr>
              <w:rFonts w:ascii="Univers" w:eastAsia="Times New Roman" w:hAnsi="Univers" w:cs="Times New Roman"/>
              <w:sz w:val="12"/>
              <w:szCs w:val="12"/>
              <w:lang w:eastAsia="nl-NL"/>
            </w:rPr>
          </w:pPr>
          <w:r w:rsidRPr="00FB212F">
            <w:rPr>
              <w:rFonts w:ascii="Univers" w:eastAsia="Times New Roman" w:hAnsi="Univers" w:cs="Times New Roman"/>
              <w:sz w:val="12"/>
              <w:szCs w:val="12"/>
              <w:lang w:eastAsia="nl-NL"/>
            </w:rPr>
            <w:t>Titel</w:t>
          </w:r>
        </w:p>
      </w:tc>
      <w:tc>
        <w:tcPr>
          <w:tcW w:w="3685" w:type="dxa"/>
          <w:vAlign w:val="center"/>
        </w:tcPr>
        <w:p w14:paraId="1FD2DC91" w14:textId="56EEBA04" w:rsidR="00FB212F" w:rsidRPr="00FB212F" w:rsidRDefault="00E87050" w:rsidP="00FB212F">
          <w:pPr>
            <w:spacing w:after="0" w:line="240" w:lineRule="auto"/>
            <w:rPr>
              <w:rFonts w:ascii="Univers" w:eastAsia="Times New Roman" w:hAnsi="Univers" w:cs="Times New Roman"/>
              <w:sz w:val="12"/>
              <w:szCs w:val="12"/>
              <w:lang w:eastAsia="nl-NL"/>
            </w:rPr>
          </w:pPr>
          <w:r>
            <w:rPr>
              <w:rFonts w:ascii="Univers" w:eastAsia="Times New Roman" w:hAnsi="Univers" w:cs="Times New Roman"/>
              <w:bCs/>
              <w:iCs/>
              <w:noProof/>
              <w:sz w:val="12"/>
              <w:szCs w:val="12"/>
              <w:lang w:eastAsia="nl-NL"/>
            </w:rPr>
            <w:t xml:space="preserve">Aanbesteding </w:t>
          </w:r>
          <w:r w:rsidR="00FB212F">
            <w:rPr>
              <w:rFonts w:ascii="Univers" w:eastAsia="Times New Roman" w:hAnsi="Univers" w:cs="Times New Roman"/>
              <w:bCs/>
              <w:iCs/>
              <w:noProof/>
              <w:sz w:val="12"/>
              <w:szCs w:val="12"/>
              <w:lang w:eastAsia="nl-NL"/>
            </w:rPr>
            <w:t>Soc</w:t>
          </w:r>
          <w:r w:rsidR="00FB212F" w:rsidRPr="00FB212F">
            <w:rPr>
              <w:rFonts w:ascii="Univers" w:eastAsia="Times New Roman" w:hAnsi="Univers" w:cs="Times New Roman"/>
              <w:bCs/>
              <w:iCs/>
              <w:noProof/>
              <w:sz w:val="12"/>
              <w:szCs w:val="12"/>
              <w:lang w:eastAsia="nl-NL"/>
            </w:rPr>
            <w:t xml:space="preserve">iale Basis   </w:t>
          </w:r>
        </w:p>
      </w:tc>
      <w:tc>
        <w:tcPr>
          <w:tcW w:w="2019" w:type="dxa"/>
        </w:tcPr>
        <w:p w14:paraId="77645A4C" w14:textId="77777777" w:rsidR="00FB212F" w:rsidRPr="00FB212F" w:rsidRDefault="00FB212F" w:rsidP="00FB212F">
          <w:pPr>
            <w:spacing w:after="0" w:line="240" w:lineRule="auto"/>
            <w:rPr>
              <w:rFonts w:ascii="Univers" w:eastAsia="Times New Roman" w:hAnsi="Univers" w:cs="Times New Roman"/>
              <w:bCs/>
              <w:iCs/>
              <w:sz w:val="12"/>
              <w:szCs w:val="12"/>
              <w:lang w:eastAsia="nl-NL"/>
            </w:rPr>
          </w:pPr>
        </w:p>
      </w:tc>
      <w:tc>
        <w:tcPr>
          <w:tcW w:w="2019" w:type="dxa"/>
        </w:tcPr>
        <w:p w14:paraId="5FE91B94" w14:textId="77777777" w:rsidR="00FB212F" w:rsidRPr="00FB212F" w:rsidRDefault="00FB212F" w:rsidP="00FB212F">
          <w:pPr>
            <w:spacing w:after="0" w:line="240" w:lineRule="auto"/>
            <w:rPr>
              <w:rFonts w:ascii="Univers" w:eastAsia="Times New Roman" w:hAnsi="Univers" w:cs="Times New Roman"/>
              <w:bCs/>
              <w:iCs/>
              <w:sz w:val="12"/>
              <w:szCs w:val="12"/>
              <w:lang w:eastAsia="nl-NL"/>
            </w:rPr>
          </w:pPr>
        </w:p>
      </w:tc>
      <w:tc>
        <w:tcPr>
          <w:tcW w:w="2019" w:type="dxa"/>
        </w:tcPr>
        <w:p w14:paraId="0CD3F448" w14:textId="77777777" w:rsidR="00FB212F" w:rsidRPr="00FB212F" w:rsidRDefault="00FB212F" w:rsidP="00FB212F">
          <w:pPr>
            <w:spacing w:after="0" w:line="240" w:lineRule="auto"/>
            <w:rPr>
              <w:rFonts w:ascii="Univers" w:eastAsia="Times New Roman" w:hAnsi="Univers" w:cs="Times New Roman"/>
              <w:bCs/>
              <w:iCs/>
              <w:sz w:val="12"/>
              <w:szCs w:val="12"/>
              <w:lang w:eastAsia="nl-NL"/>
            </w:rPr>
          </w:pPr>
          <w:r w:rsidRPr="00FB212F">
            <w:rPr>
              <w:rFonts w:ascii="Courier New" w:eastAsia="Times New Roman" w:hAnsi="Courier New" w:cs="Times New Roman"/>
              <w:noProof/>
              <w:lang w:eastAsia="nl-NL"/>
            </w:rPr>
            <w:drawing>
              <wp:anchor distT="0" distB="0" distL="114300" distR="114300" simplePos="0" relativeHeight="251659264" behindDoc="0" locked="0" layoutInCell="1" allowOverlap="1" wp14:anchorId="1CF98124" wp14:editId="2ADC0EA8">
                <wp:simplePos x="0" y="0"/>
                <wp:positionH relativeFrom="column">
                  <wp:posOffset>-611505</wp:posOffset>
                </wp:positionH>
                <wp:positionV relativeFrom="paragraph">
                  <wp:posOffset>-14605</wp:posOffset>
                </wp:positionV>
                <wp:extent cx="1589405" cy="316230"/>
                <wp:effectExtent l="0" t="0" r="0" b="7620"/>
                <wp:wrapNone/>
                <wp:docPr id="1426460201" name="Afbeelding 142646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9405" cy="316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212F" w:rsidRPr="00FB212F" w14:paraId="034A1AAC" w14:textId="77777777" w:rsidTr="00C8243A">
      <w:trPr>
        <w:trHeight w:hRule="exact" w:val="284"/>
      </w:trPr>
      <w:tc>
        <w:tcPr>
          <w:tcW w:w="1844" w:type="dxa"/>
          <w:vAlign w:val="center"/>
        </w:tcPr>
        <w:p w14:paraId="07294848" w14:textId="77777777" w:rsidR="00FB212F" w:rsidRPr="00FB212F" w:rsidRDefault="00FB212F" w:rsidP="00FB212F">
          <w:pPr>
            <w:tabs>
              <w:tab w:val="center" w:pos="4536"/>
              <w:tab w:val="right" w:pos="9072"/>
            </w:tabs>
            <w:spacing w:after="0" w:line="240" w:lineRule="auto"/>
            <w:jc w:val="right"/>
            <w:rPr>
              <w:rFonts w:ascii="Univers" w:eastAsia="Times New Roman" w:hAnsi="Univers" w:cs="Times New Roman"/>
              <w:sz w:val="12"/>
              <w:szCs w:val="12"/>
              <w:lang w:eastAsia="nl-NL"/>
            </w:rPr>
          </w:pPr>
          <w:r w:rsidRPr="00FB212F">
            <w:rPr>
              <w:rFonts w:ascii="Univers" w:eastAsia="Times New Roman" w:hAnsi="Univers" w:cs="Times New Roman"/>
              <w:sz w:val="12"/>
              <w:szCs w:val="12"/>
              <w:lang w:eastAsia="nl-NL"/>
            </w:rPr>
            <w:t>Datum</w:t>
          </w:r>
        </w:p>
      </w:tc>
      <w:tc>
        <w:tcPr>
          <w:tcW w:w="3685" w:type="dxa"/>
          <w:vAlign w:val="center"/>
        </w:tcPr>
        <w:p w14:paraId="55C694EC" w14:textId="77777777" w:rsidR="00FB212F" w:rsidRPr="00FB212F" w:rsidRDefault="00FB212F" w:rsidP="00FB212F">
          <w:pPr>
            <w:tabs>
              <w:tab w:val="center" w:pos="4536"/>
              <w:tab w:val="right" w:pos="9072"/>
            </w:tabs>
            <w:spacing w:after="0" w:line="240" w:lineRule="auto"/>
            <w:rPr>
              <w:rFonts w:ascii="Univers" w:eastAsia="Times New Roman" w:hAnsi="Univers" w:cs="Times New Roman"/>
              <w:sz w:val="12"/>
              <w:szCs w:val="12"/>
              <w:lang w:eastAsia="nl-NL"/>
            </w:rPr>
          </w:pPr>
          <w:r w:rsidRPr="00FB212F">
            <w:rPr>
              <w:rFonts w:ascii="Univers" w:eastAsia="Times New Roman" w:hAnsi="Univers" w:cs="Times New Roman"/>
              <w:sz w:val="12"/>
              <w:szCs w:val="12"/>
              <w:lang w:eastAsia="nl-NL"/>
            </w:rPr>
            <w:t xml:space="preserve">6 mei 2026   </w:t>
          </w:r>
        </w:p>
      </w:tc>
      <w:tc>
        <w:tcPr>
          <w:tcW w:w="2019" w:type="dxa"/>
        </w:tcPr>
        <w:p w14:paraId="3E4C065D" w14:textId="77777777" w:rsidR="00FB212F" w:rsidRPr="00FB212F" w:rsidRDefault="00FB212F" w:rsidP="00FB212F">
          <w:pPr>
            <w:spacing w:after="0" w:line="240" w:lineRule="auto"/>
            <w:rPr>
              <w:rFonts w:ascii="Univers" w:eastAsia="Times New Roman" w:hAnsi="Univers" w:cs="Times New Roman"/>
              <w:iCs/>
              <w:sz w:val="12"/>
              <w:szCs w:val="12"/>
              <w:lang w:eastAsia="nl-NL"/>
            </w:rPr>
          </w:pPr>
        </w:p>
      </w:tc>
      <w:tc>
        <w:tcPr>
          <w:tcW w:w="2019" w:type="dxa"/>
        </w:tcPr>
        <w:p w14:paraId="059CF575" w14:textId="77777777" w:rsidR="00FB212F" w:rsidRPr="00FB212F" w:rsidRDefault="00FB212F" w:rsidP="00FB212F">
          <w:pPr>
            <w:spacing w:after="0" w:line="240" w:lineRule="auto"/>
            <w:rPr>
              <w:rFonts w:ascii="Univers" w:eastAsia="Times New Roman" w:hAnsi="Univers" w:cs="Times New Roman"/>
              <w:iCs/>
              <w:sz w:val="12"/>
              <w:szCs w:val="12"/>
              <w:lang w:eastAsia="nl-NL"/>
            </w:rPr>
          </w:pPr>
        </w:p>
      </w:tc>
      <w:tc>
        <w:tcPr>
          <w:tcW w:w="2019" w:type="dxa"/>
        </w:tcPr>
        <w:p w14:paraId="71812A8B" w14:textId="77777777" w:rsidR="00FB212F" w:rsidRPr="00FB212F" w:rsidRDefault="00FB212F" w:rsidP="00FB212F">
          <w:pPr>
            <w:spacing w:after="0" w:line="240" w:lineRule="auto"/>
            <w:rPr>
              <w:rFonts w:ascii="Univers" w:eastAsia="Times New Roman" w:hAnsi="Univers" w:cs="Times New Roman"/>
              <w:iCs/>
              <w:sz w:val="12"/>
              <w:szCs w:val="12"/>
              <w:lang w:eastAsia="nl-NL"/>
            </w:rPr>
          </w:pPr>
        </w:p>
      </w:tc>
    </w:tr>
    <w:tr w:rsidR="00FB212F" w:rsidRPr="00FB212F" w14:paraId="0F4FA651" w14:textId="77777777" w:rsidTr="00C8243A">
      <w:trPr>
        <w:trHeight w:hRule="exact" w:val="144"/>
      </w:trPr>
      <w:tc>
        <w:tcPr>
          <w:tcW w:w="1844" w:type="dxa"/>
          <w:vAlign w:val="center"/>
        </w:tcPr>
        <w:p w14:paraId="4CEDFBD8" w14:textId="77777777" w:rsidR="00FB212F" w:rsidRPr="00FB212F" w:rsidRDefault="00FB212F" w:rsidP="00FB212F">
          <w:pPr>
            <w:tabs>
              <w:tab w:val="center" w:pos="4536"/>
              <w:tab w:val="right" w:pos="9072"/>
            </w:tabs>
            <w:spacing w:after="0" w:line="240" w:lineRule="auto"/>
            <w:jc w:val="right"/>
            <w:rPr>
              <w:rFonts w:ascii="Univers" w:eastAsia="Times New Roman" w:hAnsi="Univers" w:cs="Times New Roman"/>
              <w:sz w:val="12"/>
              <w:szCs w:val="12"/>
              <w:lang w:eastAsia="nl-NL"/>
            </w:rPr>
          </w:pPr>
          <w:r w:rsidRPr="00FB212F">
            <w:rPr>
              <w:rFonts w:ascii="Univers" w:eastAsia="Times New Roman" w:hAnsi="Univers" w:cs="Times New Roman"/>
              <w:sz w:val="12"/>
              <w:szCs w:val="12"/>
              <w:lang w:eastAsia="nl-NL"/>
            </w:rPr>
            <w:t>Pagina</w:t>
          </w:r>
        </w:p>
      </w:tc>
      <w:tc>
        <w:tcPr>
          <w:tcW w:w="3685" w:type="dxa"/>
          <w:vAlign w:val="center"/>
        </w:tcPr>
        <w:p w14:paraId="60E3729F" w14:textId="77777777" w:rsidR="00FB212F" w:rsidRPr="00FB212F" w:rsidRDefault="00FB212F" w:rsidP="00FB212F">
          <w:pPr>
            <w:tabs>
              <w:tab w:val="center" w:pos="4536"/>
              <w:tab w:val="right" w:pos="9072"/>
            </w:tabs>
            <w:spacing w:after="0" w:line="240" w:lineRule="auto"/>
            <w:rPr>
              <w:rFonts w:ascii="Univers" w:eastAsia="Times New Roman" w:hAnsi="Univers" w:cs="Times New Roman"/>
              <w:sz w:val="12"/>
              <w:szCs w:val="12"/>
              <w:lang w:eastAsia="nl-NL"/>
            </w:rPr>
          </w:pPr>
          <w:r w:rsidRPr="00FB212F">
            <w:rPr>
              <w:rFonts w:ascii="Univers" w:eastAsia="Times New Roman" w:hAnsi="Univers" w:cs="Times New Roman"/>
              <w:sz w:val="12"/>
              <w:szCs w:val="12"/>
              <w:lang w:eastAsia="nl-NL"/>
            </w:rPr>
            <w:fldChar w:fldCharType="begin"/>
          </w:r>
          <w:r w:rsidRPr="00FB212F">
            <w:rPr>
              <w:rFonts w:ascii="Univers" w:eastAsia="Times New Roman" w:hAnsi="Univers" w:cs="Times New Roman"/>
              <w:sz w:val="12"/>
              <w:szCs w:val="12"/>
              <w:lang w:eastAsia="nl-NL"/>
            </w:rPr>
            <w:instrText xml:space="preserve"> PAGE   \* MERGEFORMAT </w:instrText>
          </w:r>
          <w:r w:rsidRPr="00FB212F">
            <w:rPr>
              <w:rFonts w:ascii="Univers" w:eastAsia="Times New Roman" w:hAnsi="Univers" w:cs="Times New Roman"/>
              <w:sz w:val="12"/>
              <w:szCs w:val="12"/>
              <w:lang w:eastAsia="nl-NL"/>
            </w:rPr>
            <w:fldChar w:fldCharType="separate"/>
          </w:r>
          <w:r w:rsidRPr="00FB212F">
            <w:rPr>
              <w:rFonts w:ascii="Univers" w:eastAsia="Times New Roman" w:hAnsi="Univers" w:cs="Times New Roman"/>
              <w:sz w:val="12"/>
              <w:szCs w:val="12"/>
              <w:lang w:eastAsia="nl-NL"/>
            </w:rPr>
            <w:t>1</w:t>
          </w:r>
          <w:r w:rsidRPr="00FB212F">
            <w:rPr>
              <w:rFonts w:ascii="Univers" w:eastAsia="Times New Roman" w:hAnsi="Univers" w:cs="Times New Roman"/>
              <w:sz w:val="12"/>
              <w:szCs w:val="12"/>
              <w:lang w:eastAsia="nl-NL"/>
            </w:rPr>
            <w:fldChar w:fldCharType="end"/>
          </w:r>
          <w:r w:rsidRPr="00FB212F">
            <w:rPr>
              <w:rFonts w:ascii="Univers" w:eastAsia="Times New Roman" w:hAnsi="Univers" w:cs="Times New Roman"/>
              <w:sz w:val="12"/>
              <w:szCs w:val="12"/>
              <w:lang w:eastAsia="nl-NL"/>
            </w:rPr>
            <w:t xml:space="preserve"> van </w:t>
          </w:r>
          <w:r w:rsidRPr="00FB212F">
            <w:rPr>
              <w:rFonts w:ascii="Univers" w:eastAsia="Times New Roman" w:hAnsi="Univers" w:cs="Times New Roman"/>
              <w:noProof/>
              <w:sz w:val="12"/>
              <w:szCs w:val="12"/>
              <w:lang w:eastAsia="nl-NL"/>
            </w:rPr>
            <w:fldChar w:fldCharType="begin"/>
          </w:r>
          <w:r w:rsidRPr="00FB212F">
            <w:rPr>
              <w:rFonts w:ascii="Univers" w:eastAsia="Times New Roman" w:hAnsi="Univers" w:cs="Times New Roman"/>
              <w:noProof/>
              <w:sz w:val="12"/>
              <w:szCs w:val="12"/>
              <w:lang w:eastAsia="nl-NL"/>
            </w:rPr>
            <w:instrText xml:space="preserve"> NUMPAGES   \* MERGEFORMAT </w:instrText>
          </w:r>
          <w:r w:rsidRPr="00FB212F">
            <w:rPr>
              <w:rFonts w:ascii="Univers" w:eastAsia="Times New Roman" w:hAnsi="Univers" w:cs="Times New Roman"/>
              <w:noProof/>
              <w:sz w:val="12"/>
              <w:szCs w:val="12"/>
              <w:lang w:eastAsia="nl-NL"/>
            </w:rPr>
            <w:fldChar w:fldCharType="separate"/>
          </w:r>
          <w:r w:rsidRPr="00FB212F">
            <w:rPr>
              <w:rFonts w:ascii="Univers" w:eastAsia="Times New Roman" w:hAnsi="Univers" w:cs="Times New Roman"/>
              <w:noProof/>
              <w:sz w:val="12"/>
              <w:szCs w:val="12"/>
              <w:lang w:eastAsia="nl-NL"/>
            </w:rPr>
            <w:t>4</w:t>
          </w:r>
          <w:r w:rsidRPr="00FB212F">
            <w:rPr>
              <w:rFonts w:ascii="Univers" w:eastAsia="Times New Roman" w:hAnsi="Univers" w:cs="Times New Roman"/>
              <w:noProof/>
              <w:sz w:val="12"/>
              <w:szCs w:val="12"/>
              <w:lang w:eastAsia="nl-NL"/>
            </w:rPr>
            <w:fldChar w:fldCharType="end"/>
          </w:r>
        </w:p>
      </w:tc>
      <w:tc>
        <w:tcPr>
          <w:tcW w:w="2019" w:type="dxa"/>
        </w:tcPr>
        <w:p w14:paraId="10B136D9" w14:textId="77777777" w:rsidR="00FB212F" w:rsidRPr="00FB212F" w:rsidRDefault="00FB212F" w:rsidP="00FB212F">
          <w:pPr>
            <w:tabs>
              <w:tab w:val="center" w:pos="4536"/>
              <w:tab w:val="right" w:pos="9072"/>
            </w:tabs>
            <w:spacing w:after="0" w:line="240" w:lineRule="auto"/>
            <w:rPr>
              <w:rFonts w:ascii="Univers" w:eastAsia="Times New Roman" w:hAnsi="Univers" w:cs="Times New Roman"/>
              <w:sz w:val="12"/>
              <w:szCs w:val="12"/>
              <w:lang w:eastAsia="nl-NL"/>
            </w:rPr>
          </w:pPr>
        </w:p>
      </w:tc>
      <w:tc>
        <w:tcPr>
          <w:tcW w:w="2019" w:type="dxa"/>
        </w:tcPr>
        <w:p w14:paraId="7991EAAF" w14:textId="77777777" w:rsidR="00FB212F" w:rsidRPr="00FB212F" w:rsidRDefault="00FB212F" w:rsidP="00FB212F">
          <w:pPr>
            <w:tabs>
              <w:tab w:val="center" w:pos="4536"/>
              <w:tab w:val="right" w:pos="9072"/>
            </w:tabs>
            <w:spacing w:after="0" w:line="240" w:lineRule="auto"/>
            <w:rPr>
              <w:rFonts w:ascii="Univers" w:eastAsia="Times New Roman" w:hAnsi="Univers" w:cs="Times New Roman"/>
              <w:sz w:val="12"/>
              <w:szCs w:val="12"/>
              <w:lang w:eastAsia="nl-NL"/>
            </w:rPr>
          </w:pPr>
        </w:p>
      </w:tc>
      <w:tc>
        <w:tcPr>
          <w:tcW w:w="2019" w:type="dxa"/>
        </w:tcPr>
        <w:p w14:paraId="6DE54331" w14:textId="77777777" w:rsidR="00FB212F" w:rsidRPr="00FB212F" w:rsidRDefault="00FB212F" w:rsidP="00FB212F">
          <w:pPr>
            <w:tabs>
              <w:tab w:val="center" w:pos="4536"/>
              <w:tab w:val="right" w:pos="9072"/>
            </w:tabs>
            <w:spacing w:after="0" w:line="240" w:lineRule="auto"/>
            <w:rPr>
              <w:rFonts w:ascii="Univers" w:eastAsia="Times New Roman" w:hAnsi="Univers" w:cs="Times New Roman"/>
              <w:sz w:val="12"/>
              <w:szCs w:val="12"/>
              <w:lang w:eastAsia="nl-NL"/>
            </w:rPr>
          </w:pPr>
        </w:p>
      </w:tc>
    </w:tr>
  </w:tbl>
  <w:p w14:paraId="7DAC1A1C" w14:textId="77777777" w:rsidR="00FB212F" w:rsidRPr="00FB212F" w:rsidRDefault="00FB212F" w:rsidP="00FB212F">
    <w:pPr>
      <w:tabs>
        <w:tab w:val="center" w:pos="4536"/>
        <w:tab w:val="right" w:pos="9072"/>
      </w:tabs>
      <w:spacing w:after="0" w:line="240" w:lineRule="auto"/>
      <w:rPr>
        <w:rFonts w:ascii="Courier New" w:eastAsia="Times New Roman" w:hAnsi="Courier New" w:cs="Times New Roman"/>
        <w:lang w:eastAsia="nl-NL"/>
      </w:rPr>
    </w:pPr>
  </w:p>
  <w:p w14:paraId="345001DE" w14:textId="77777777" w:rsidR="00FB212F" w:rsidRDefault="00FB21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44"/>
    <w:multiLevelType w:val="multilevel"/>
    <w:tmpl w:val="0C2E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665DD"/>
    <w:multiLevelType w:val="multilevel"/>
    <w:tmpl w:val="1326DB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D0556"/>
    <w:multiLevelType w:val="multilevel"/>
    <w:tmpl w:val="EB0CB3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42294"/>
    <w:multiLevelType w:val="multilevel"/>
    <w:tmpl w:val="696000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E6A3D"/>
    <w:multiLevelType w:val="multilevel"/>
    <w:tmpl w:val="DAD4B3F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E74D7"/>
    <w:multiLevelType w:val="multilevel"/>
    <w:tmpl w:val="5D20F4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7206B"/>
    <w:multiLevelType w:val="multilevel"/>
    <w:tmpl w:val="B712A3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E2490"/>
    <w:multiLevelType w:val="multilevel"/>
    <w:tmpl w:val="E5AE08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90B02"/>
    <w:multiLevelType w:val="multilevel"/>
    <w:tmpl w:val="1E68C0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32730"/>
    <w:multiLevelType w:val="multilevel"/>
    <w:tmpl w:val="12C8C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5067B"/>
    <w:multiLevelType w:val="multilevel"/>
    <w:tmpl w:val="81CC0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8376A"/>
    <w:multiLevelType w:val="multilevel"/>
    <w:tmpl w:val="2A021A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C5ECF"/>
    <w:multiLevelType w:val="multilevel"/>
    <w:tmpl w:val="051A3A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641B6"/>
    <w:multiLevelType w:val="multilevel"/>
    <w:tmpl w:val="6BE6F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0196A"/>
    <w:multiLevelType w:val="multilevel"/>
    <w:tmpl w:val="3FA2825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D1BE5"/>
    <w:multiLevelType w:val="multilevel"/>
    <w:tmpl w:val="88A8F7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E5F82"/>
    <w:multiLevelType w:val="multilevel"/>
    <w:tmpl w:val="B254D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DB388D"/>
    <w:multiLevelType w:val="multilevel"/>
    <w:tmpl w:val="7A50B8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25101"/>
    <w:multiLevelType w:val="multilevel"/>
    <w:tmpl w:val="A85424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6717F"/>
    <w:multiLevelType w:val="multilevel"/>
    <w:tmpl w:val="BA32B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70A84"/>
    <w:multiLevelType w:val="multilevel"/>
    <w:tmpl w:val="59AE054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4DDE"/>
    <w:multiLevelType w:val="multilevel"/>
    <w:tmpl w:val="F2D805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267877"/>
    <w:multiLevelType w:val="multilevel"/>
    <w:tmpl w:val="7FE4D4F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4A592E"/>
    <w:multiLevelType w:val="multilevel"/>
    <w:tmpl w:val="24E01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3E6821"/>
    <w:multiLevelType w:val="multilevel"/>
    <w:tmpl w:val="2452AD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3C3964"/>
    <w:multiLevelType w:val="multilevel"/>
    <w:tmpl w:val="EF6A673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677605">
    <w:abstractNumId w:val="0"/>
  </w:num>
  <w:num w:numId="2" w16cid:durableId="1052927114">
    <w:abstractNumId w:val="13"/>
  </w:num>
  <w:num w:numId="3" w16cid:durableId="861632150">
    <w:abstractNumId w:val="16"/>
  </w:num>
  <w:num w:numId="4" w16cid:durableId="967861389">
    <w:abstractNumId w:val="9"/>
  </w:num>
  <w:num w:numId="5" w16cid:durableId="753741039">
    <w:abstractNumId w:val="10"/>
  </w:num>
  <w:num w:numId="6" w16cid:durableId="1827209391">
    <w:abstractNumId w:val="6"/>
  </w:num>
  <w:num w:numId="7" w16cid:durableId="241839265">
    <w:abstractNumId w:val="23"/>
  </w:num>
  <w:num w:numId="8" w16cid:durableId="1988438123">
    <w:abstractNumId w:val="19"/>
  </w:num>
  <w:num w:numId="9" w16cid:durableId="1853761671">
    <w:abstractNumId w:val="15"/>
  </w:num>
  <w:num w:numId="10" w16cid:durableId="1074357247">
    <w:abstractNumId w:val="5"/>
  </w:num>
  <w:num w:numId="11" w16cid:durableId="776145481">
    <w:abstractNumId w:val="2"/>
  </w:num>
  <w:num w:numId="12" w16cid:durableId="55788368">
    <w:abstractNumId w:val="12"/>
  </w:num>
  <w:num w:numId="13" w16cid:durableId="1917812390">
    <w:abstractNumId w:val="7"/>
  </w:num>
  <w:num w:numId="14" w16cid:durableId="302079578">
    <w:abstractNumId w:val="21"/>
  </w:num>
  <w:num w:numId="15" w16cid:durableId="410542847">
    <w:abstractNumId w:val="24"/>
  </w:num>
  <w:num w:numId="16" w16cid:durableId="901981987">
    <w:abstractNumId w:val="8"/>
  </w:num>
  <w:num w:numId="17" w16cid:durableId="8068096">
    <w:abstractNumId w:val="11"/>
  </w:num>
  <w:num w:numId="18" w16cid:durableId="441191204">
    <w:abstractNumId w:val="14"/>
  </w:num>
  <w:num w:numId="19" w16cid:durableId="53048056">
    <w:abstractNumId w:val="3"/>
  </w:num>
  <w:num w:numId="20" w16cid:durableId="1486968016">
    <w:abstractNumId w:val="17"/>
  </w:num>
  <w:num w:numId="21" w16cid:durableId="856700733">
    <w:abstractNumId w:val="18"/>
  </w:num>
  <w:num w:numId="22" w16cid:durableId="989551621">
    <w:abstractNumId w:val="22"/>
  </w:num>
  <w:num w:numId="23" w16cid:durableId="1859923066">
    <w:abstractNumId w:val="1"/>
  </w:num>
  <w:num w:numId="24" w16cid:durableId="965428350">
    <w:abstractNumId w:val="25"/>
  </w:num>
  <w:num w:numId="25" w16cid:durableId="208539765">
    <w:abstractNumId w:val="20"/>
  </w:num>
  <w:num w:numId="26" w16cid:durableId="401678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2F"/>
    <w:rsid w:val="00676D87"/>
    <w:rsid w:val="00844A17"/>
    <w:rsid w:val="008D7801"/>
    <w:rsid w:val="009A3307"/>
    <w:rsid w:val="00DA17FE"/>
    <w:rsid w:val="00DA32D7"/>
    <w:rsid w:val="00E87050"/>
    <w:rsid w:val="00FB2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9B8D"/>
  <w15:chartTrackingRefBased/>
  <w15:docId w15:val="{4903116F-87B9-4383-AAF2-CE84A7F3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2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21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21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B212F"/>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B21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212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212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212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1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21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212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FB212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B212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B212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B212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B212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B212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B2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1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12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B2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12F"/>
    <w:rPr>
      <w:i/>
      <w:iCs/>
      <w:color w:val="404040" w:themeColor="text1" w:themeTint="BF"/>
    </w:rPr>
  </w:style>
  <w:style w:type="paragraph" w:styleId="Lijstalinea">
    <w:name w:val="List Paragraph"/>
    <w:basedOn w:val="Standaard"/>
    <w:uiPriority w:val="34"/>
    <w:qFormat/>
    <w:rsid w:val="00FB212F"/>
    <w:pPr>
      <w:ind w:left="720"/>
      <w:contextualSpacing/>
    </w:pPr>
  </w:style>
  <w:style w:type="character" w:styleId="Intensievebenadrukking">
    <w:name w:val="Intense Emphasis"/>
    <w:basedOn w:val="Standaardalinea-lettertype"/>
    <w:uiPriority w:val="21"/>
    <w:qFormat/>
    <w:rsid w:val="00FB212F"/>
    <w:rPr>
      <w:i/>
      <w:iCs/>
      <w:color w:val="2F5496" w:themeColor="accent1" w:themeShade="BF"/>
    </w:rPr>
  </w:style>
  <w:style w:type="paragraph" w:styleId="Duidelijkcitaat">
    <w:name w:val="Intense Quote"/>
    <w:basedOn w:val="Standaard"/>
    <w:next w:val="Standaard"/>
    <w:link w:val="DuidelijkcitaatChar"/>
    <w:uiPriority w:val="30"/>
    <w:qFormat/>
    <w:rsid w:val="00FB2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212F"/>
    <w:rPr>
      <w:i/>
      <w:iCs/>
      <w:color w:val="2F5496" w:themeColor="accent1" w:themeShade="BF"/>
    </w:rPr>
  </w:style>
  <w:style w:type="character" w:styleId="Intensieveverwijzing">
    <w:name w:val="Intense Reference"/>
    <w:basedOn w:val="Standaardalinea-lettertype"/>
    <w:uiPriority w:val="32"/>
    <w:qFormat/>
    <w:rsid w:val="00FB212F"/>
    <w:rPr>
      <w:b/>
      <w:bCs/>
      <w:smallCaps/>
      <w:color w:val="2F5496" w:themeColor="accent1" w:themeShade="BF"/>
      <w:spacing w:val="5"/>
    </w:rPr>
  </w:style>
  <w:style w:type="paragraph" w:styleId="Koptekst">
    <w:name w:val="header"/>
    <w:basedOn w:val="Standaard"/>
    <w:link w:val="KoptekstChar"/>
    <w:uiPriority w:val="99"/>
    <w:unhideWhenUsed/>
    <w:rsid w:val="00FB2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12F"/>
  </w:style>
  <w:style w:type="paragraph" w:styleId="Voettekst">
    <w:name w:val="footer"/>
    <w:basedOn w:val="Standaard"/>
    <w:link w:val="VoettekstChar"/>
    <w:uiPriority w:val="99"/>
    <w:unhideWhenUsed/>
    <w:rsid w:val="00FB2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ciaalwerknederland.nl/wp-content/uploads/2025/12/Governancecode-sociaal-werk-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2212</Words>
  <Characters>12169</Characters>
  <Application>Microsoft Office Word</Application>
  <DocSecurity>0</DocSecurity>
  <Lines>101</Lines>
  <Paragraphs>28</Paragraphs>
  <ScaleCrop>false</ScaleCrop>
  <Company>ICT Samen</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Roosendaal, Jacques</dc:creator>
  <cp:keywords/>
  <dc:description/>
  <cp:lastModifiedBy>Roosendaal, Jacques</cp:lastModifiedBy>
  <cp:revision>9</cp:revision>
  <dcterms:created xsi:type="dcterms:W3CDTF">2026-04-28T13:17:00Z</dcterms:created>
  <dcterms:modified xsi:type="dcterms:W3CDTF">2026-05-06T08:40:00Z</dcterms:modified>
</cp:coreProperties>
</file>