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65A9" w14:textId="6BD94A18" w:rsidR="002F194B" w:rsidRPr="002F194B" w:rsidRDefault="00376761" w:rsidP="002F194B">
      <w:pPr>
        <w:rPr>
          <w:b/>
          <w:bCs/>
        </w:rPr>
      </w:pPr>
      <w:r>
        <w:rPr>
          <w:b/>
          <w:bCs/>
        </w:rPr>
        <w:t>Invulling Programma van Wensen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4111"/>
      </w:tblGrid>
      <w:tr w:rsidR="00376761" w:rsidRPr="002F194B" w14:paraId="77618A49" w14:textId="222107DC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ABDEFD7" w14:textId="3365F004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Functioneel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A6F714" w14:textId="777A02B7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Omschrijving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373C8A" w14:textId="2607E7DF" w:rsidR="00376761" w:rsidRPr="002F194B" w:rsidRDefault="00376761" w:rsidP="002F19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Toelichting</w:t>
            </w:r>
          </w:p>
        </w:tc>
      </w:tr>
      <w:tr w:rsidR="00376761" w:rsidRPr="002F194B" w14:paraId="46DCA46C" w14:textId="2A1A6E20" w:rsidTr="00376761">
        <w:trPr>
          <w:trHeight w:val="3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844EA48" w14:textId="165B34C0" w:rsidR="00376761" w:rsidRPr="003E6D72" w:rsidRDefault="00376761" w:rsidP="002F194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E6D72">
              <w:rPr>
                <w:b/>
                <w:bCs/>
                <w:sz w:val="22"/>
                <w:szCs w:val="22"/>
              </w:rPr>
              <w:t>Workflows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2FF7BFE" w14:textId="77777777" w:rsidR="00376761" w:rsidRPr="003E6D72" w:rsidRDefault="00376761" w:rsidP="002F19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6761" w:rsidRPr="002F194B" w14:paraId="760E6359" w14:textId="2E44AC38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D84" w14:textId="24ABDC46" w:rsidR="00376761" w:rsidRPr="00376761" w:rsidRDefault="00376761" w:rsidP="002F194B">
            <w:pPr>
              <w:rPr>
                <w:b/>
                <w:bCs/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Ontvangen van notificaties door gebruikers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2A29" w14:textId="6AD613C5" w:rsidR="00376761" w:rsidRPr="00376761" w:rsidRDefault="00376761" w:rsidP="002F194B">
            <w:pPr>
              <w:rPr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Frequentie van de notificaties aan kunnen passen</w:t>
            </w:r>
            <w:r w:rsidR="005C4C92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E3B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451420BD" w14:textId="7481A7C2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393" w14:textId="0A07896B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Samenwerken binnen workflow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0FA" w14:textId="5E2F8A69" w:rsidR="00376761" w:rsidRPr="00376761" w:rsidRDefault="00376761" w:rsidP="002F194B">
            <w:pPr>
              <w:rPr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Gebruikers kunnen gelijktijdig werken aan deliverables binnen een workflow, met versiebeheer en rechten op onderdelen.)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4E0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128A9EEC" w14:textId="0446818C" w:rsidTr="00376761">
        <w:trPr>
          <w:trHeight w:val="3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7DB48F4" w14:textId="2A68F6C1" w:rsidR="00376761" w:rsidRPr="003E6D72" w:rsidRDefault="00376761" w:rsidP="002F194B">
            <w:pPr>
              <w:rPr>
                <w:b/>
                <w:bCs/>
                <w:sz w:val="22"/>
                <w:szCs w:val="22"/>
              </w:rPr>
            </w:pPr>
            <w:r w:rsidRPr="003E6D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Publicatie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FE485DE" w14:textId="77777777" w:rsidR="00376761" w:rsidRPr="003E6D72" w:rsidRDefault="00376761" w:rsidP="002F194B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6761" w:rsidRPr="002F194B" w14:paraId="124A9752" w14:textId="1CF05D5B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086" w14:textId="06EB3D7A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Integriteit digitale publicatie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47A" w14:textId="31C163B4" w:rsidR="00376761" w:rsidRPr="00376761" w:rsidRDefault="00376761" w:rsidP="002F194B">
            <w:pPr>
              <w:rPr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De integriteit van de authentieke digitale publicatie is geborgd</w:t>
            </w:r>
            <w:r w:rsidR="005C4C92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F61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65878677" w14:textId="719E457A" w:rsidTr="00376761">
        <w:trPr>
          <w:trHeight w:val="3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BA935F3" w14:textId="1A91FB49" w:rsidR="00376761" w:rsidRPr="003E6D72" w:rsidRDefault="00376761" w:rsidP="002F194B">
            <w:pPr>
              <w:rPr>
                <w:b/>
                <w:bCs/>
                <w:sz w:val="22"/>
                <w:szCs w:val="22"/>
              </w:rPr>
            </w:pPr>
            <w:r w:rsidRPr="003E6D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Gebruiksvriendelijkheid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FDC3FF8" w14:textId="77777777" w:rsidR="00376761" w:rsidRPr="003E6D72" w:rsidRDefault="00376761" w:rsidP="002F194B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6761" w:rsidRPr="002F194B" w14:paraId="1D96703D" w14:textId="1F8F079B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49F" w14:textId="161E7C94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Tool gemeente specifiek maken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59B" w14:textId="5693DA78" w:rsidR="00376761" w:rsidRPr="00376761" w:rsidRDefault="00376761" w:rsidP="002F194B">
            <w:pPr>
              <w:rPr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Flexibiliteit om benamingen van velden aan te passen</w:t>
            </w:r>
            <w:r w:rsidR="001B70FC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81C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2106424C" w14:textId="77777777" w:rsidR="002F194B" w:rsidRPr="002F194B" w:rsidRDefault="002F194B" w:rsidP="002F194B">
      <w:pPr>
        <w:rPr>
          <w:sz w:val="22"/>
          <w:szCs w:val="22"/>
        </w:rPr>
      </w:pPr>
      <w:r w:rsidRPr="002F194B">
        <w:rPr>
          <w:sz w:val="22"/>
          <w:szCs w:val="22"/>
        </w:rPr>
        <w:t> 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3969"/>
      </w:tblGrid>
      <w:tr w:rsidR="00376761" w:rsidRPr="002F194B" w14:paraId="3B5A32C1" w14:textId="3D54A08F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82A25EB" w14:textId="4F21A3E0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Innovatie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3FD66B6" w14:textId="734C0C81" w:rsidR="00376761" w:rsidRPr="002F194B" w:rsidRDefault="00376761" w:rsidP="002F194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Omschrijvig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A06025" w14:textId="1722253D" w:rsidR="00376761" w:rsidRPr="002F194B" w:rsidRDefault="00376761" w:rsidP="002F19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Toelichting </w:t>
            </w:r>
          </w:p>
        </w:tc>
      </w:tr>
      <w:tr w:rsidR="00376761" w:rsidRPr="002F194B" w14:paraId="14AF26D6" w14:textId="0D954F40" w:rsidTr="00376761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6C73E55" w14:textId="2ED7EF7E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40DFBA1" w14:textId="77777777" w:rsidR="00376761" w:rsidRDefault="00376761" w:rsidP="002F194B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6761" w:rsidRPr="002F194B" w14:paraId="078DF3B9" w14:textId="177B1DDE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692" w14:textId="5C042CA0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Dynamische </w:t>
            </w:r>
            <w:proofErr w:type="spellStart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datagedreven</w:t>
            </w:r>
            <w:proofErr w:type="spellEnd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contentgeneratie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5BBC" w14:textId="1D3C7ACC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Automatisch gegenereerde toelichtingen bij rapportages.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0F9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4055F3E5" w14:textId="44A1BA8E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2ED" w14:textId="139BE53B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Uniforme schrijfwijze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4EA5" w14:textId="75F3062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Teksten evalueren en een uniforme schrijfwijze hierop toepassen.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B39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60718B87" w14:textId="17E120D3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7E2" w14:textId="3B8B6DB3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Slimme signalerings- en interventie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  <w:t>engine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35CC" w14:textId="31BC109C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Het systeem detecteert afwijkingen vroegtijdig en stuurt automatisch notificaties met voorgestelde acties.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16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7A1342F6" w14:textId="61AB79D1" w:rsidTr="00376761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17469FF" w14:textId="5EB46540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Procesautomatisering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A6D2411" w14:textId="77777777" w:rsidR="00376761" w:rsidRDefault="00376761" w:rsidP="002F194B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6761" w:rsidRPr="002F194B" w14:paraId="3DD5BA84" w14:textId="180D4B30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B39" w14:textId="3DFF6055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Intelligent workflow </w:t>
            </w:r>
            <w:proofErr w:type="spellStart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automation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F7F" w14:textId="256CCF7D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Systemen die workflow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  <w:t>stappen automatisch voorstellen of aanpassen op basis van historiek en drukte.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DF4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618B6893" w14:textId="0E91C85A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A11" w14:textId="7149AE0F" w:rsidR="00376761" w:rsidRPr="00376761" w:rsidRDefault="00376761" w:rsidP="00F47A76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Real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  <w:t>time integratie van financiële én niet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  <w:t xml:space="preserve">financiële </w:t>
            </w:r>
            <w:proofErr w:type="spellStart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KPI’s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0AB" w14:textId="0837A415" w:rsidR="00376761" w:rsidRPr="00376761" w:rsidRDefault="00376761" w:rsidP="005756D3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Het systeem koppelt automatisch data van verschillende bronnen (projectsystemen, HR, </w:t>
            </w:r>
            <w:proofErr w:type="spellStart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asset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  <w:t>management</w:t>
            </w:r>
            <w:proofErr w:type="spellEnd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, sociaal domein, etc.).</w:t>
            </w:r>
            <w:r w:rsidRPr="00376761">
              <w:rPr>
                <w:sz w:val="20"/>
                <w:szCs w:val="2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EF4" w14:textId="77777777" w:rsidR="00376761" w:rsidRPr="00376761" w:rsidRDefault="00376761" w:rsidP="005756D3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553AFB82" w14:textId="233EBA58" w:rsidTr="00376761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F61C7CE" w14:textId="407BD57B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Samenwerking &amp; Transparantie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87F822F" w14:textId="77777777" w:rsidR="00376761" w:rsidRDefault="00376761" w:rsidP="002F194B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6761" w:rsidRPr="002F194B" w14:paraId="279F3D26" w14:textId="0EB2121B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C50" w14:textId="4A265965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Openbare viewer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4F8" w14:textId="0131136D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Optie om delen van de begroting of dashboards automatisch te publiceren voor inwoners (openbare transparantie). Van statisch naar dynamisch</w:t>
            </w:r>
            <w:r w:rsidR="001B70FC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ECB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376761" w:rsidRPr="002F194B" w14:paraId="1CDE33D0" w14:textId="5A0ED94C" w:rsidTr="00376761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D7A0353" w14:textId="7BC10363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Innovatieve User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Experience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6B31380" w14:textId="77777777" w:rsidR="00376761" w:rsidRDefault="00376761" w:rsidP="002F194B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6761" w:rsidRPr="002F194B" w14:paraId="483AAF92" w14:textId="1EFFD5A4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64B" w14:textId="0F2E5431" w:rsidR="00376761" w:rsidRPr="00376761" w:rsidRDefault="00376761" w:rsidP="003E232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Conversational</w:t>
            </w:r>
            <w:proofErr w:type="spellEnd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interface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48F" w14:textId="5A606721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Chat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  <w:t>gebaseerde interactie voor het opvragen van cijfers, verklaringen en trends (bijv. “waarom stijgt programma 3 in Q2?”).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BAA3" w14:textId="77777777" w:rsidR="00376761" w:rsidRPr="00376761" w:rsidRDefault="00376761" w:rsidP="002F194B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38D8B9FD" w14:textId="77777777" w:rsidR="002F194B" w:rsidRPr="002F194B" w:rsidRDefault="002F194B" w:rsidP="002F194B">
      <w:pPr>
        <w:rPr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111"/>
        <w:gridCol w:w="3827"/>
      </w:tblGrid>
      <w:tr w:rsidR="00376761" w:rsidRPr="002F194B" w14:paraId="06D6E75F" w14:textId="4123AADD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D63EF61" w14:textId="795D0873" w:rsidR="00376761" w:rsidRPr="002F194B" w:rsidRDefault="00376761" w:rsidP="002F194B">
            <w:pPr>
              <w:rPr>
                <w:sz w:val="22"/>
                <w:szCs w:val="22"/>
              </w:rPr>
            </w:pPr>
            <w:r w:rsidRPr="002F194B"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unctioneel Beheer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DE35F97" w14:textId="693F6F20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Omschrijving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5EB3E9" w14:textId="195F62F8" w:rsidR="00376761" w:rsidRPr="002F194B" w:rsidRDefault="00376761" w:rsidP="002F194B">
            <w:pPr>
              <w:rPr>
                <w:b/>
                <w:bCs/>
                <w:sz w:val="22"/>
                <w:szCs w:val="22"/>
              </w:rPr>
            </w:pPr>
            <w:r w:rsidRPr="002F194B">
              <w:rPr>
                <w:b/>
                <w:bCs/>
                <w:sz w:val="22"/>
                <w:szCs w:val="22"/>
              </w:rPr>
              <w:t>Toelichting</w:t>
            </w:r>
          </w:p>
        </w:tc>
      </w:tr>
      <w:tr w:rsidR="00376761" w:rsidRPr="002F194B" w14:paraId="5CEC1290" w14:textId="1C289A09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3BB" w14:textId="1BFA76CD" w:rsidR="00376761" w:rsidRPr="00376761" w:rsidRDefault="00376761" w:rsidP="0085130F">
            <w:pPr>
              <w:jc w:val="both"/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>BISL Gebruiksbeheer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36EE" w14:textId="79F44EB6" w:rsidR="00376761" w:rsidRPr="00376761" w:rsidRDefault="00376761" w:rsidP="00C57093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D</w:t>
            </w:r>
            <w:r w:rsidRPr="00376761">
              <w:rPr>
                <w:rFonts w:ascii="Segoe UI" w:hAnsi="Segoe UI" w:cs="Segoe UI"/>
                <w:sz w:val="20"/>
                <w:szCs w:val="20"/>
              </w:rPr>
              <w:t>e functioneel beheerder van de opdrachtgever kan een standaardrapportage genereren over de autorisatiematrix. Hierin is zichtbaar hoe gebruikersrechten toegekend zijn op basis van rollen uit de autorisatiematrix.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B13" w14:textId="77777777" w:rsidR="00376761" w:rsidRPr="00376761" w:rsidRDefault="00376761" w:rsidP="00C57093">
            <w:pPr>
              <w:rPr>
                <w:sz w:val="20"/>
                <w:szCs w:val="20"/>
              </w:rPr>
            </w:pPr>
          </w:p>
        </w:tc>
      </w:tr>
      <w:tr w:rsidR="00376761" w:rsidRPr="002F194B" w14:paraId="57426A82" w14:textId="0011DD66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71D" w14:textId="243D8D81" w:rsidR="00376761" w:rsidRPr="00376761" w:rsidRDefault="00376761" w:rsidP="00C57093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>BISL Gebruikersondersteuning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342" w14:textId="703C7BBA" w:rsidR="00376761" w:rsidRPr="00376761" w:rsidRDefault="00376761" w:rsidP="00ED33BD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 </w:t>
            </w: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Functioneel beheerder van de Opdrachtgever kan onjuiste acties van gebruikers herstellen.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F32" w14:textId="77777777" w:rsidR="00376761" w:rsidRPr="00376761" w:rsidRDefault="00376761" w:rsidP="00ED33BD">
            <w:pPr>
              <w:rPr>
                <w:sz w:val="20"/>
                <w:szCs w:val="20"/>
              </w:rPr>
            </w:pPr>
          </w:p>
        </w:tc>
      </w:tr>
      <w:tr w:rsidR="00376761" w:rsidRPr="002F194B" w14:paraId="0589AE6D" w14:textId="3E561366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CCF" w14:textId="5B45B109" w:rsidR="00376761" w:rsidRPr="00376761" w:rsidRDefault="00376761" w:rsidP="00C57093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>BISL Gebruikersondersteuning</w:t>
            </w:r>
          </w:p>
          <w:p w14:paraId="2D330367" w14:textId="77777777" w:rsidR="00376761" w:rsidRPr="00376761" w:rsidRDefault="00376761" w:rsidP="00C5709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F5E" w14:textId="4E9022AB" w:rsidR="00376761" w:rsidRPr="00376761" w:rsidRDefault="00376761" w:rsidP="00ED33BD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 </w:t>
            </w:r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Communicatie van gebruikers van Opdrachtgever met de </w:t>
            </w:r>
            <w:proofErr w:type="spellStart"/>
            <w:r w:rsidRPr="00376761">
              <w:rPr>
                <w:rFonts w:ascii="Segoe UI" w:hAnsi="Segoe UI" w:cs="Segoe UI"/>
                <w:sz w:val="20"/>
                <w:szCs w:val="20"/>
              </w:rPr>
              <w:t>servicedesk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van Leverancier vindt zowel schriftelijk als mondeling plaats in het Nederlands. Voor 2e of derdelijns technische ondersteuning is Engels acceptabel.</w:t>
            </w:r>
            <w:r w:rsidRPr="00376761">
              <w:rPr>
                <w:sz w:val="20"/>
                <w:szCs w:val="20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631" w14:textId="77777777" w:rsidR="00376761" w:rsidRPr="00376761" w:rsidRDefault="00376761" w:rsidP="00ED33BD">
            <w:pPr>
              <w:rPr>
                <w:sz w:val="20"/>
                <w:szCs w:val="20"/>
              </w:rPr>
            </w:pPr>
          </w:p>
        </w:tc>
      </w:tr>
      <w:tr w:rsidR="00376761" w:rsidRPr="002F194B" w14:paraId="062CABE5" w14:textId="491B69E0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3B8" w14:textId="6FF5C143" w:rsidR="00376761" w:rsidRPr="00376761" w:rsidRDefault="00376761" w:rsidP="007813DA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BISL Beheer Bedrijfsinformatie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B8F" w14:textId="7A535DB3" w:rsidR="00376761" w:rsidRPr="00376761" w:rsidRDefault="00376761" w:rsidP="00E64474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 </w:t>
            </w:r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Door een gebruiker opgevraagde rapportages en selecties tonen alleen waartoe die gebruiker in de </w:t>
            </w:r>
            <w:proofErr w:type="gramStart"/>
            <w:r w:rsidRPr="00376761">
              <w:rPr>
                <w:rFonts w:ascii="Segoe UI" w:hAnsi="Segoe UI" w:cs="Segoe UI"/>
                <w:sz w:val="20"/>
                <w:szCs w:val="20"/>
              </w:rPr>
              <w:t>ICT prestatie</w:t>
            </w:r>
            <w:proofErr w:type="gram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geautoriseerd 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96E" w14:textId="77777777" w:rsidR="00376761" w:rsidRPr="00376761" w:rsidRDefault="00376761" w:rsidP="00E64474">
            <w:pPr>
              <w:rPr>
                <w:sz w:val="20"/>
                <w:szCs w:val="20"/>
              </w:rPr>
            </w:pPr>
          </w:p>
        </w:tc>
      </w:tr>
      <w:tr w:rsidR="00376761" w:rsidRPr="002F194B" w14:paraId="134D769E" w14:textId="5A3FEFBE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F9D" w14:textId="42D3E6B4" w:rsidR="00376761" w:rsidRPr="00376761" w:rsidRDefault="00376761" w:rsidP="007813DA">
            <w:pPr>
              <w:rPr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BISL Beheer Bedrijfsinformatie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AFD" w14:textId="00E93C31" w:rsidR="00376761" w:rsidRPr="00376761" w:rsidRDefault="00376761" w:rsidP="007813DA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</w:t>
            </w:r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Gegevens uit de </w:t>
            </w:r>
            <w:proofErr w:type="gramStart"/>
            <w:r w:rsidRPr="00376761">
              <w:rPr>
                <w:rFonts w:ascii="Segoe UI" w:hAnsi="Segoe UI" w:cs="Segoe UI"/>
                <w:sz w:val="20"/>
                <w:szCs w:val="20"/>
              </w:rPr>
              <w:t>ICT prestatie</w:t>
            </w:r>
            <w:proofErr w:type="gram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zijn beschikbaar voor gebruik in het </w:t>
            </w:r>
            <w:proofErr w:type="gramStart"/>
            <w:r w:rsidRPr="00376761">
              <w:rPr>
                <w:rFonts w:ascii="Segoe UI" w:hAnsi="Segoe UI" w:cs="Segoe UI"/>
                <w:sz w:val="20"/>
                <w:szCs w:val="20"/>
              </w:rPr>
              <w:t>Datawarehouse /</w:t>
            </w:r>
            <w:proofErr w:type="gram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6761">
              <w:rPr>
                <w:rFonts w:ascii="Segoe UI" w:hAnsi="Segoe UI" w:cs="Segoe UI"/>
                <w:sz w:val="20"/>
                <w:szCs w:val="20"/>
              </w:rPr>
              <w:t>Datavault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/</w:t>
            </w:r>
            <w:proofErr w:type="gram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BI-omgeving van de Opdrachtgever ten behoeve van management rapportages.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39B" w14:textId="77777777" w:rsidR="00376761" w:rsidRPr="00376761" w:rsidRDefault="00376761" w:rsidP="007813DA">
            <w:pPr>
              <w:rPr>
                <w:sz w:val="20"/>
                <w:szCs w:val="20"/>
              </w:rPr>
            </w:pPr>
          </w:p>
        </w:tc>
      </w:tr>
      <w:tr w:rsidR="00376761" w:rsidRPr="002F194B" w14:paraId="1D6E5568" w14:textId="00778D9E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5E7" w14:textId="530EB08D" w:rsidR="00376761" w:rsidRPr="00376761" w:rsidRDefault="00376761" w:rsidP="007813DA">
            <w:pPr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BISL Beheer Bedrijfsinformatie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0DB" w14:textId="07015443" w:rsidR="00376761" w:rsidRPr="00376761" w:rsidRDefault="00376761" w:rsidP="007813DA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</w:t>
            </w:r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Indien gebruik gemaakt wordt van financiële gegevens koppelt de </w:t>
            </w:r>
            <w:proofErr w:type="gramStart"/>
            <w:r w:rsidRPr="00376761">
              <w:rPr>
                <w:rFonts w:ascii="Segoe UI" w:hAnsi="Segoe UI" w:cs="Segoe UI"/>
                <w:sz w:val="20"/>
                <w:szCs w:val="20"/>
              </w:rPr>
              <w:t>ICT prestatie</w:t>
            </w:r>
            <w:proofErr w:type="gram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met het financieel systeem van </w:t>
            </w:r>
            <w:proofErr w:type="gramStart"/>
            <w:r w:rsidRPr="00376761">
              <w:rPr>
                <w:rFonts w:ascii="Segoe UI" w:hAnsi="Segoe UI" w:cs="Segoe UI"/>
                <w:sz w:val="20"/>
                <w:szCs w:val="20"/>
              </w:rPr>
              <w:t>de  Opdrachtgever</w:t>
            </w:r>
            <w:proofErr w:type="gram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, zodat crediteurgegevens en financiële verwerking op één centrale plaats worden bijgehouden.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6FE" w14:textId="77777777" w:rsidR="00376761" w:rsidRPr="00376761" w:rsidRDefault="00376761" w:rsidP="007813DA">
            <w:pPr>
              <w:rPr>
                <w:sz w:val="20"/>
                <w:szCs w:val="20"/>
              </w:rPr>
            </w:pPr>
          </w:p>
        </w:tc>
      </w:tr>
      <w:tr w:rsidR="00376761" w:rsidRPr="002F194B" w14:paraId="40A9AD3C" w14:textId="3393016B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FA2" w14:textId="13841664" w:rsidR="00376761" w:rsidRPr="00376761" w:rsidRDefault="00376761" w:rsidP="007813DA">
            <w:pPr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lastRenderedPageBreak/>
              <w:t>BISL Beheer Bedrijfsinformatie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229" w14:textId="05748951" w:rsidR="00376761" w:rsidRPr="00376761" w:rsidRDefault="00376761" w:rsidP="00E64474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Alle handelingen in de </w:t>
            </w:r>
            <w:proofErr w:type="gramStart"/>
            <w:r w:rsidRPr="00376761">
              <w:rPr>
                <w:rFonts w:ascii="Segoe UI" w:hAnsi="Segoe UI" w:cs="Segoe UI"/>
                <w:sz w:val="20"/>
                <w:szCs w:val="20"/>
              </w:rPr>
              <w:t>ICT prestatie</w:t>
            </w:r>
            <w:proofErr w:type="gram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(bv. toevoegen, raadplegen, bewerken, goedkeuren, verwijderen, kopiëren, exporteren) op informatieobjecten en hun kenmerken zijn vastgelegd in een audit </w:t>
            </w:r>
            <w:proofErr w:type="spellStart"/>
            <w:r w:rsidRPr="00376761">
              <w:rPr>
                <w:rFonts w:ascii="Segoe UI" w:hAnsi="Segoe UI" w:cs="Segoe UI"/>
                <w:sz w:val="20"/>
                <w:szCs w:val="20"/>
              </w:rPr>
              <w:t>trail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>.</w:t>
            </w:r>
            <w:r w:rsidRPr="00376761">
              <w:rPr>
                <w:rFonts w:ascii="Segoe UI" w:hAnsi="Segoe UI" w:cs="Segoe UI"/>
                <w:sz w:val="20"/>
                <w:szCs w:val="20"/>
              </w:rPr>
              <w:br/>
              <w:t xml:space="preserve">De opgenomen gegevens in de audit </w:t>
            </w:r>
            <w:proofErr w:type="spellStart"/>
            <w:r w:rsidRPr="00376761">
              <w:rPr>
                <w:rFonts w:ascii="Segoe UI" w:hAnsi="Segoe UI" w:cs="Segoe UI"/>
                <w:sz w:val="20"/>
                <w:szCs w:val="20"/>
              </w:rPr>
              <w:t>trail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kunnen niet gewijzigd worden.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C1D" w14:textId="77777777" w:rsidR="00376761" w:rsidRPr="00376761" w:rsidRDefault="00376761" w:rsidP="00E64474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76761" w:rsidRPr="002F194B" w14:paraId="04EE8AA7" w14:textId="006B1E9B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AE9" w14:textId="4D5BAA35" w:rsidR="00376761" w:rsidRPr="00376761" w:rsidRDefault="00376761" w:rsidP="00C303DC">
            <w:pPr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BISL Beheer Bedrijfsinformatie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73D" w14:textId="2859A0D0" w:rsidR="00376761" w:rsidRPr="00376761" w:rsidRDefault="00376761" w:rsidP="00E64474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De </w:t>
            </w:r>
            <w:proofErr w:type="spellStart"/>
            <w:r w:rsidRPr="00376761">
              <w:rPr>
                <w:rFonts w:ascii="Segoe UI" w:hAnsi="Segoe UI" w:cs="Segoe UI"/>
                <w:sz w:val="20"/>
                <w:szCs w:val="20"/>
              </w:rPr>
              <w:t>logging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opgenomen in de audit </w:t>
            </w:r>
            <w:proofErr w:type="spellStart"/>
            <w:r w:rsidRPr="00376761">
              <w:rPr>
                <w:rFonts w:ascii="Segoe UI" w:hAnsi="Segoe UI" w:cs="Segoe UI"/>
                <w:sz w:val="20"/>
                <w:szCs w:val="20"/>
              </w:rPr>
              <w:t>trail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moet zonder tussenkomst van de leverancier te benaderen zijn en er moet gefilterd kunnen worden.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5C6" w14:textId="77777777" w:rsidR="00376761" w:rsidRPr="00376761" w:rsidRDefault="00376761" w:rsidP="00E64474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76761" w:rsidRPr="002F194B" w14:paraId="3BE84FB5" w14:textId="17F2C445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964" w14:textId="509D8FB7" w:rsidR="00376761" w:rsidRPr="00376761" w:rsidRDefault="00376761" w:rsidP="00C303DC">
            <w:pPr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BISL Beheer Bedrijfsinformatie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CAB" w14:textId="0909B380" w:rsidR="00376761" w:rsidRPr="00376761" w:rsidRDefault="00376761" w:rsidP="00E64474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De Leverancier biedt op verzoek van de opdrachtgever inzicht in de samenhang tussen de verschillende entiteiten voor functioneel beheer van de Opdrachtgever, door het beschikbaar stellen van een </w:t>
            </w:r>
            <w:proofErr w:type="spellStart"/>
            <w:r w:rsidRPr="00376761">
              <w:rPr>
                <w:rFonts w:ascii="Segoe UI" w:hAnsi="Segoe UI" w:cs="Segoe UI"/>
                <w:sz w:val="20"/>
                <w:szCs w:val="20"/>
              </w:rPr>
              <w:t>Entity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76761">
              <w:rPr>
                <w:rFonts w:ascii="Segoe UI" w:hAnsi="Segoe UI" w:cs="Segoe UI"/>
                <w:sz w:val="20"/>
                <w:szCs w:val="20"/>
              </w:rPr>
              <w:t>Relation</w:t>
            </w:r>
            <w:proofErr w:type="spellEnd"/>
            <w:r w:rsidRPr="00376761">
              <w:rPr>
                <w:rFonts w:ascii="Segoe UI" w:hAnsi="Segoe UI" w:cs="Segoe UI"/>
                <w:sz w:val="20"/>
                <w:szCs w:val="20"/>
              </w:rPr>
              <w:t xml:space="preserve"> Diagram (ERD).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C4B" w14:textId="77777777" w:rsidR="00376761" w:rsidRPr="00376761" w:rsidRDefault="00376761" w:rsidP="00E64474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76761" w:rsidRPr="002F194B" w14:paraId="46E33EEC" w14:textId="21F5F00D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C118" w14:textId="479F3EDD" w:rsidR="00376761" w:rsidRPr="00376761" w:rsidRDefault="00376761" w:rsidP="00C303DC">
            <w:pPr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BISL Beheer Bedrijfsinformatie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359" w14:textId="3DF06CFC" w:rsidR="00376761" w:rsidRPr="00376761" w:rsidRDefault="00376761" w:rsidP="00C303DC">
            <w:pPr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Sjablonen voor schriftelijke en digitale communicatie worden voorzien van de huisstijl van de Opdrachtgever.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E4A" w14:textId="77777777" w:rsidR="00376761" w:rsidRPr="00376761" w:rsidRDefault="00376761" w:rsidP="00C303D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76761" w:rsidRPr="002F194B" w14:paraId="196DA374" w14:textId="698AA63B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549" w14:textId="77777777" w:rsidR="00376761" w:rsidRPr="00376761" w:rsidRDefault="00376761" w:rsidP="00E64474">
            <w:pPr>
              <w:rPr>
                <w:rFonts w:ascii="Segoe UI" w:hAnsi="Segoe UI" w:cs="Segoe UI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sz w:val="20"/>
                <w:szCs w:val="20"/>
              </w:rPr>
              <w:t>BISL Operationele ICT aansturing</w:t>
            </w:r>
          </w:p>
          <w:p w14:paraId="3D51C270" w14:textId="77777777" w:rsidR="00376761" w:rsidRPr="00376761" w:rsidRDefault="00376761" w:rsidP="00C303D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1650" w14:textId="32A4229C" w:rsidR="00376761" w:rsidRPr="00376761" w:rsidRDefault="00376761" w:rsidP="00C303DC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Als gegevensuitwisseling via koppelvlakken plaatsvindt en de opdrachtnemer is de afnemende of verzendende partij, dan dienen zij de uitwisseling te monitoren. </w:t>
            </w:r>
            <w:proofErr w:type="gramStart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>Indien</w:t>
            </w:r>
            <w:proofErr w:type="gramEnd"/>
            <w:r w:rsidRPr="0037676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de opdrachtnemer de (ver)storing opmerkt, dient zij dit op te lossen en terug te koppelen aan de opdrachtgever.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E43" w14:textId="77777777" w:rsidR="00376761" w:rsidRPr="00376761" w:rsidRDefault="00376761" w:rsidP="00C303DC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679110CD" w14:textId="77777777" w:rsidR="002F194B" w:rsidRPr="002F194B" w:rsidRDefault="002F194B" w:rsidP="002F194B">
      <w:pPr>
        <w:rPr>
          <w:sz w:val="22"/>
          <w:szCs w:val="22"/>
        </w:rPr>
      </w:pPr>
      <w:r w:rsidRPr="002F194B">
        <w:rPr>
          <w:sz w:val="22"/>
          <w:szCs w:val="22"/>
        </w:rPr>
        <w:t> 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111"/>
        <w:gridCol w:w="3827"/>
      </w:tblGrid>
      <w:tr w:rsidR="00376761" w:rsidRPr="002F194B" w14:paraId="37189F13" w14:textId="46AF99BE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3E774B" w14:textId="15C9AF18" w:rsidR="00376761" w:rsidRPr="002F194B" w:rsidRDefault="00376761" w:rsidP="002F194B">
            <w:pPr>
              <w:rPr>
                <w:sz w:val="22"/>
                <w:szCs w:val="22"/>
              </w:rPr>
            </w:pPr>
            <w:r w:rsidRPr="00A70881">
              <w:rPr>
                <w:b/>
                <w:bCs/>
                <w:sz w:val="22"/>
                <w:szCs w:val="22"/>
              </w:rPr>
              <w:t>Informatievoorziening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E734486" w14:textId="27951982" w:rsidR="00376761" w:rsidRPr="002F194B" w:rsidRDefault="00376761" w:rsidP="002F194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Omschrijving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A9D5E1" w14:textId="2F538885" w:rsidR="00376761" w:rsidRPr="002F194B" w:rsidRDefault="00376761" w:rsidP="002F194B">
            <w:pPr>
              <w:rPr>
                <w:b/>
                <w:bCs/>
                <w:sz w:val="22"/>
                <w:szCs w:val="22"/>
              </w:rPr>
            </w:pPr>
            <w:r w:rsidRPr="002F194B">
              <w:rPr>
                <w:b/>
                <w:bCs/>
                <w:sz w:val="22"/>
                <w:szCs w:val="22"/>
              </w:rPr>
              <w:t>Toelichting</w:t>
            </w:r>
          </w:p>
        </w:tc>
      </w:tr>
      <w:tr w:rsidR="00376761" w:rsidRPr="002F194B" w14:paraId="2F8A1070" w14:textId="637EF9FE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6987" w14:textId="77777777" w:rsidR="00376761" w:rsidRPr="00376761" w:rsidRDefault="00376761" w:rsidP="00763AC8">
            <w:pPr>
              <w:rPr>
                <w:rFonts w:ascii="Segoe IU" w:hAnsi="Segoe IU" w:cs="Calibri"/>
                <w:sz w:val="20"/>
                <w:szCs w:val="20"/>
              </w:rPr>
            </w:pPr>
            <w:r w:rsidRPr="00376761">
              <w:rPr>
                <w:rFonts w:ascii="Segoe IU" w:hAnsi="Segoe IU" w:cs="Calibri"/>
                <w:sz w:val="20"/>
                <w:szCs w:val="20"/>
              </w:rPr>
              <w:t>DIV4</w:t>
            </w:r>
          </w:p>
          <w:p w14:paraId="469B5FF0" w14:textId="723C5219" w:rsidR="00376761" w:rsidRPr="00376761" w:rsidRDefault="00376761" w:rsidP="00BA0931">
            <w:pPr>
              <w:rPr>
                <w:sz w:val="20"/>
                <w:szCs w:val="20"/>
              </w:rPr>
            </w:pPr>
          </w:p>
          <w:p w14:paraId="4088E6DF" w14:textId="513CD681" w:rsidR="00376761" w:rsidRPr="00376761" w:rsidRDefault="00376761" w:rsidP="002F19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CD4E" w14:textId="4908D843" w:rsidR="00376761" w:rsidRPr="00376761" w:rsidRDefault="00376761" w:rsidP="002F194B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 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t xml:space="preserve">De </w:t>
            </w:r>
            <w:proofErr w:type="gramStart"/>
            <w:r w:rsidRPr="00376761">
              <w:rPr>
                <w:rFonts w:ascii="Segoe IU" w:hAnsi="Segoe IU" w:cs="Calibri"/>
                <w:sz w:val="20"/>
                <w:szCs w:val="20"/>
              </w:rPr>
              <w:t>ICT prestatie</w:t>
            </w:r>
            <w:proofErr w:type="gramEnd"/>
            <w:r w:rsidRPr="00376761">
              <w:rPr>
                <w:rFonts w:ascii="Segoe IU" w:hAnsi="Segoe IU" w:cs="Calibri"/>
                <w:sz w:val="20"/>
                <w:szCs w:val="20"/>
              </w:rPr>
              <w:t xml:space="preserve"> biedt een gedetailleerde zoekfunctie op alle ingevoerde en automatisch gegenereerde metagegevens en combinaties hiervan.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CA3" w14:textId="77777777" w:rsidR="00376761" w:rsidRPr="00376761" w:rsidRDefault="00376761" w:rsidP="002F194B">
            <w:pPr>
              <w:rPr>
                <w:sz w:val="20"/>
                <w:szCs w:val="20"/>
              </w:rPr>
            </w:pPr>
          </w:p>
        </w:tc>
      </w:tr>
      <w:tr w:rsidR="00376761" w:rsidRPr="002F194B" w14:paraId="48780EC1" w14:textId="333F3A41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98FF" w14:textId="1BF9EF02" w:rsidR="00376761" w:rsidRPr="00376761" w:rsidRDefault="00376761" w:rsidP="0096698F">
            <w:pPr>
              <w:rPr>
                <w:rFonts w:ascii="Segoe IU" w:hAnsi="Segoe IU" w:cs="Calibri"/>
                <w:sz w:val="20"/>
                <w:szCs w:val="20"/>
              </w:rPr>
            </w:pPr>
            <w:r w:rsidRPr="00376761">
              <w:rPr>
                <w:rFonts w:ascii="Segoe IU" w:hAnsi="Segoe IU" w:cs="Calibri"/>
                <w:sz w:val="20"/>
                <w:szCs w:val="20"/>
              </w:rPr>
              <w:t>DIV7</w:t>
            </w:r>
          </w:p>
          <w:p w14:paraId="5B790718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C8B" w14:textId="43D00578" w:rsidR="00376761" w:rsidRPr="00376761" w:rsidRDefault="00376761" w:rsidP="0096698F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t xml:space="preserve">De </w:t>
            </w:r>
            <w:proofErr w:type="gramStart"/>
            <w:r w:rsidRPr="00376761">
              <w:rPr>
                <w:rFonts w:ascii="Segoe IU" w:hAnsi="Segoe IU" w:cs="Calibri"/>
                <w:sz w:val="20"/>
                <w:szCs w:val="20"/>
              </w:rPr>
              <w:t>ICT prestatie</w:t>
            </w:r>
            <w:proofErr w:type="gramEnd"/>
            <w:r w:rsidRPr="00376761">
              <w:rPr>
                <w:rFonts w:ascii="Segoe IU" w:hAnsi="Segoe IU" w:cs="Calibri"/>
                <w:sz w:val="20"/>
                <w:szCs w:val="20"/>
              </w:rPr>
              <w:t xml:space="preserve"> biedt duidelijke en werkbare conventies met betrekking tot documentversiebeheer.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C91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</w:tc>
      </w:tr>
      <w:tr w:rsidR="00376761" w:rsidRPr="002F194B" w14:paraId="63FF5738" w14:textId="7B452F0E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69C" w14:textId="77777777" w:rsidR="00376761" w:rsidRPr="00376761" w:rsidRDefault="00376761" w:rsidP="00AC225C">
            <w:pPr>
              <w:rPr>
                <w:rFonts w:ascii="Segoe IU" w:hAnsi="Segoe IU" w:cs="Calibri"/>
                <w:sz w:val="20"/>
                <w:szCs w:val="20"/>
              </w:rPr>
            </w:pPr>
            <w:r w:rsidRPr="00376761">
              <w:rPr>
                <w:rFonts w:ascii="Segoe IU" w:hAnsi="Segoe IU" w:cs="Calibri"/>
                <w:sz w:val="20"/>
                <w:szCs w:val="20"/>
              </w:rPr>
              <w:t>DIV11A</w:t>
            </w:r>
          </w:p>
          <w:p w14:paraId="2993F38E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  <w:p w14:paraId="596A9DC8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5AF" w14:textId="1887DA6A" w:rsidR="00376761" w:rsidRPr="00376761" w:rsidRDefault="00376761" w:rsidP="0096698F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t xml:space="preserve">De </w:t>
            </w:r>
            <w:proofErr w:type="gramStart"/>
            <w:r w:rsidRPr="00376761">
              <w:rPr>
                <w:rFonts w:ascii="Segoe IU" w:hAnsi="Segoe IU" w:cs="Calibri"/>
                <w:sz w:val="20"/>
                <w:szCs w:val="20"/>
              </w:rPr>
              <w:t>ICT prestatie</w:t>
            </w:r>
            <w:proofErr w:type="gramEnd"/>
            <w:r w:rsidRPr="00376761">
              <w:rPr>
                <w:rFonts w:ascii="Segoe IU" w:hAnsi="Segoe IU" w:cs="Calibri"/>
                <w:sz w:val="20"/>
                <w:szCs w:val="20"/>
              </w:rPr>
              <w:t xml:space="preserve"> biedt de mogelijkheid om de vernietigingsdatum te markeren in de 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lastRenderedPageBreak/>
              <w:t xml:space="preserve">metadata van het dossier/zaak en </w:t>
            </w:r>
            <w:proofErr w:type="spellStart"/>
            <w:r w:rsidRPr="00376761">
              <w:rPr>
                <w:rFonts w:ascii="Segoe IU" w:hAnsi="Segoe IU" w:cs="Calibri"/>
                <w:sz w:val="20"/>
                <w:szCs w:val="20"/>
              </w:rPr>
              <w:t>evt</w:t>
            </w:r>
            <w:proofErr w:type="spellEnd"/>
            <w:r w:rsidRPr="00376761">
              <w:rPr>
                <w:rFonts w:ascii="Segoe IU" w:hAnsi="Segoe IU" w:cs="Calibri"/>
                <w:sz w:val="20"/>
                <w:szCs w:val="20"/>
              </w:rPr>
              <w:t xml:space="preserve"> onderliggende documenten.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7C2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</w:tc>
      </w:tr>
      <w:tr w:rsidR="00376761" w:rsidRPr="002F194B" w14:paraId="0D92A2C2" w14:textId="183B4811" w:rsidTr="0037676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E01" w14:textId="77777777" w:rsidR="00376761" w:rsidRPr="00376761" w:rsidRDefault="00376761" w:rsidP="005579F1">
            <w:pPr>
              <w:rPr>
                <w:rFonts w:ascii="Segoe IU" w:hAnsi="Segoe IU" w:cs="Calibri"/>
                <w:sz w:val="20"/>
                <w:szCs w:val="20"/>
              </w:rPr>
            </w:pPr>
            <w:r w:rsidRPr="00376761">
              <w:rPr>
                <w:rFonts w:ascii="Segoe IU" w:hAnsi="Segoe IU" w:cs="Calibri"/>
                <w:sz w:val="20"/>
                <w:szCs w:val="20"/>
              </w:rPr>
              <w:t>DIV19</w:t>
            </w:r>
          </w:p>
          <w:p w14:paraId="3ECDE15C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  <w:p w14:paraId="37B2093B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C44" w14:textId="3E68146E" w:rsidR="00376761" w:rsidRPr="00376761" w:rsidRDefault="00376761" w:rsidP="0096698F">
            <w:pPr>
              <w:rPr>
                <w:sz w:val="20"/>
                <w:szCs w:val="20"/>
              </w:rPr>
            </w:pPr>
            <w:r w:rsidRPr="00376761">
              <w:rPr>
                <w:sz w:val="20"/>
                <w:szCs w:val="20"/>
              </w:rPr>
              <w:t xml:space="preserve"> 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t xml:space="preserve">Bij vernietiging van een informatieobject en bijbehorende metagegevens dient een aantal metagegevens opgeslagen te worden in de </w:t>
            </w:r>
            <w:proofErr w:type="spellStart"/>
            <w:r w:rsidRPr="00376761">
              <w:rPr>
                <w:rFonts w:ascii="Segoe IU" w:hAnsi="Segoe IU" w:cs="Calibri"/>
                <w:sz w:val="20"/>
                <w:szCs w:val="20"/>
              </w:rPr>
              <w:t>audittrail</w:t>
            </w:r>
            <w:proofErr w:type="spellEnd"/>
            <w:r w:rsidRPr="00376761">
              <w:rPr>
                <w:rFonts w:ascii="Segoe IU" w:hAnsi="Segoe IU" w:cs="Calibri"/>
                <w:sz w:val="20"/>
                <w:szCs w:val="20"/>
              </w:rPr>
              <w:t>, te weten: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br/>
              <w:t>- datum van verwijdering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br/>
              <w:t>- uniek ID-kenmerk/registratiekenmerk met bijbehorend aggregatieniveau van informatieobject (indien van toepassing)</w:t>
            </w:r>
            <w:r w:rsidRPr="00376761">
              <w:rPr>
                <w:rFonts w:ascii="Segoe IU" w:hAnsi="Segoe IU" w:cs="Calibri"/>
                <w:sz w:val="20"/>
                <w:szCs w:val="20"/>
              </w:rPr>
              <w:br/>
              <w:t>- persoon die rol van verwijdering/overdracht uitvoert.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ECE" w14:textId="77777777" w:rsidR="00376761" w:rsidRPr="00376761" w:rsidRDefault="00376761" w:rsidP="0096698F">
            <w:pPr>
              <w:rPr>
                <w:sz w:val="20"/>
                <w:szCs w:val="20"/>
              </w:rPr>
            </w:pPr>
          </w:p>
        </w:tc>
      </w:tr>
    </w:tbl>
    <w:p w14:paraId="5EA57021" w14:textId="77777777" w:rsidR="002F194B" w:rsidRPr="002F194B" w:rsidRDefault="002F194B" w:rsidP="002F194B">
      <w:pPr>
        <w:rPr>
          <w:sz w:val="22"/>
          <w:szCs w:val="22"/>
        </w:rPr>
      </w:pPr>
    </w:p>
    <w:p w14:paraId="20614C19" w14:textId="77777777" w:rsidR="0002722A" w:rsidRPr="002F194B" w:rsidRDefault="0002722A">
      <w:pPr>
        <w:rPr>
          <w:sz w:val="22"/>
          <w:szCs w:val="22"/>
        </w:rPr>
      </w:pPr>
    </w:p>
    <w:sectPr w:rsidR="0002722A" w:rsidRPr="002F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IU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4B"/>
    <w:rsid w:val="00012325"/>
    <w:rsid w:val="00022531"/>
    <w:rsid w:val="0002722A"/>
    <w:rsid w:val="00066718"/>
    <w:rsid w:val="001B70FC"/>
    <w:rsid w:val="001E3A88"/>
    <w:rsid w:val="00206EE9"/>
    <w:rsid w:val="002A6558"/>
    <w:rsid w:val="002F194B"/>
    <w:rsid w:val="00376761"/>
    <w:rsid w:val="003E2324"/>
    <w:rsid w:val="003E6D72"/>
    <w:rsid w:val="004078AF"/>
    <w:rsid w:val="004E0EA3"/>
    <w:rsid w:val="005579F1"/>
    <w:rsid w:val="005756D3"/>
    <w:rsid w:val="005C4C92"/>
    <w:rsid w:val="005D75E3"/>
    <w:rsid w:val="006A53D4"/>
    <w:rsid w:val="006D5C08"/>
    <w:rsid w:val="006F5416"/>
    <w:rsid w:val="00713A71"/>
    <w:rsid w:val="007452B7"/>
    <w:rsid w:val="00763AC8"/>
    <w:rsid w:val="007813DA"/>
    <w:rsid w:val="007941E5"/>
    <w:rsid w:val="007F355B"/>
    <w:rsid w:val="00803422"/>
    <w:rsid w:val="0080658E"/>
    <w:rsid w:val="00827FAD"/>
    <w:rsid w:val="0085130F"/>
    <w:rsid w:val="00885870"/>
    <w:rsid w:val="008A23BA"/>
    <w:rsid w:val="008E3C64"/>
    <w:rsid w:val="009340EB"/>
    <w:rsid w:val="00940026"/>
    <w:rsid w:val="0096698F"/>
    <w:rsid w:val="00994CCF"/>
    <w:rsid w:val="00A70881"/>
    <w:rsid w:val="00AC225C"/>
    <w:rsid w:val="00AF55F5"/>
    <w:rsid w:val="00BA0931"/>
    <w:rsid w:val="00BF3803"/>
    <w:rsid w:val="00C12A64"/>
    <w:rsid w:val="00C303DC"/>
    <w:rsid w:val="00C57093"/>
    <w:rsid w:val="00CA61BA"/>
    <w:rsid w:val="00D81291"/>
    <w:rsid w:val="00DA5B94"/>
    <w:rsid w:val="00DE0105"/>
    <w:rsid w:val="00E131CC"/>
    <w:rsid w:val="00E64474"/>
    <w:rsid w:val="00ED33BD"/>
    <w:rsid w:val="00EE0EBA"/>
    <w:rsid w:val="00F47A76"/>
    <w:rsid w:val="00F664B9"/>
    <w:rsid w:val="00F67FBC"/>
    <w:rsid w:val="00FC0103"/>
    <w:rsid w:val="00F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F92B"/>
  <w15:chartTrackingRefBased/>
  <w15:docId w15:val="{5AD5A2A6-1885-43E2-B159-9F8151ED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1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1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1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1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1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1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1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1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1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1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1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19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19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19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19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19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19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1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1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1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1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19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19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19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1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19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1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3f660-6cd7-4aaa-ab38-85d8a2b3a2d9">
      <Terms xmlns="http://schemas.microsoft.com/office/infopath/2007/PartnerControls"/>
    </lcf76f155ced4ddcb4097134ff3c332f>
    <TaxCatchAll xmlns="164375e8-6512-429b-8729-db20525ce4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FC6A4DC373F49BD4B761BD6C5D6EC" ma:contentTypeVersion="10" ma:contentTypeDescription="Een nieuw document maken." ma:contentTypeScope="" ma:versionID="e2e96c12a90501993b066c16cca2aefe">
  <xsd:schema xmlns:xsd="http://www.w3.org/2001/XMLSchema" xmlns:xs="http://www.w3.org/2001/XMLSchema" xmlns:p="http://schemas.microsoft.com/office/2006/metadata/properties" xmlns:ns2="15f3f660-6cd7-4aaa-ab38-85d8a2b3a2d9" xmlns:ns3="164375e8-6512-429b-8729-db20525ce401" targetNamespace="http://schemas.microsoft.com/office/2006/metadata/properties" ma:root="true" ma:fieldsID="429a62cb6658b2b255afabbd29816c1b" ns2:_="" ns3:_="">
    <xsd:import namespace="15f3f660-6cd7-4aaa-ab38-85d8a2b3a2d9"/>
    <xsd:import namespace="164375e8-6512-429b-8729-db20525ce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f660-6cd7-4aaa-ab38-85d8a2b3a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75e8-6512-429b-8729-db20525ce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79634a-f3db-4e0b-a685-25d2c70e6818}" ma:internalName="TaxCatchAll" ma:showField="CatchAllData" ma:web="164375e8-6512-429b-8729-db20525ce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6FD2A-F2DD-47C7-9EAE-C501FAE99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88C02-96BA-4C70-AF38-FE6301F6FB81}">
  <ds:schemaRefs>
    <ds:schemaRef ds:uri="http://schemas.microsoft.com/office/2006/documentManagement/types"/>
    <ds:schemaRef ds:uri="http://purl.org/dc/dcmitype/"/>
    <ds:schemaRef ds:uri="15f3f660-6cd7-4aaa-ab38-85d8a2b3a2d9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164375e8-6512-429b-8729-db20525ce4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A51217-63D3-4F0B-B983-4F006D69C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f660-6cd7-4aaa-ab38-85d8a2b3a2d9"/>
    <ds:schemaRef ds:uri="164375e8-6512-429b-8729-db20525ce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Hinte Ypma - HIP</dc:creator>
  <cp:keywords/>
  <dc:description/>
  <cp:lastModifiedBy>Pita Zwinkels</cp:lastModifiedBy>
  <cp:revision>7</cp:revision>
  <dcterms:created xsi:type="dcterms:W3CDTF">2026-04-30T20:12:00Z</dcterms:created>
  <dcterms:modified xsi:type="dcterms:W3CDTF">2026-05-01T11:55:00Z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0x01010067DFC6A4DC373F49BD4B761BD6C5D6EC</vt:lpwstr>
  </property>
  <property fmtid="{D5CDD505-2E9C-101B-9397-08002B2CF9AE}" pid="3" name="MediaServiceImageTags">
    <vt:lpwstr/>
  </property>
</Properties>
</file>