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E8295" w14:textId="77777777" w:rsidR="006F5CB4" w:rsidRDefault="006F5CB4" w:rsidP="00292291">
      <w:pPr>
        <w:pStyle w:val="Default"/>
        <w:spacing w:line="360" w:lineRule="auto"/>
        <w:jc w:val="center"/>
        <w:rPr>
          <w:rFonts w:ascii="Verdana" w:hAnsi="Verdana"/>
          <w:bCs/>
        </w:rPr>
      </w:pPr>
    </w:p>
    <w:p w14:paraId="2722384C" w14:textId="77777777" w:rsidR="004A6839" w:rsidRPr="00387E03" w:rsidRDefault="004A6839" w:rsidP="004A6839">
      <w:pPr>
        <w:jc w:val="center"/>
        <w:rPr>
          <w:b/>
          <w:bCs/>
          <w:sz w:val="28"/>
          <w:szCs w:val="28"/>
        </w:rPr>
      </w:pPr>
      <w:r w:rsidRPr="00387E03">
        <w:rPr>
          <w:b/>
          <w:bCs/>
          <w:sz w:val="28"/>
          <w:szCs w:val="28"/>
        </w:rPr>
        <w:t>Inkoopdocument</w:t>
      </w:r>
    </w:p>
    <w:p w14:paraId="66D683EA" w14:textId="77777777" w:rsidR="004A6839" w:rsidRPr="00387E03" w:rsidRDefault="004A6839" w:rsidP="004A6839">
      <w:pPr>
        <w:jc w:val="center"/>
        <w:rPr>
          <w:i/>
          <w:iCs/>
          <w:sz w:val="28"/>
          <w:szCs w:val="28"/>
        </w:rPr>
      </w:pPr>
      <w:r w:rsidRPr="00387E03">
        <w:rPr>
          <w:i/>
          <w:iCs/>
          <w:sz w:val="28"/>
          <w:szCs w:val="28"/>
        </w:rPr>
        <w:t>Toelatingsprocedure</w:t>
      </w:r>
    </w:p>
    <w:p w14:paraId="4E8F8CB6" w14:textId="77777777" w:rsidR="004A6839" w:rsidRPr="00387E03" w:rsidRDefault="004A6839" w:rsidP="004A6839">
      <w:pPr>
        <w:jc w:val="center"/>
        <w:rPr>
          <w:i/>
          <w:iCs/>
          <w:sz w:val="28"/>
          <w:szCs w:val="28"/>
        </w:rPr>
      </w:pPr>
    </w:p>
    <w:p w14:paraId="2F5C12EC" w14:textId="77777777" w:rsidR="001E4FF1" w:rsidRPr="00394A08" w:rsidRDefault="001E4FF1" w:rsidP="001E4FF1">
      <w:pPr>
        <w:pStyle w:val="Geenafstand"/>
        <w:jc w:val="center"/>
        <w:rPr>
          <w:sz w:val="28"/>
          <w:szCs w:val="28"/>
        </w:rPr>
      </w:pPr>
      <w:r w:rsidRPr="00394A08">
        <w:rPr>
          <w:sz w:val="28"/>
          <w:szCs w:val="28"/>
        </w:rPr>
        <w:t>Maatwerkvoorziening maatschappelijke ondersteuning</w:t>
      </w:r>
    </w:p>
    <w:p w14:paraId="7A4EADCA" w14:textId="77777777" w:rsidR="001E4FF1" w:rsidRPr="00394A08" w:rsidRDefault="001E4FF1" w:rsidP="001E4FF1">
      <w:pPr>
        <w:pStyle w:val="Geenafstand"/>
        <w:jc w:val="center"/>
        <w:rPr>
          <w:sz w:val="28"/>
          <w:szCs w:val="28"/>
        </w:rPr>
      </w:pPr>
    </w:p>
    <w:p w14:paraId="376E1838" w14:textId="77777777" w:rsidR="001E4FF1" w:rsidRPr="00394A08" w:rsidRDefault="001E4FF1" w:rsidP="001E4FF1">
      <w:pPr>
        <w:pStyle w:val="Geenafstand"/>
        <w:jc w:val="center"/>
        <w:rPr>
          <w:sz w:val="28"/>
          <w:szCs w:val="28"/>
        </w:rPr>
      </w:pPr>
      <w:r w:rsidRPr="00394A08">
        <w:rPr>
          <w:sz w:val="28"/>
          <w:szCs w:val="28"/>
        </w:rPr>
        <w:t>SAFEHOUSE (open-house)</w:t>
      </w:r>
    </w:p>
    <w:p w14:paraId="15A3DD4F" w14:textId="77777777" w:rsidR="001E4FF1" w:rsidRPr="00A13A9E" w:rsidRDefault="001E4FF1" w:rsidP="001E4FF1">
      <w:pPr>
        <w:jc w:val="center"/>
        <w:rPr>
          <w:rFonts w:cstheme="minorHAnsi"/>
        </w:rPr>
      </w:pPr>
    </w:p>
    <w:p w14:paraId="4A6DE5AF" w14:textId="77777777" w:rsidR="001E4FF1" w:rsidRPr="00A13A9E" w:rsidRDefault="001E4FF1" w:rsidP="001E4FF1">
      <w:pPr>
        <w:jc w:val="center"/>
        <w:rPr>
          <w:rFonts w:cstheme="minorHAnsi"/>
        </w:rPr>
      </w:pPr>
    </w:p>
    <w:p w14:paraId="75113713" w14:textId="77777777" w:rsidR="001E4FF1" w:rsidRPr="00A13A9E" w:rsidRDefault="001E4FF1" w:rsidP="001E4FF1">
      <w:pPr>
        <w:rPr>
          <w:rFonts w:cstheme="minorHAnsi"/>
        </w:rPr>
      </w:pPr>
    </w:p>
    <w:p w14:paraId="307ABF33" w14:textId="77777777" w:rsidR="001E4FF1" w:rsidRPr="00A13A9E" w:rsidRDefault="001E4FF1" w:rsidP="001E4FF1">
      <w:pPr>
        <w:jc w:val="center"/>
        <w:rPr>
          <w:rFonts w:cstheme="minorHAnsi"/>
        </w:rPr>
      </w:pPr>
      <w:r w:rsidRPr="00A13A9E">
        <w:rPr>
          <w:rFonts w:cstheme="minorHAnsi"/>
        </w:rPr>
        <w:t>Centrumgemeente Oss</w:t>
      </w:r>
    </w:p>
    <w:p w14:paraId="7005E58F" w14:textId="77777777" w:rsidR="001E4FF1" w:rsidRPr="00A13A9E" w:rsidRDefault="001E4FF1" w:rsidP="001E4FF1">
      <w:pPr>
        <w:jc w:val="center"/>
        <w:rPr>
          <w:rFonts w:cstheme="minorHAnsi"/>
        </w:rPr>
      </w:pPr>
    </w:p>
    <w:p w14:paraId="2D449D94" w14:textId="77777777" w:rsidR="001E4FF1" w:rsidRPr="00A13A9E" w:rsidRDefault="001E4FF1" w:rsidP="001E4FF1">
      <w:pPr>
        <w:jc w:val="center"/>
        <w:rPr>
          <w:rFonts w:cstheme="minorHAnsi"/>
        </w:rPr>
      </w:pPr>
      <w:r w:rsidRPr="00A13A9E">
        <w:rPr>
          <w:rFonts w:cstheme="minorHAnsi"/>
        </w:rPr>
        <w:t>(Opdrachtgever namens de gemeenten Bernheze, Boekel, Land van Cuijk, Maashorst, Oss)</w:t>
      </w:r>
    </w:p>
    <w:p w14:paraId="0D172122" w14:textId="77777777" w:rsidR="004A6839" w:rsidRDefault="004A6839" w:rsidP="004A6839">
      <w:pPr>
        <w:spacing w:line="259" w:lineRule="auto"/>
        <w:jc w:val="center"/>
      </w:pPr>
    </w:p>
    <w:p w14:paraId="4B5EDB7C" w14:textId="77777777" w:rsidR="004A6839" w:rsidRPr="00573D0A" w:rsidRDefault="004A6839" w:rsidP="004A6839">
      <w:pPr>
        <w:jc w:val="center"/>
      </w:pPr>
    </w:p>
    <w:p w14:paraId="1116FE7D" w14:textId="77777777" w:rsidR="004A6839" w:rsidRPr="00573D0A" w:rsidRDefault="004A6839" w:rsidP="004A6839"/>
    <w:p w14:paraId="3A2DBE1A" w14:textId="77777777" w:rsidR="004A6839" w:rsidRPr="00573D0A" w:rsidRDefault="004A6839" w:rsidP="004A6839"/>
    <w:p w14:paraId="07E2CA3C" w14:textId="77777777" w:rsidR="004A6839" w:rsidRPr="00573D0A" w:rsidRDefault="004A6839" w:rsidP="004A6839"/>
    <w:p w14:paraId="22750AA8" w14:textId="77777777" w:rsidR="004A6839" w:rsidRPr="00573D0A" w:rsidRDefault="004A6839" w:rsidP="004A6839"/>
    <w:p w14:paraId="7F26A4F8" w14:textId="77777777" w:rsidR="004A6839" w:rsidRPr="00573D0A" w:rsidRDefault="004A6839" w:rsidP="004A6839"/>
    <w:p w14:paraId="44F1646F" w14:textId="77777777" w:rsidR="00EF7E03" w:rsidRPr="00A13A9E" w:rsidRDefault="00EF7E03" w:rsidP="00EF7E03">
      <w:pPr>
        <w:rPr>
          <w:rFonts w:cstheme="minorHAnsi"/>
        </w:rPr>
      </w:pPr>
      <w:r w:rsidRPr="00A13A9E">
        <w:rPr>
          <w:rFonts w:cstheme="minorHAnsi"/>
        </w:rPr>
        <w:t>Versiebeheer:</w:t>
      </w:r>
    </w:p>
    <w:tbl>
      <w:tblPr>
        <w:tblStyle w:val="Tabelraster"/>
        <w:tblW w:w="0" w:type="auto"/>
        <w:tblLook w:val="04A0" w:firstRow="1" w:lastRow="0" w:firstColumn="1" w:lastColumn="0" w:noHBand="0" w:noVBand="1"/>
      </w:tblPr>
      <w:tblGrid>
        <w:gridCol w:w="747"/>
        <w:gridCol w:w="1641"/>
        <w:gridCol w:w="1860"/>
        <w:gridCol w:w="4814"/>
      </w:tblGrid>
      <w:tr w:rsidR="00EF7E03" w:rsidRPr="00A13A9E" w14:paraId="63AFF597" w14:textId="77777777" w:rsidTr="008C09C5">
        <w:trPr>
          <w:trHeight w:val="300"/>
        </w:trPr>
        <w:tc>
          <w:tcPr>
            <w:tcW w:w="747" w:type="dxa"/>
          </w:tcPr>
          <w:p w14:paraId="7BA6BF73" w14:textId="77777777" w:rsidR="00EF7E03" w:rsidRPr="00A13A9E" w:rsidRDefault="00EF7E03" w:rsidP="008C09C5">
            <w:pPr>
              <w:rPr>
                <w:rFonts w:cstheme="minorHAnsi"/>
              </w:rPr>
            </w:pPr>
            <w:r w:rsidRPr="00A13A9E">
              <w:rPr>
                <w:rFonts w:cstheme="minorHAnsi"/>
              </w:rPr>
              <w:t>1.0</w:t>
            </w:r>
          </w:p>
        </w:tc>
        <w:tc>
          <w:tcPr>
            <w:tcW w:w="1641" w:type="dxa"/>
          </w:tcPr>
          <w:p w14:paraId="470BA9C5" w14:textId="3F203522" w:rsidR="00EF7E03" w:rsidRPr="00A13A9E" w:rsidRDefault="006C169B" w:rsidP="008C09C5">
            <w:pPr>
              <w:rPr>
                <w:rFonts w:cstheme="minorHAnsi"/>
              </w:rPr>
            </w:pPr>
            <w:r>
              <w:rPr>
                <w:rFonts w:cstheme="minorHAnsi"/>
              </w:rPr>
              <w:t>April</w:t>
            </w:r>
            <w:r w:rsidR="00EF7E03" w:rsidRPr="00A13A9E">
              <w:rPr>
                <w:rFonts w:cstheme="minorHAnsi"/>
              </w:rPr>
              <w:t xml:space="preserve"> 2026</w:t>
            </w:r>
          </w:p>
        </w:tc>
        <w:tc>
          <w:tcPr>
            <w:tcW w:w="1860" w:type="dxa"/>
          </w:tcPr>
          <w:p w14:paraId="257CC24F" w14:textId="77777777" w:rsidR="00EF7E03" w:rsidRPr="00A13A9E" w:rsidRDefault="00EF7E03" w:rsidP="008C09C5">
            <w:pPr>
              <w:rPr>
                <w:rFonts w:cstheme="minorHAnsi"/>
              </w:rPr>
            </w:pPr>
            <w:r w:rsidRPr="00A13A9E">
              <w:rPr>
                <w:rFonts w:cstheme="minorHAnsi"/>
              </w:rPr>
              <w:t>Gemeente Oss</w:t>
            </w:r>
          </w:p>
        </w:tc>
        <w:tc>
          <w:tcPr>
            <w:tcW w:w="4814" w:type="dxa"/>
          </w:tcPr>
          <w:p w14:paraId="3E371F13" w14:textId="5EC74E02" w:rsidR="00EF7E03" w:rsidRPr="00A13A9E" w:rsidRDefault="008A4C48" w:rsidP="008C09C5">
            <w:pPr>
              <w:rPr>
                <w:rFonts w:cstheme="minorHAnsi"/>
              </w:rPr>
            </w:pPr>
            <w:proofErr w:type="spellStart"/>
            <w:r>
              <w:rPr>
                <w:lang w:val="en-US"/>
              </w:rPr>
              <w:t>U</w:t>
            </w:r>
            <w:r w:rsidR="00EF7E03" w:rsidRPr="43B0B8FA">
              <w:rPr>
                <w:lang w:val="en-US"/>
              </w:rPr>
              <w:t>itvraag</w:t>
            </w:r>
            <w:proofErr w:type="spellEnd"/>
            <w:r w:rsidR="00EF7E03" w:rsidRPr="43B0B8FA">
              <w:rPr>
                <w:lang w:val="en-US"/>
              </w:rPr>
              <w:t xml:space="preserve"> 1.0</w:t>
            </w:r>
          </w:p>
        </w:tc>
      </w:tr>
    </w:tbl>
    <w:p w14:paraId="0893CB6A" w14:textId="77777777" w:rsidR="004A6839" w:rsidRPr="00573D0A" w:rsidRDefault="004A6839" w:rsidP="004A6839"/>
    <w:p w14:paraId="28EF44CD" w14:textId="77777777" w:rsidR="004A6839" w:rsidRPr="00573D0A" w:rsidRDefault="004A6839" w:rsidP="004A6839"/>
    <w:p w14:paraId="3482C266" w14:textId="51685FA9" w:rsidR="00CC2E08" w:rsidRDefault="00CC2E08" w:rsidP="00CC2E08">
      <w:proofErr w:type="spellStart"/>
      <w:r w:rsidRPr="43B0B8FA">
        <w:rPr>
          <w:lang w:val="en-US"/>
        </w:rPr>
        <w:t>Referentienummer</w:t>
      </w:r>
      <w:proofErr w:type="spellEnd"/>
      <w:r w:rsidRPr="43B0B8FA">
        <w:rPr>
          <w:lang w:val="en-US"/>
        </w:rPr>
        <w:t>: 2026-06/</w:t>
      </w:r>
      <w:proofErr w:type="spellStart"/>
      <w:r w:rsidRPr="43B0B8FA">
        <w:rPr>
          <w:lang w:val="en-US"/>
        </w:rPr>
        <w:t>zRT</w:t>
      </w:r>
      <w:proofErr w:type="spellEnd"/>
      <w:r w:rsidRPr="43B0B8FA">
        <w:rPr>
          <w:lang w:val="en-US"/>
        </w:rPr>
        <w:t>-SH/NSF08</w:t>
      </w:r>
    </w:p>
    <w:p w14:paraId="7E2F3526" w14:textId="1768963A" w:rsidR="004A6839" w:rsidRPr="00573D0A" w:rsidRDefault="004A6839" w:rsidP="00CC2E08">
      <w:pPr>
        <w:tabs>
          <w:tab w:val="left" w:pos="2752"/>
        </w:tabs>
      </w:pPr>
    </w:p>
    <w:p w14:paraId="7416FA59" w14:textId="77777777" w:rsidR="004A6839" w:rsidRPr="00573D0A" w:rsidRDefault="004A6839" w:rsidP="004A6839"/>
    <w:p w14:paraId="308F18CD" w14:textId="77777777" w:rsidR="004A6839" w:rsidRPr="00573D0A" w:rsidRDefault="004A6839" w:rsidP="004A6839"/>
    <w:p w14:paraId="5769AF18" w14:textId="41CE98D7" w:rsidR="004A6839" w:rsidRPr="00573D0A" w:rsidRDefault="00EF7E03" w:rsidP="004A6839">
      <w:pPr>
        <w:pStyle w:val="Kop1"/>
        <w:ind w:left="720" w:hanging="720"/>
      </w:pPr>
      <w:bookmarkStart w:id="0" w:name="_Toc165276557"/>
      <w:bookmarkStart w:id="1" w:name="_Toc175739557"/>
      <w:bookmarkStart w:id="2" w:name="_Toc183078062"/>
      <w:bookmarkStart w:id="3" w:name="_Toc199795940"/>
      <w:bookmarkStart w:id="4" w:name="_Toc227858543"/>
      <w:r>
        <w:t>W</w:t>
      </w:r>
      <w:r w:rsidR="004A6839" w:rsidRPr="00573D0A">
        <w:t>ijzigingsbeheer</w:t>
      </w:r>
      <w:bookmarkEnd w:id="0"/>
      <w:bookmarkEnd w:id="1"/>
      <w:bookmarkEnd w:id="2"/>
      <w:bookmarkEnd w:id="3"/>
      <w:bookmarkEnd w:id="4"/>
    </w:p>
    <w:p w14:paraId="1EA47D8A" w14:textId="77777777" w:rsidR="004A6839" w:rsidRDefault="004A6839" w:rsidP="004A6839">
      <w:r>
        <w:t>Dit inkoopdocument is met zorg samengesteld. Toch kan het fouten of tegenstrijdigheden bevatten.</w:t>
      </w:r>
    </w:p>
    <w:p w14:paraId="304CCF7D" w14:textId="77777777" w:rsidR="004A6839" w:rsidRDefault="004A6839" w:rsidP="004A6839">
      <w:r>
        <w:t>Vindt een Potentiële Opdrachtnemer een fout of onduidelijkheid? Dan moet hij hierover een vraag stellen via de Nota van Inlichtingen op het elektronische aanbestedingsplatform.</w:t>
      </w:r>
    </w:p>
    <w:p w14:paraId="34345A70" w14:textId="77777777" w:rsidR="004A6839" w:rsidRDefault="004A6839" w:rsidP="004A6839">
      <w:r>
        <w:t>Merkt een Potentiële Opdrachtnemer later een fout op die hij eerder had kunnen zien? Dan is dit voor eigen risico.</w:t>
      </w:r>
    </w:p>
    <w:p w14:paraId="217293C4" w14:textId="77777777" w:rsidR="004A6839" w:rsidRDefault="004A6839" w:rsidP="004A6839">
      <w:r>
        <w:t>De inkopende organisatie is alleen verplicht om de gekozen procedure te volgen. Andere verplichtingen volgen niet uit dit document.</w:t>
      </w:r>
    </w:p>
    <w:p w14:paraId="3F2A734A" w14:textId="77777777" w:rsidR="004A6839" w:rsidRDefault="004A6839" w:rsidP="004A6839">
      <w:r>
        <w:t>De inkopende organisatie mag de Toelatingsprocedure stoppen, intrekken of tijdelijk stilleggen. Potentiële Opdrachtnemers kunnen in dat geval geen schadevergoeding eisen.</w:t>
      </w:r>
    </w:p>
    <w:p w14:paraId="39E48657" w14:textId="77777777" w:rsidR="004A6839" w:rsidRDefault="004A6839" w:rsidP="004A6839">
      <w:r>
        <w:t>Ook in andere gevallen is er geen recht op vergoeding van kosten, tenzij dit document dat anders regelt.</w:t>
      </w:r>
    </w:p>
    <w:p w14:paraId="704AB751" w14:textId="77777777" w:rsidR="004A6839" w:rsidRDefault="004A6839" w:rsidP="004A6839">
      <w:r>
        <w:t>De planning op het elektronische platform kan nog wijzigen. Potentiële Opdrachtnemers kunnen daar geen rechten aan ontlenen.</w:t>
      </w:r>
    </w:p>
    <w:p w14:paraId="7D67921D" w14:textId="77777777" w:rsidR="004A6839" w:rsidRDefault="004A6839" w:rsidP="004A6839"/>
    <w:p w14:paraId="095D4DC3" w14:textId="77777777" w:rsidR="004A6839" w:rsidRDefault="004A6839" w:rsidP="004A6839">
      <w:r>
        <w:t>© 2026 – Gemeente Oss (Centrumgemeente).</w:t>
      </w:r>
    </w:p>
    <w:p w14:paraId="5B7CE29E" w14:textId="77777777" w:rsidR="004A6839" w:rsidRPr="00573D0A" w:rsidRDefault="004A6839" w:rsidP="004A6839">
      <w:pPr>
        <w:sectPr w:rsidR="004A6839" w:rsidRPr="00573D0A" w:rsidSect="00387E03">
          <w:headerReference w:type="default" r:id="rId12"/>
          <w:footerReference w:type="even" r:id="rId13"/>
          <w:footerReference w:type="default" r:id="rId14"/>
          <w:pgSz w:w="11906" w:h="16838"/>
          <w:pgMar w:top="1417" w:right="1417" w:bottom="1417" w:left="1417" w:header="708" w:footer="708" w:gutter="0"/>
          <w:cols w:space="708"/>
          <w:docGrid w:linePitch="360"/>
        </w:sectPr>
      </w:pPr>
    </w:p>
    <w:bookmarkStart w:id="5" w:name="_Toc164874589" w:displacedByCustomXml="next"/>
    <w:bookmarkStart w:id="6" w:name="_Toc165276558" w:displacedByCustomXml="next"/>
    <w:bookmarkStart w:id="7" w:name="_Toc175739558" w:displacedByCustomXml="next"/>
    <w:bookmarkStart w:id="8" w:name="_Toc183078063" w:displacedByCustomXml="next"/>
    <w:bookmarkStart w:id="9" w:name="_Toc183772102" w:displacedByCustomXml="next"/>
    <w:bookmarkStart w:id="10" w:name="_Toc199795941" w:displacedByCustomXml="next"/>
    <w:sdt>
      <w:sdtPr>
        <w:rPr>
          <w:rFonts w:eastAsiaTheme="minorEastAsia"/>
          <w:b w:val="0"/>
          <w:bCs w:val="0"/>
          <w:color w:val="auto"/>
          <w:sz w:val="22"/>
          <w:szCs w:val="22"/>
          <w:lang w:eastAsia="en-US"/>
        </w:rPr>
        <w:id w:val="-1280649682"/>
        <w:docPartObj>
          <w:docPartGallery w:val="Table of Contents"/>
          <w:docPartUnique/>
        </w:docPartObj>
      </w:sdtPr>
      <w:sdtContent>
        <w:p w14:paraId="55294EED" w14:textId="270DDC9E" w:rsidR="00960911" w:rsidRDefault="00960911">
          <w:pPr>
            <w:pStyle w:val="Kopvaninhoudsopgave"/>
          </w:pPr>
          <w:r>
            <w:t>Inhoudsopgave</w:t>
          </w:r>
        </w:p>
        <w:p w14:paraId="51E30566" w14:textId="647B5576" w:rsidR="005C5E17" w:rsidRDefault="00960911">
          <w:pPr>
            <w:pStyle w:val="Inhopg1"/>
            <w:tabs>
              <w:tab w:val="right" w:leader="dot" w:pos="9062"/>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27858543" w:history="1">
            <w:r w:rsidR="005C5E17" w:rsidRPr="00F56C59">
              <w:rPr>
                <w:rStyle w:val="Hyperlink"/>
                <w:noProof/>
              </w:rPr>
              <w:t>Wijzigingsbeheer</w:t>
            </w:r>
            <w:r w:rsidR="005C5E17">
              <w:rPr>
                <w:noProof/>
                <w:webHidden/>
              </w:rPr>
              <w:tab/>
            </w:r>
            <w:r w:rsidR="005C5E17">
              <w:rPr>
                <w:noProof/>
                <w:webHidden/>
              </w:rPr>
              <w:fldChar w:fldCharType="begin"/>
            </w:r>
            <w:r w:rsidR="005C5E17">
              <w:rPr>
                <w:noProof/>
                <w:webHidden/>
              </w:rPr>
              <w:instrText xml:space="preserve"> PAGEREF _Toc227858543 \h </w:instrText>
            </w:r>
            <w:r w:rsidR="005C5E17">
              <w:rPr>
                <w:noProof/>
                <w:webHidden/>
              </w:rPr>
            </w:r>
            <w:r w:rsidR="005C5E17">
              <w:rPr>
                <w:noProof/>
                <w:webHidden/>
              </w:rPr>
              <w:fldChar w:fldCharType="separate"/>
            </w:r>
            <w:r w:rsidR="00257046">
              <w:rPr>
                <w:noProof/>
                <w:webHidden/>
              </w:rPr>
              <w:t>2</w:t>
            </w:r>
            <w:r w:rsidR="005C5E17">
              <w:rPr>
                <w:noProof/>
                <w:webHidden/>
              </w:rPr>
              <w:fldChar w:fldCharType="end"/>
            </w:r>
          </w:hyperlink>
        </w:p>
        <w:p w14:paraId="0D530E32" w14:textId="5C56674B" w:rsidR="005C5E17" w:rsidRDefault="005C5E17">
          <w:pPr>
            <w:pStyle w:val="Inhopg1"/>
            <w:tabs>
              <w:tab w:val="right" w:leader="dot" w:pos="9062"/>
            </w:tabs>
            <w:rPr>
              <w:rFonts w:asciiTheme="minorHAnsi" w:eastAsiaTheme="minorEastAsia" w:hAnsiTheme="minorHAnsi" w:cstheme="minorBidi"/>
              <w:noProof/>
              <w:kern w:val="2"/>
              <w14:ligatures w14:val="standardContextual"/>
            </w:rPr>
          </w:pPr>
          <w:hyperlink w:anchor="_Toc227858544" w:history="1">
            <w:r w:rsidRPr="00F56C59">
              <w:rPr>
                <w:rStyle w:val="Hyperlink"/>
                <w:noProof/>
              </w:rPr>
              <w:t>Definities</w:t>
            </w:r>
            <w:r>
              <w:rPr>
                <w:noProof/>
                <w:webHidden/>
              </w:rPr>
              <w:tab/>
            </w:r>
            <w:r>
              <w:rPr>
                <w:noProof/>
                <w:webHidden/>
              </w:rPr>
              <w:fldChar w:fldCharType="begin"/>
            </w:r>
            <w:r>
              <w:rPr>
                <w:noProof/>
                <w:webHidden/>
              </w:rPr>
              <w:instrText xml:space="preserve"> PAGEREF _Toc227858544 \h </w:instrText>
            </w:r>
            <w:r>
              <w:rPr>
                <w:noProof/>
                <w:webHidden/>
              </w:rPr>
            </w:r>
            <w:r>
              <w:rPr>
                <w:noProof/>
                <w:webHidden/>
              </w:rPr>
              <w:fldChar w:fldCharType="separate"/>
            </w:r>
            <w:r w:rsidR="00257046">
              <w:rPr>
                <w:noProof/>
                <w:webHidden/>
              </w:rPr>
              <w:t>5</w:t>
            </w:r>
            <w:r>
              <w:rPr>
                <w:noProof/>
                <w:webHidden/>
              </w:rPr>
              <w:fldChar w:fldCharType="end"/>
            </w:r>
          </w:hyperlink>
        </w:p>
        <w:p w14:paraId="46545C78" w14:textId="2B865BDC" w:rsidR="005C5E17" w:rsidRDefault="005C5E17">
          <w:pPr>
            <w:pStyle w:val="Inhopg1"/>
            <w:tabs>
              <w:tab w:val="left" w:pos="480"/>
              <w:tab w:val="right" w:leader="dot" w:pos="9062"/>
            </w:tabs>
            <w:rPr>
              <w:rFonts w:asciiTheme="minorHAnsi" w:eastAsiaTheme="minorEastAsia" w:hAnsiTheme="minorHAnsi" w:cstheme="minorBidi"/>
              <w:noProof/>
              <w:kern w:val="2"/>
              <w14:ligatures w14:val="standardContextual"/>
            </w:rPr>
          </w:pPr>
          <w:hyperlink w:anchor="_Toc227858545" w:history="1">
            <w:r w:rsidRPr="00F56C59">
              <w:rPr>
                <w:rStyle w:val="Hyperlink"/>
                <w:noProof/>
              </w:rPr>
              <w:t>1.</w:t>
            </w:r>
            <w:r>
              <w:rPr>
                <w:rFonts w:asciiTheme="minorHAnsi" w:eastAsiaTheme="minorEastAsia" w:hAnsiTheme="minorHAnsi" w:cstheme="minorBidi"/>
                <w:noProof/>
                <w:kern w:val="2"/>
                <w14:ligatures w14:val="standardContextual"/>
              </w:rPr>
              <w:tab/>
            </w:r>
            <w:r w:rsidRPr="00F56C59">
              <w:rPr>
                <w:rStyle w:val="Hyperlink"/>
                <w:noProof/>
              </w:rPr>
              <w:t>Inkopende organisatie</w:t>
            </w:r>
            <w:r>
              <w:rPr>
                <w:noProof/>
                <w:webHidden/>
              </w:rPr>
              <w:tab/>
            </w:r>
            <w:r>
              <w:rPr>
                <w:noProof/>
                <w:webHidden/>
              </w:rPr>
              <w:fldChar w:fldCharType="begin"/>
            </w:r>
            <w:r>
              <w:rPr>
                <w:noProof/>
                <w:webHidden/>
              </w:rPr>
              <w:instrText xml:space="preserve"> PAGEREF _Toc227858545 \h </w:instrText>
            </w:r>
            <w:r>
              <w:rPr>
                <w:noProof/>
                <w:webHidden/>
              </w:rPr>
            </w:r>
            <w:r>
              <w:rPr>
                <w:noProof/>
                <w:webHidden/>
              </w:rPr>
              <w:fldChar w:fldCharType="separate"/>
            </w:r>
            <w:r w:rsidR="00257046">
              <w:rPr>
                <w:noProof/>
                <w:webHidden/>
              </w:rPr>
              <w:t>6</w:t>
            </w:r>
            <w:r>
              <w:rPr>
                <w:noProof/>
                <w:webHidden/>
              </w:rPr>
              <w:fldChar w:fldCharType="end"/>
            </w:r>
          </w:hyperlink>
        </w:p>
        <w:p w14:paraId="2D6C4C4D" w14:textId="09E63180" w:rsidR="005C5E17" w:rsidRDefault="005C5E17">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27858546" w:history="1">
            <w:r w:rsidRPr="00F56C59">
              <w:rPr>
                <w:rStyle w:val="Hyperlink"/>
                <w:noProof/>
              </w:rPr>
              <w:t xml:space="preserve">1.1 </w:t>
            </w:r>
            <w:r>
              <w:rPr>
                <w:rFonts w:asciiTheme="minorHAnsi" w:eastAsiaTheme="minorEastAsia" w:hAnsiTheme="minorHAnsi" w:cstheme="minorBidi"/>
                <w:noProof/>
                <w:kern w:val="2"/>
                <w14:ligatures w14:val="standardContextual"/>
              </w:rPr>
              <w:tab/>
            </w:r>
            <w:r w:rsidRPr="00F56C59">
              <w:rPr>
                <w:rStyle w:val="Hyperlink"/>
                <w:noProof/>
              </w:rPr>
              <w:t>Inkopende organisatie</w:t>
            </w:r>
            <w:r>
              <w:rPr>
                <w:noProof/>
                <w:webHidden/>
              </w:rPr>
              <w:tab/>
            </w:r>
            <w:r>
              <w:rPr>
                <w:noProof/>
                <w:webHidden/>
              </w:rPr>
              <w:fldChar w:fldCharType="begin"/>
            </w:r>
            <w:r>
              <w:rPr>
                <w:noProof/>
                <w:webHidden/>
              </w:rPr>
              <w:instrText xml:space="preserve"> PAGEREF _Toc227858546 \h </w:instrText>
            </w:r>
            <w:r>
              <w:rPr>
                <w:noProof/>
                <w:webHidden/>
              </w:rPr>
            </w:r>
            <w:r>
              <w:rPr>
                <w:noProof/>
                <w:webHidden/>
              </w:rPr>
              <w:fldChar w:fldCharType="separate"/>
            </w:r>
            <w:r w:rsidR="00257046">
              <w:rPr>
                <w:noProof/>
                <w:webHidden/>
              </w:rPr>
              <w:t>6</w:t>
            </w:r>
            <w:r>
              <w:rPr>
                <w:noProof/>
                <w:webHidden/>
              </w:rPr>
              <w:fldChar w:fldCharType="end"/>
            </w:r>
          </w:hyperlink>
        </w:p>
        <w:p w14:paraId="2EB7DE3F" w14:textId="76E00C75" w:rsidR="005C5E17" w:rsidRDefault="005C5E17">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27858547" w:history="1">
            <w:r w:rsidRPr="00F56C59">
              <w:rPr>
                <w:rStyle w:val="Hyperlink"/>
                <w:noProof/>
              </w:rPr>
              <w:t xml:space="preserve">1.2 </w:t>
            </w:r>
            <w:r>
              <w:rPr>
                <w:rFonts w:asciiTheme="minorHAnsi" w:eastAsiaTheme="minorEastAsia" w:hAnsiTheme="minorHAnsi" w:cstheme="minorBidi"/>
                <w:noProof/>
                <w:kern w:val="2"/>
                <w14:ligatures w14:val="standardContextual"/>
              </w:rPr>
              <w:tab/>
            </w:r>
            <w:r w:rsidRPr="00F56C59">
              <w:rPr>
                <w:rStyle w:val="Hyperlink"/>
                <w:noProof/>
              </w:rPr>
              <w:t>Contactpersonen en -gegevens</w:t>
            </w:r>
            <w:r>
              <w:rPr>
                <w:noProof/>
                <w:webHidden/>
              </w:rPr>
              <w:tab/>
            </w:r>
            <w:r>
              <w:rPr>
                <w:noProof/>
                <w:webHidden/>
              </w:rPr>
              <w:fldChar w:fldCharType="begin"/>
            </w:r>
            <w:r>
              <w:rPr>
                <w:noProof/>
                <w:webHidden/>
              </w:rPr>
              <w:instrText xml:space="preserve"> PAGEREF _Toc227858547 \h </w:instrText>
            </w:r>
            <w:r>
              <w:rPr>
                <w:noProof/>
                <w:webHidden/>
              </w:rPr>
            </w:r>
            <w:r>
              <w:rPr>
                <w:noProof/>
                <w:webHidden/>
              </w:rPr>
              <w:fldChar w:fldCharType="separate"/>
            </w:r>
            <w:r w:rsidR="00257046">
              <w:rPr>
                <w:noProof/>
                <w:webHidden/>
              </w:rPr>
              <w:t>6</w:t>
            </w:r>
            <w:r>
              <w:rPr>
                <w:noProof/>
                <w:webHidden/>
              </w:rPr>
              <w:fldChar w:fldCharType="end"/>
            </w:r>
          </w:hyperlink>
        </w:p>
        <w:p w14:paraId="5ED5DA2C" w14:textId="2DD920A9" w:rsidR="005C5E17" w:rsidRDefault="005C5E17">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27858548" w:history="1">
            <w:r w:rsidRPr="00F56C59">
              <w:rPr>
                <w:rStyle w:val="Hyperlink"/>
                <w:noProof/>
              </w:rPr>
              <w:t xml:space="preserve">1.3 </w:t>
            </w:r>
            <w:r>
              <w:rPr>
                <w:rFonts w:asciiTheme="minorHAnsi" w:eastAsiaTheme="minorEastAsia" w:hAnsiTheme="minorHAnsi" w:cstheme="minorBidi"/>
                <w:noProof/>
                <w:kern w:val="2"/>
                <w14:ligatures w14:val="standardContextual"/>
              </w:rPr>
              <w:tab/>
            </w:r>
            <w:r w:rsidRPr="00F56C59">
              <w:rPr>
                <w:rStyle w:val="Hyperlink"/>
                <w:noProof/>
              </w:rPr>
              <w:t>Algemene informatie</w:t>
            </w:r>
            <w:r>
              <w:rPr>
                <w:noProof/>
                <w:webHidden/>
              </w:rPr>
              <w:tab/>
            </w:r>
            <w:r>
              <w:rPr>
                <w:noProof/>
                <w:webHidden/>
              </w:rPr>
              <w:fldChar w:fldCharType="begin"/>
            </w:r>
            <w:r>
              <w:rPr>
                <w:noProof/>
                <w:webHidden/>
              </w:rPr>
              <w:instrText xml:space="preserve"> PAGEREF _Toc227858548 \h </w:instrText>
            </w:r>
            <w:r>
              <w:rPr>
                <w:noProof/>
                <w:webHidden/>
              </w:rPr>
            </w:r>
            <w:r>
              <w:rPr>
                <w:noProof/>
                <w:webHidden/>
              </w:rPr>
              <w:fldChar w:fldCharType="separate"/>
            </w:r>
            <w:r w:rsidR="00257046">
              <w:rPr>
                <w:noProof/>
                <w:webHidden/>
              </w:rPr>
              <w:t>6</w:t>
            </w:r>
            <w:r>
              <w:rPr>
                <w:noProof/>
                <w:webHidden/>
              </w:rPr>
              <w:fldChar w:fldCharType="end"/>
            </w:r>
          </w:hyperlink>
        </w:p>
        <w:p w14:paraId="4D1FA82B" w14:textId="4D2CBA72" w:rsidR="005C5E17" w:rsidRDefault="005C5E17">
          <w:pPr>
            <w:pStyle w:val="Inhopg1"/>
            <w:tabs>
              <w:tab w:val="left" w:pos="480"/>
              <w:tab w:val="right" w:leader="dot" w:pos="9062"/>
            </w:tabs>
            <w:rPr>
              <w:rFonts w:asciiTheme="minorHAnsi" w:eastAsiaTheme="minorEastAsia" w:hAnsiTheme="minorHAnsi" w:cstheme="minorBidi"/>
              <w:noProof/>
              <w:kern w:val="2"/>
              <w14:ligatures w14:val="standardContextual"/>
            </w:rPr>
          </w:pPr>
          <w:hyperlink w:anchor="_Toc227858549" w:history="1">
            <w:r w:rsidRPr="00F56C59">
              <w:rPr>
                <w:rStyle w:val="Hyperlink"/>
                <w:noProof/>
              </w:rPr>
              <w:t>2.</w:t>
            </w:r>
            <w:r>
              <w:rPr>
                <w:rFonts w:asciiTheme="minorHAnsi" w:eastAsiaTheme="minorEastAsia" w:hAnsiTheme="minorHAnsi" w:cstheme="minorBidi"/>
                <w:noProof/>
                <w:kern w:val="2"/>
                <w14:ligatures w14:val="standardContextual"/>
              </w:rPr>
              <w:tab/>
            </w:r>
            <w:r w:rsidRPr="00F56C59">
              <w:rPr>
                <w:rStyle w:val="Hyperlink"/>
                <w:noProof/>
              </w:rPr>
              <w:t>Beschrijving opdracht</w:t>
            </w:r>
            <w:r>
              <w:rPr>
                <w:noProof/>
                <w:webHidden/>
              </w:rPr>
              <w:tab/>
            </w:r>
            <w:r>
              <w:rPr>
                <w:noProof/>
                <w:webHidden/>
              </w:rPr>
              <w:fldChar w:fldCharType="begin"/>
            </w:r>
            <w:r>
              <w:rPr>
                <w:noProof/>
                <w:webHidden/>
              </w:rPr>
              <w:instrText xml:space="preserve"> PAGEREF _Toc227858549 \h </w:instrText>
            </w:r>
            <w:r>
              <w:rPr>
                <w:noProof/>
                <w:webHidden/>
              </w:rPr>
            </w:r>
            <w:r>
              <w:rPr>
                <w:noProof/>
                <w:webHidden/>
              </w:rPr>
              <w:fldChar w:fldCharType="separate"/>
            </w:r>
            <w:r w:rsidR="00257046">
              <w:rPr>
                <w:noProof/>
                <w:webHidden/>
              </w:rPr>
              <w:t>8</w:t>
            </w:r>
            <w:r>
              <w:rPr>
                <w:noProof/>
                <w:webHidden/>
              </w:rPr>
              <w:fldChar w:fldCharType="end"/>
            </w:r>
          </w:hyperlink>
        </w:p>
        <w:p w14:paraId="52835FD3" w14:textId="496D7175" w:rsidR="005C5E17" w:rsidRDefault="005C5E17">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27858550" w:history="1">
            <w:r w:rsidRPr="00F56C59">
              <w:rPr>
                <w:rStyle w:val="Hyperlink"/>
                <w:noProof/>
              </w:rPr>
              <w:t xml:space="preserve">2.1 </w:t>
            </w:r>
            <w:r>
              <w:rPr>
                <w:rFonts w:asciiTheme="minorHAnsi" w:eastAsiaTheme="minorEastAsia" w:hAnsiTheme="minorHAnsi" w:cstheme="minorBidi"/>
                <w:noProof/>
                <w:kern w:val="2"/>
                <w14:ligatures w14:val="standardContextual"/>
              </w:rPr>
              <w:tab/>
            </w:r>
            <w:r w:rsidRPr="00F56C59">
              <w:rPr>
                <w:rStyle w:val="Hyperlink"/>
                <w:noProof/>
              </w:rPr>
              <w:t>Uitgangspunten, doelstellingen en voorzieningen</w:t>
            </w:r>
            <w:r>
              <w:rPr>
                <w:noProof/>
                <w:webHidden/>
              </w:rPr>
              <w:tab/>
            </w:r>
            <w:r>
              <w:rPr>
                <w:noProof/>
                <w:webHidden/>
              </w:rPr>
              <w:fldChar w:fldCharType="begin"/>
            </w:r>
            <w:r>
              <w:rPr>
                <w:noProof/>
                <w:webHidden/>
              </w:rPr>
              <w:instrText xml:space="preserve"> PAGEREF _Toc227858550 \h </w:instrText>
            </w:r>
            <w:r>
              <w:rPr>
                <w:noProof/>
                <w:webHidden/>
              </w:rPr>
            </w:r>
            <w:r>
              <w:rPr>
                <w:noProof/>
                <w:webHidden/>
              </w:rPr>
              <w:fldChar w:fldCharType="separate"/>
            </w:r>
            <w:r w:rsidR="00257046">
              <w:rPr>
                <w:noProof/>
                <w:webHidden/>
              </w:rPr>
              <w:t>8</w:t>
            </w:r>
            <w:r>
              <w:rPr>
                <w:noProof/>
                <w:webHidden/>
              </w:rPr>
              <w:fldChar w:fldCharType="end"/>
            </w:r>
          </w:hyperlink>
        </w:p>
        <w:p w14:paraId="14FFF234" w14:textId="3BAE01C2" w:rsidR="005C5E17" w:rsidRDefault="005C5E17">
          <w:pPr>
            <w:pStyle w:val="Inhopg2"/>
            <w:tabs>
              <w:tab w:val="right" w:leader="dot" w:pos="9062"/>
            </w:tabs>
            <w:rPr>
              <w:rFonts w:asciiTheme="minorHAnsi" w:eastAsiaTheme="minorEastAsia" w:hAnsiTheme="minorHAnsi" w:cstheme="minorBidi"/>
              <w:noProof/>
              <w:kern w:val="2"/>
              <w14:ligatures w14:val="standardContextual"/>
            </w:rPr>
          </w:pPr>
          <w:hyperlink w:anchor="_Toc227858551" w:history="1">
            <w:r w:rsidRPr="00F56C59">
              <w:rPr>
                <w:rStyle w:val="Hyperlink"/>
                <w:noProof/>
              </w:rPr>
              <w:t>2.1.1 Algemene beleidsuitgangspunten</w:t>
            </w:r>
            <w:r>
              <w:rPr>
                <w:noProof/>
                <w:webHidden/>
              </w:rPr>
              <w:tab/>
            </w:r>
            <w:r>
              <w:rPr>
                <w:noProof/>
                <w:webHidden/>
              </w:rPr>
              <w:fldChar w:fldCharType="begin"/>
            </w:r>
            <w:r>
              <w:rPr>
                <w:noProof/>
                <w:webHidden/>
              </w:rPr>
              <w:instrText xml:space="preserve"> PAGEREF _Toc227858551 \h </w:instrText>
            </w:r>
            <w:r>
              <w:rPr>
                <w:noProof/>
                <w:webHidden/>
              </w:rPr>
            </w:r>
            <w:r>
              <w:rPr>
                <w:noProof/>
                <w:webHidden/>
              </w:rPr>
              <w:fldChar w:fldCharType="separate"/>
            </w:r>
            <w:r w:rsidR="00257046">
              <w:rPr>
                <w:noProof/>
                <w:webHidden/>
              </w:rPr>
              <w:t>8</w:t>
            </w:r>
            <w:r>
              <w:rPr>
                <w:noProof/>
                <w:webHidden/>
              </w:rPr>
              <w:fldChar w:fldCharType="end"/>
            </w:r>
          </w:hyperlink>
        </w:p>
        <w:p w14:paraId="39FB727B" w14:textId="4577E5EC" w:rsidR="005C5E17" w:rsidRDefault="005C5E17">
          <w:pPr>
            <w:pStyle w:val="Inhopg2"/>
            <w:tabs>
              <w:tab w:val="right" w:leader="dot" w:pos="9062"/>
            </w:tabs>
            <w:rPr>
              <w:rFonts w:asciiTheme="minorHAnsi" w:eastAsiaTheme="minorEastAsia" w:hAnsiTheme="minorHAnsi" w:cstheme="minorBidi"/>
              <w:noProof/>
              <w:kern w:val="2"/>
              <w14:ligatures w14:val="standardContextual"/>
            </w:rPr>
          </w:pPr>
          <w:hyperlink w:anchor="_Toc227858552" w:history="1">
            <w:r w:rsidRPr="00F56C59">
              <w:rPr>
                <w:rStyle w:val="Hyperlink"/>
                <w:noProof/>
              </w:rPr>
              <w:t>2.1.2 Norm voor Opdrachtgeverschap</w:t>
            </w:r>
            <w:r>
              <w:rPr>
                <w:noProof/>
                <w:webHidden/>
              </w:rPr>
              <w:tab/>
            </w:r>
            <w:r>
              <w:rPr>
                <w:noProof/>
                <w:webHidden/>
              </w:rPr>
              <w:fldChar w:fldCharType="begin"/>
            </w:r>
            <w:r>
              <w:rPr>
                <w:noProof/>
                <w:webHidden/>
              </w:rPr>
              <w:instrText xml:space="preserve"> PAGEREF _Toc227858552 \h </w:instrText>
            </w:r>
            <w:r>
              <w:rPr>
                <w:noProof/>
                <w:webHidden/>
              </w:rPr>
            </w:r>
            <w:r>
              <w:rPr>
                <w:noProof/>
                <w:webHidden/>
              </w:rPr>
              <w:fldChar w:fldCharType="separate"/>
            </w:r>
            <w:r w:rsidR="00257046">
              <w:rPr>
                <w:noProof/>
                <w:webHidden/>
              </w:rPr>
              <w:t>8</w:t>
            </w:r>
            <w:r>
              <w:rPr>
                <w:noProof/>
                <w:webHidden/>
              </w:rPr>
              <w:fldChar w:fldCharType="end"/>
            </w:r>
          </w:hyperlink>
        </w:p>
        <w:p w14:paraId="7E63BE5C" w14:textId="0F57D1D1" w:rsidR="005C5E17" w:rsidRDefault="005C5E17">
          <w:pPr>
            <w:pStyle w:val="Inhopg2"/>
            <w:tabs>
              <w:tab w:val="right" w:leader="dot" w:pos="9062"/>
            </w:tabs>
            <w:rPr>
              <w:rFonts w:asciiTheme="minorHAnsi" w:eastAsiaTheme="minorEastAsia" w:hAnsiTheme="minorHAnsi" w:cstheme="minorBidi"/>
              <w:noProof/>
              <w:kern w:val="2"/>
              <w14:ligatures w14:val="standardContextual"/>
            </w:rPr>
          </w:pPr>
          <w:hyperlink w:anchor="_Toc227858553" w:history="1">
            <w:r w:rsidRPr="00F56C59">
              <w:rPr>
                <w:rStyle w:val="Hyperlink"/>
                <w:noProof/>
              </w:rPr>
              <w:t>2.1.3 Inkoopdoelstelling(en)</w:t>
            </w:r>
            <w:r>
              <w:rPr>
                <w:noProof/>
                <w:webHidden/>
              </w:rPr>
              <w:tab/>
            </w:r>
            <w:r>
              <w:rPr>
                <w:noProof/>
                <w:webHidden/>
              </w:rPr>
              <w:fldChar w:fldCharType="begin"/>
            </w:r>
            <w:r>
              <w:rPr>
                <w:noProof/>
                <w:webHidden/>
              </w:rPr>
              <w:instrText xml:space="preserve"> PAGEREF _Toc227858553 \h </w:instrText>
            </w:r>
            <w:r>
              <w:rPr>
                <w:noProof/>
                <w:webHidden/>
              </w:rPr>
            </w:r>
            <w:r>
              <w:rPr>
                <w:noProof/>
                <w:webHidden/>
              </w:rPr>
              <w:fldChar w:fldCharType="separate"/>
            </w:r>
            <w:r w:rsidR="00257046">
              <w:rPr>
                <w:noProof/>
                <w:webHidden/>
              </w:rPr>
              <w:t>9</w:t>
            </w:r>
            <w:r>
              <w:rPr>
                <w:noProof/>
                <w:webHidden/>
              </w:rPr>
              <w:fldChar w:fldCharType="end"/>
            </w:r>
          </w:hyperlink>
        </w:p>
        <w:p w14:paraId="538ABBEB" w14:textId="54E41666" w:rsidR="005C5E17" w:rsidRDefault="005C5E17">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27858554" w:history="1">
            <w:r w:rsidRPr="00F56C59">
              <w:rPr>
                <w:rStyle w:val="Hyperlink"/>
                <w:noProof/>
              </w:rPr>
              <w:t xml:space="preserve">2.2 </w:t>
            </w:r>
            <w:r>
              <w:rPr>
                <w:rFonts w:asciiTheme="minorHAnsi" w:eastAsiaTheme="minorEastAsia" w:hAnsiTheme="minorHAnsi" w:cstheme="minorBidi"/>
                <w:noProof/>
                <w:kern w:val="2"/>
                <w14:ligatures w14:val="standardContextual"/>
              </w:rPr>
              <w:tab/>
            </w:r>
            <w:r w:rsidRPr="00F56C59">
              <w:rPr>
                <w:rStyle w:val="Hyperlink"/>
                <w:noProof/>
              </w:rPr>
              <w:t>Toeleiding van Inwoners naar voorzieningen</w:t>
            </w:r>
            <w:r>
              <w:rPr>
                <w:noProof/>
                <w:webHidden/>
              </w:rPr>
              <w:tab/>
            </w:r>
            <w:r>
              <w:rPr>
                <w:noProof/>
                <w:webHidden/>
              </w:rPr>
              <w:fldChar w:fldCharType="begin"/>
            </w:r>
            <w:r>
              <w:rPr>
                <w:noProof/>
                <w:webHidden/>
              </w:rPr>
              <w:instrText xml:space="preserve"> PAGEREF _Toc227858554 \h </w:instrText>
            </w:r>
            <w:r>
              <w:rPr>
                <w:noProof/>
                <w:webHidden/>
              </w:rPr>
            </w:r>
            <w:r>
              <w:rPr>
                <w:noProof/>
                <w:webHidden/>
              </w:rPr>
              <w:fldChar w:fldCharType="separate"/>
            </w:r>
            <w:r w:rsidR="00257046">
              <w:rPr>
                <w:noProof/>
                <w:webHidden/>
              </w:rPr>
              <w:t>10</w:t>
            </w:r>
            <w:r>
              <w:rPr>
                <w:noProof/>
                <w:webHidden/>
              </w:rPr>
              <w:fldChar w:fldCharType="end"/>
            </w:r>
          </w:hyperlink>
        </w:p>
        <w:p w14:paraId="0C5800D0" w14:textId="15A1900F" w:rsidR="005C5E17" w:rsidRDefault="005C5E17">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27858555" w:history="1">
            <w:r w:rsidRPr="00F56C59">
              <w:rPr>
                <w:rStyle w:val="Hyperlink"/>
                <w:noProof/>
              </w:rPr>
              <w:t xml:space="preserve">2.3 </w:t>
            </w:r>
            <w:r>
              <w:rPr>
                <w:rFonts w:asciiTheme="minorHAnsi" w:eastAsiaTheme="minorEastAsia" w:hAnsiTheme="minorHAnsi" w:cstheme="minorBidi"/>
                <w:noProof/>
                <w:kern w:val="2"/>
                <w14:ligatures w14:val="standardContextual"/>
              </w:rPr>
              <w:tab/>
            </w:r>
            <w:r w:rsidRPr="00F56C59">
              <w:rPr>
                <w:rStyle w:val="Hyperlink"/>
                <w:noProof/>
              </w:rPr>
              <w:t>Monitoring, sturing, toezicht en leren</w:t>
            </w:r>
            <w:r>
              <w:rPr>
                <w:noProof/>
                <w:webHidden/>
              </w:rPr>
              <w:tab/>
            </w:r>
            <w:r>
              <w:rPr>
                <w:noProof/>
                <w:webHidden/>
              </w:rPr>
              <w:fldChar w:fldCharType="begin"/>
            </w:r>
            <w:r>
              <w:rPr>
                <w:noProof/>
                <w:webHidden/>
              </w:rPr>
              <w:instrText xml:space="preserve"> PAGEREF _Toc227858555 \h </w:instrText>
            </w:r>
            <w:r>
              <w:rPr>
                <w:noProof/>
                <w:webHidden/>
              </w:rPr>
            </w:r>
            <w:r>
              <w:rPr>
                <w:noProof/>
                <w:webHidden/>
              </w:rPr>
              <w:fldChar w:fldCharType="separate"/>
            </w:r>
            <w:r w:rsidR="00257046">
              <w:rPr>
                <w:noProof/>
                <w:webHidden/>
              </w:rPr>
              <w:t>10</w:t>
            </w:r>
            <w:r>
              <w:rPr>
                <w:noProof/>
                <w:webHidden/>
              </w:rPr>
              <w:fldChar w:fldCharType="end"/>
            </w:r>
          </w:hyperlink>
        </w:p>
        <w:p w14:paraId="2723E842" w14:textId="5A63D364" w:rsidR="005C5E17" w:rsidRDefault="005C5E17">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27858556" w:history="1">
            <w:r w:rsidRPr="00F56C59">
              <w:rPr>
                <w:rStyle w:val="Hyperlink"/>
                <w:noProof/>
              </w:rPr>
              <w:t xml:space="preserve">2.4 </w:t>
            </w:r>
            <w:r>
              <w:rPr>
                <w:rFonts w:asciiTheme="minorHAnsi" w:eastAsiaTheme="minorEastAsia" w:hAnsiTheme="minorHAnsi" w:cstheme="minorBidi"/>
                <w:noProof/>
                <w:kern w:val="2"/>
                <w14:ligatures w14:val="standardContextual"/>
              </w:rPr>
              <w:tab/>
            </w:r>
            <w:r w:rsidRPr="00F56C59">
              <w:rPr>
                <w:rStyle w:val="Hyperlink"/>
                <w:noProof/>
              </w:rPr>
              <w:t>Bekostiging</w:t>
            </w:r>
            <w:r>
              <w:rPr>
                <w:noProof/>
                <w:webHidden/>
              </w:rPr>
              <w:tab/>
            </w:r>
            <w:r>
              <w:rPr>
                <w:noProof/>
                <w:webHidden/>
              </w:rPr>
              <w:fldChar w:fldCharType="begin"/>
            </w:r>
            <w:r>
              <w:rPr>
                <w:noProof/>
                <w:webHidden/>
              </w:rPr>
              <w:instrText xml:space="preserve"> PAGEREF _Toc227858556 \h </w:instrText>
            </w:r>
            <w:r>
              <w:rPr>
                <w:noProof/>
                <w:webHidden/>
              </w:rPr>
            </w:r>
            <w:r>
              <w:rPr>
                <w:noProof/>
                <w:webHidden/>
              </w:rPr>
              <w:fldChar w:fldCharType="separate"/>
            </w:r>
            <w:r w:rsidR="00257046">
              <w:rPr>
                <w:noProof/>
                <w:webHidden/>
              </w:rPr>
              <w:t>10</w:t>
            </w:r>
            <w:r>
              <w:rPr>
                <w:noProof/>
                <w:webHidden/>
              </w:rPr>
              <w:fldChar w:fldCharType="end"/>
            </w:r>
          </w:hyperlink>
        </w:p>
        <w:p w14:paraId="2791E466" w14:textId="2E1BAC4B" w:rsidR="005C5E17" w:rsidRDefault="005C5E17">
          <w:pPr>
            <w:pStyle w:val="Inhopg2"/>
            <w:tabs>
              <w:tab w:val="right" w:leader="dot" w:pos="9062"/>
            </w:tabs>
            <w:rPr>
              <w:rFonts w:asciiTheme="minorHAnsi" w:eastAsiaTheme="minorEastAsia" w:hAnsiTheme="minorHAnsi" w:cstheme="minorBidi"/>
              <w:noProof/>
              <w:kern w:val="2"/>
              <w14:ligatures w14:val="standardContextual"/>
            </w:rPr>
          </w:pPr>
          <w:hyperlink w:anchor="_Toc227858557" w:history="1">
            <w:r w:rsidRPr="00F56C59">
              <w:rPr>
                <w:rStyle w:val="Hyperlink"/>
                <w:noProof/>
              </w:rPr>
              <w:t>2.4.1 Uitvoeringsvariant</w:t>
            </w:r>
            <w:r>
              <w:rPr>
                <w:noProof/>
                <w:webHidden/>
              </w:rPr>
              <w:tab/>
            </w:r>
            <w:r>
              <w:rPr>
                <w:noProof/>
                <w:webHidden/>
              </w:rPr>
              <w:fldChar w:fldCharType="begin"/>
            </w:r>
            <w:r>
              <w:rPr>
                <w:noProof/>
                <w:webHidden/>
              </w:rPr>
              <w:instrText xml:space="preserve"> PAGEREF _Toc227858557 \h </w:instrText>
            </w:r>
            <w:r>
              <w:rPr>
                <w:noProof/>
                <w:webHidden/>
              </w:rPr>
            </w:r>
            <w:r>
              <w:rPr>
                <w:noProof/>
                <w:webHidden/>
              </w:rPr>
              <w:fldChar w:fldCharType="separate"/>
            </w:r>
            <w:r w:rsidR="00257046">
              <w:rPr>
                <w:noProof/>
                <w:webHidden/>
              </w:rPr>
              <w:t>10</w:t>
            </w:r>
            <w:r>
              <w:rPr>
                <w:noProof/>
                <w:webHidden/>
              </w:rPr>
              <w:fldChar w:fldCharType="end"/>
            </w:r>
          </w:hyperlink>
        </w:p>
        <w:p w14:paraId="22F3EE47" w14:textId="7BDF4570" w:rsidR="005C5E17" w:rsidRDefault="005C5E17">
          <w:pPr>
            <w:pStyle w:val="Inhopg2"/>
            <w:tabs>
              <w:tab w:val="right" w:leader="dot" w:pos="9062"/>
            </w:tabs>
            <w:rPr>
              <w:rFonts w:asciiTheme="minorHAnsi" w:eastAsiaTheme="minorEastAsia" w:hAnsiTheme="minorHAnsi" w:cstheme="minorBidi"/>
              <w:noProof/>
              <w:kern w:val="2"/>
              <w14:ligatures w14:val="standardContextual"/>
            </w:rPr>
          </w:pPr>
          <w:hyperlink w:anchor="_Toc227858558" w:history="1">
            <w:r w:rsidRPr="00F56C59">
              <w:rPr>
                <w:rStyle w:val="Hyperlink"/>
                <w:noProof/>
              </w:rPr>
              <w:t>2.4.2 Berekening</w:t>
            </w:r>
            <w:r>
              <w:rPr>
                <w:noProof/>
                <w:webHidden/>
              </w:rPr>
              <w:tab/>
            </w:r>
            <w:r>
              <w:rPr>
                <w:noProof/>
                <w:webHidden/>
              </w:rPr>
              <w:fldChar w:fldCharType="begin"/>
            </w:r>
            <w:r>
              <w:rPr>
                <w:noProof/>
                <w:webHidden/>
              </w:rPr>
              <w:instrText xml:space="preserve"> PAGEREF _Toc227858558 \h </w:instrText>
            </w:r>
            <w:r>
              <w:rPr>
                <w:noProof/>
                <w:webHidden/>
              </w:rPr>
            </w:r>
            <w:r>
              <w:rPr>
                <w:noProof/>
                <w:webHidden/>
              </w:rPr>
              <w:fldChar w:fldCharType="separate"/>
            </w:r>
            <w:r w:rsidR="00257046">
              <w:rPr>
                <w:noProof/>
                <w:webHidden/>
              </w:rPr>
              <w:t>11</w:t>
            </w:r>
            <w:r>
              <w:rPr>
                <w:noProof/>
                <w:webHidden/>
              </w:rPr>
              <w:fldChar w:fldCharType="end"/>
            </w:r>
          </w:hyperlink>
        </w:p>
        <w:p w14:paraId="0308EFBD" w14:textId="71D269E3" w:rsidR="005C5E17" w:rsidRDefault="005C5E17">
          <w:pPr>
            <w:pStyle w:val="Inhopg2"/>
            <w:tabs>
              <w:tab w:val="right" w:leader="dot" w:pos="9062"/>
            </w:tabs>
            <w:rPr>
              <w:rFonts w:asciiTheme="minorHAnsi" w:eastAsiaTheme="minorEastAsia" w:hAnsiTheme="minorHAnsi" w:cstheme="minorBidi"/>
              <w:noProof/>
              <w:kern w:val="2"/>
              <w14:ligatures w14:val="standardContextual"/>
            </w:rPr>
          </w:pPr>
          <w:hyperlink w:anchor="_Toc227858559" w:history="1">
            <w:r w:rsidRPr="00F56C59">
              <w:rPr>
                <w:rStyle w:val="Hyperlink"/>
                <w:noProof/>
              </w:rPr>
              <w:t>2.4.3 Declaratie</w:t>
            </w:r>
            <w:r>
              <w:rPr>
                <w:noProof/>
                <w:webHidden/>
              </w:rPr>
              <w:tab/>
            </w:r>
            <w:r>
              <w:rPr>
                <w:noProof/>
                <w:webHidden/>
              </w:rPr>
              <w:fldChar w:fldCharType="begin"/>
            </w:r>
            <w:r>
              <w:rPr>
                <w:noProof/>
                <w:webHidden/>
              </w:rPr>
              <w:instrText xml:space="preserve"> PAGEREF _Toc227858559 \h </w:instrText>
            </w:r>
            <w:r>
              <w:rPr>
                <w:noProof/>
                <w:webHidden/>
              </w:rPr>
            </w:r>
            <w:r>
              <w:rPr>
                <w:noProof/>
                <w:webHidden/>
              </w:rPr>
              <w:fldChar w:fldCharType="separate"/>
            </w:r>
            <w:r w:rsidR="00257046">
              <w:rPr>
                <w:noProof/>
                <w:webHidden/>
              </w:rPr>
              <w:t>11</w:t>
            </w:r>
            <w:r>
              <w:rPr>
                <w:noProof/>
                <w:webHidden/>
              </w:rPr>
              <w:fldChar w:fldCharType="end"/>
            </w:r>
          </w:hyperlink>
        </w:p>
        <w:p w14:paraId="08E1E641" w14:textId="7EE620F8" w:rsidR="005C5E17" w:rsidRDefault="005C5E17">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27858560" w:history="1">
            <w:r w:rsidRPr="00F56C59">
              <w:rPr>
                <w:rStyle w:val="Hyperlink"/>
                <w:noProof/>
              </w:rPr>
              <w:t xml:space="preserve">2.5 </w:t>
            </w:r>
            <w:r>
              <w:rPr>
                <w:rFonts w:asciiTheme="minorHAnsi" w:eastAsiaTheme="minorEastAsia" w:hAnsiTheme="minorHAnsi" w:cstheme="minorBidi"/>
                <w:noProof/>
                <w:kern w:val="2"/>
                <w14:ligatures w14:val="standardContextual"/>
              </w:rPr>
              <w:tab/>
            </w:r>
            <w:r w:rsidRPr="00F56C59">
              <w:rPr>
                <w:rStyle w:val="Hyperlink"/>
                <w:noProof/>
              </w:rPr>
              <w:t>Overeenkomst en algemene voorwaarden</w:t>
            </w:r>
            <w:r>
              <w:rPr>
                <w:noProof/>
                <w:webHidden/>
              </w:rPr>
              <w:tab/>
            </w:r>
            <w:r>
              <w:rPr>
                <w:noProof/>
                <w:webHidden/>
              </w:rPr>
              <w:fldChar w:fldCharType="begin"/>
            </w:r>
            <w:r>
              <w:rPr>
                <w:noProof/>
                <w:webHidden/>
              </w:rPr>
              <w:instrText xml:space="preserve"> PAGEREF _Toc227858560 \h </w:instrText>
            </w:r>
            <w:r>
              <w:rPr>
                <w:noProof/>
                <w:webHidden/>
              </w:rPr>
            </w:r>
            <w:r>
              <w:rPr>
                <w:noProof/>
                <w:webHidden/>
              </w:rPr>
              <w:fldChar w:fldCharType="separate"/>
            </w:r>
            <w:r w:rsidR="00257046">
              <w:rPr>
                <w:noProof/>
                <w:webHidden/>
              </w:rPr>
              <w:t>11</w:t>
            </w:r>
            <w:r>
              <w:rPr>
                <w:noProof/>
                <w:webHidden/>
              </w:rPr>
              <w:fldChar w:fldCharType="end"/>
            </w:r>
          </w:hyperlink>
        </w:p>
        <w:p w14:paraId="5D4AEEC1" w14:textId="5860A5F9" w:rsidR="005C5E17" w:rsidRDefault="005C5E17">
          <w:pPr>
            <w:pStyle w:val="Inhopg2"/>
            <w:tabs>
              <w:tab w:val="right" w:leader="dot" w:pos="9062"/>
            </w:tabs>
            <w:rPr>
              <w:rFonts w:asciiTheme="minorHAnsi" w:eastAsiaTheme="minorEastAsia" w:hAnsiTheme="minorHAnsi" w:cstheme="minorBidi"/>
              <w:noProof/>
              <w:kern w:val="2"/>
              <w14:ligatures w14:val="standardContextual"/>
            </w:rPr>
          </w:pPr>
          <w:hyperlink w:anchor="_Toc227858561" w:history="1">
            <w:r w:rsidRPr="00F56C59">
              <w:rPr>
                <w:rStyle w:val="Hyperlink"/>
                <w:noProof/>
              </w:rPr>
              <w:t>2.5.1 Type overeenkomst</w:t>
            </w:r>
            <w:r>
              <w:rPr>
                <w:noProof/>
                <w:webHidden/>
              </w:rPr>
              <w:tab/>
            </w:r>
            <w:r>
              <w:rPr>
                <w:noProof/>
                <w:webHidden/>
              </w:rPr>
              <w:fldChar w:fldCharType="begin"/>
            </w:r>
            <w:r>
              <w:rPr>
                <w:noProof/>
                <w:webHidden/>
              </w:rPr>
              <w:instrText xml:space="preserve"> PAGEREF _Toc227858561 \h </w:instrText>
            </w:r>
            <w:r>
              <w:rPr>
                <w:noProof/>
                <w:webHidden/>
              </w:rPr>
            </w:r>
            <w:r>
              <w:rPr>
                <w:noProof/>
                <w:webHidden/>
              </w:rPr>
              <w:fldChar w:fldCharType="separate"/>
            </w:r>
            <w:r w:rsidR="00257046">
              <w:rPr>
                <w:noProof/>
                <w:webHidden/>
              </w:rPr>
              <w:t>11</w:t>
            </w:r>
            <w:r>
              <w:rPr>
                <w:noProof/>
                <w:webHidden/>
              </w:rPr>
              <w:fldChar w:fldCharType="end"/>
            </w:r>
          </w:hyperlink>
        </w:p>
        <w:p w14:paraId="1EB65A37" w14:textId="4662AE3D" w:rsidR="005C5E17" w:rsidRDefault="005C5E17">
          <w:pPr>
            <w:pStyle w:val="Inhopg2"/>
            <w:tabs>
              <w:tab w:val="right" w:leader="dot" w:pos="9062"/>
            </w:tabs>
            <w:rPr>
              <w:rFonts w:asciiTheme="minorHAnsi" w:eastAsiaTheme="minorEastAsia" w:hAnsiTheme="minorHAnsi" w:cstheme="minorBidi"/>
              <w:noProof/>
              <w:kern w:val="2"/>
              <w14:ligatures w14:val="standardContextual"/>
            </w:rPr>
          </w:pPr>
          <w:hyperlink w:anchor="_Toc227858562" w:history="1">
            <w:r w:rsidRPr="00F56C59">
              <w:rPr>
                <w:rStyle w:val="Hyperlink"/>
                <w:noProof/>
              </w:rPr>
              <w:t>2.5.2 Looptijd</w:t>
            </w:r>
            <w:r>
              <w:rPr>
                <w:noProof/>
                <w:webHidden/>
              </w:rPr>
              <w:tab/>
            </w:r>
            <w:r>
              <w:rPr>
                <w:noProof/>
                <w:webHidden/>
              </w:rPr>
              <w:fldChar w:fldCharType="begin"/>
            </w:r>
            <w:r>
              <w:rPr>
                <w:noProof/>
                <w:webHidden/>
              </w:rPr>
              <w:instrText xml:space="preserve"> PAGEREF _Toc227858562 \h </w:instrText>
            </w:r>
            <w:r>
              <w:rPr>
                <w:noProof/>
                <w:webHidden/>
              </w:rPr>
            </w:r>
            <w:r>
              <w:rPr>
                <w:noProof/>
                <w:webHidden/>
              </w:rPr>
              <w:fldChar w:fldCharType="separate"/>
            </w:r>
            <w:r w:rsidR="00257046">
              <w:rPr>
                <w:noProof/>
                <w:webHidden/>
              </w:rPr>
              <w:t>11</w:t>
            </w:r>
            <w:r>
              <w:rPr>
                <w:noProof/>
                <w:webHidden/>
              </w:rPr>
              <w:fldChar w:fldCharType="end"/>
            </w:r>
          </w:hyperlink>
        </w:p>
        <w:p w14:paraId="54AFC10D" w14:textId="272D0479" w:rsidR="005C5E17" w:rsidRDefault="005C5E17">
          <w:pPr>
            <w:pStyle w:val="Inhopg1"/>
            <w:tabs>
              <w:tab w:val="left" w:pos="480"/>
              <w:tab w:val="right" w:leader="dot" w:pos="9062"/>
            </w:tabs>
            <w:rPr>
              <w:rFonts w:asciiTheme="minorHAnsi" w:eastAsiaTheme="minorEastAsia" w:hAnsiTheme="minorHAnsi" w:cstheme="minorBidi"/>
              <w:noProof/>
              <w:kern w:val="2"/>
              <w14:ligatures w14:val="standardContextual"/>
            </w:rPr>
          </w:pPr>
          <w:hyperlink w:anchor="_Toc227858563" w:history="1">
            <w:r w:rsidRPr="00F56C59">
              <w:rPr>
                <w:rStyle w:val="Hyperlink"/>
                <w:noProof/>
              </w:rPr>
              <w:t>3.</w:t>
            </w:r>
            <w:r>
              <w:rPr>
                <w:rFonts w:asciiTheme="minorHAnsi" w:eastAsiaTheme="minorEastAsia" w:hAnsiTheme="minorHAnsi" w:cstheme="minorBidi"/>
                <w:noProof/>
                <w:kern w:val="2"/>
                <w14:ligatures w14:val="standardContextual"/>
              </w:rPr>
              <w:tab/>
            </w:r>
            <w:r w:rsidRPr="00F56C59">
              <w:rPr>
                <w:rStyle w:val="Hyperlink"/>
                <w:noProof/>
              </w:rPr>
              <w:t>Voorwaarden inkoopprocedure</w:t>
            </w:r>
            <w:r>
              <w:rPr>
                <w:noProof/>
                <w:webHidden/>
              </w:rPr>
              <w:tab/>
            </w:r>
            <w:r>
              <w:rPr>
                <w:noProof/>
                <w:webHidden/>
              </w:rPr>
              <w:fldChar w:fldCharType="begin"/>
            </w:r>
            <w:r>
              <w:rPr>
                <w:noProof/>
                <w:webHidden/>
              </w:rPr>
              <w:instrText xml:space="preserve"> PAGEREF _Toc227858563 \h </w:instrText>
            </w:r>
            <w:r>
              <w:rPr>
                <w:noProof/>
                <w:webHidden/>
              </w:rPr>
            </w:r>
            <w:r>
              <w:rPr>
                <w:noProof/>
                <w:webHidden/>
              </w:rPr>
              <w:fldChar w:fldCharType="separate"/>
            </w:r>
            <w:r w:rsidR="00257046">
              <w:rPr>
                <w:noProof/>
                <w:webHidden/>
              </w:rPr>
              <w:t>13</w:t>
            </w:r>
            <w:r>
              <w:rPr>
                <w:noProof/>
                <w:webHidden/>
              </w:rPr>
              <w:fldChar w:fldCharType="end"/>
            </w:r>
          </w:hyperlink>
        </w:p>
        <w:p w14:paraId="758DFE17" w14:textId="0742EA92" w:rsidR="005C5E17" w:rsidRDefault="005C5E17">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27858564" w:history="1">
            <w:r w:rsidRPr="00F56C59">
              <w:rPr>
                <w:rStyle w:val="Hyperlink"/>
                <w:noProof/>
              </w:rPr>
              <w:t xml:space="preserve">3.1 </w:t>
            </w:r>
            <w:r>
              <w:rPr>
                <w:rFonts w:asciiTheme="minorHAnsi" w:eastAsiaTheme="minorEastAsia" w:hAnsiTheme="minorHAnsi" w:cstheme="minorBidi"/>
                <w:noProof/>
                <w:kern w:val="2"/>
                <w14:ligatures w14:val="standardContextual"/>
              </w:rPr>
              <w:tab/>
            </w:r>
            <w:r w:rsidRPr="00F56C59">
              <w:rPr>
                <w:rStyle w:val="Hyperlink"/>
                <w:noProof/>
              </w:rPr>
              <w:t>Inleiding</w:t>
            </w:r>
            <w:r>
              <w:rPr>
                <w:noProof/>
                <w:webHidden/>
              </w:rPr>
              <w:tab/>
            </w:r>
            <w:r>
              <w:rPr>
                <w:noProof/>
                <w:webHidden/>
              </w:rPr>
              <w:fldChar w:fldCharType="begin"/>
            </w:r>
            <w:r>
              <w:rPr>
                <w:noProof/>
                <w:webHidden/>
              </w:rPr>
              <w:instrText xml:space="preserve"> PAGEREF _Toc227858564 \h </w:instrText>
            </w:r>
            <w:r>
              <w:rPr>
                <w:noProof/>
                <w:webHidden/>
              </w:rPr>
            </w:r>
            <w:r>
              <w:rPr>
                <w:noProof/>
                <w:webHidden/>
              </w:rPr>
              <w:fldChar w:fldCharType="separate"/>
            </w:r>
            <w:r w:rsidR="00257046">
              <w:rPr>
                <w:noProof/>
                <w:webHidden/>
              </w:rPr>
              <w:t>13</w:t>
            </w:r>
            <w:r>
              <w:rPr>
                <w:noProof/>
                <w:webHidden/>
              </w:rPr>
              <w:fldChar w:fldCharType="end"/>
            </w:r>
          </w:hyperlink>
        </w:p>
        <w:p w14:paraId="6359A78C" w14:textId="4B63DB90" w:rsidR="005C5E17" w:rsidRDefault="005C5E17">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27858565" w:history="1">
            <w:r w:rsidRPr="00F56C59">
              <w:rPr>
                <w:rStyle w:val="Hyperlink"/>
                <w:noProof/>
              </w:rPr>
              <w:t xml:space="preserve">3.2 </w:t>
            </w:r>
            <w:r>
              <w:rPr>
                <w:rFonts w:asciiTheme="minorHAnsi" w:eastAsiaTheme="minorEastAsia" w:hAnsiTheme="minorHAnsi" w:cstheme="minorBidi"/>
                <w:noProof/>
                <w:kern w:val="2"/>
                <w14:ligatures w14:val="standardContextual"/>
              </w:rPr>
              <w:tab/>
            </w:r>
            <w:r w:rsidRPr="00F56C59">
              <w:rPr>
                <w:rStyle w:val="Hyperlink"/>
                <w:noProof/>
              </w:rPr>
              <w:t>Algemeen</w:t>
            </w:r>
            <w:r>
              <w:rPr>
                <w:noProof/>
                <w:webHidden/>
              </w:rPr>
              <w:tab/>
            </w:r>
            <w:r>
              <w:rPr>
                <w:noProof/>
                <w:webHidden/>
              </w:rPr>
              <w:fldChar w:fldCharType="begin"/>
            </w:r>
            <w:r>
              <w:rPr>
                <w:noProof/>
                <w:webHidden/>
              </w:rPr>
              <w:instrText xml:space="preserve"> PAGEREF _Toc227858565 \h </w:instrText>
            </w:r>
            <w:r>
              <w:rPr>
                <w:noProof/>
                <w:webHidden/>
              </w:rPr>
            </w:r>
            <w:r>
              <w:rPr>
                <w:noProof/>
                <w:webHidden/>
              </w:rPr>
              <w:fldChar w:fldCharType="separate"/>
            </w:r>
            <w:r w:rsidR="00257046">
              <w:rPr>
                <w:noProof/>
                <w:webHidden/>
              </w:rPr>
              <w:t>14</w:t>
            </w:r>
            <w:r>
              <w:rPr>
                <w:noProof/>
                <w:webHidden/>
              </w:rPr>
              <w:fldChar w:fldCharType="end"/>
            </w:r>
          </w:hyperlink>
        </w:p>
        <w:p w14:paraId="017D94FB" w14:textId="6024482D" w:rsidR="005C5E17" w:rsidRDefault="005C5E17">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27858566" w:history="1">
            <w:r w:rsidRPr="00F56C59">
              <w:rPr>
                <w:rStyle w:val="Hyperlink"/>
                <w:noProof/>
              </w:rPr>
              <w:t xml:space="preserve">3.3 </w:t>
            </w:r>
            <w:r>
              <w:rPr>
                <w:rFonts w:asciiTheme="minorHAnsi" w:eastAsiaTheme="minorEastAsia" w:hAnsiTheme="minorHAnsi" w:cstheme="minorBidi"/>
                <w:noProof/>
                <w:kern w:val="2"/>
                <w14:ligatures w14:val="standardContextual"/>
              </w:rPr>
              <w:tab/>
            </w:r>
            <w:r w:rsidRPr="00F56C59">
              <w:rPr>
                <w:rStyle w:val="Hyperlink"/>
                <w:noProof/>
              </w:rPr>
              <w:t>Uitsluitingsgronden</w:t>
            </w:r>
            <w:r>
              <w:rPr>
                <w:noProof/>
                <w:webHidden/>
              </w:rPr>
              <w:tab/>
            </w:r>
            <w:r>
              <w:rPr>
                <w:noProof/>
                <w:webHidden/>
              </w:rPr>
              <w:fldChar w:fldCharType="begin"/>
            </w:r>
            <w:r>
              <w:rPr>
                <w:noProof/>
                <w:webHidden/>
              </w:rPr>
              <w:instrText xml:space="preserve"> PAGEREF _Toc227858566 \h </w:instrText>
            </w:r>
            <w:r>
              <w:rPr>
                <w:noProof/>
                <w:webHidden/>
              </w:rPr>
            </w:r>
            <w:r>
              <w:rPr>
                <w:noProof/>
                <w:webHidden/>
              </w:rPr>
              <w:fldChar w:fldCharType="separate"/>
            </w:r>
            <w:r w:rsidR="00257046">
              <w:rPr>
                <w:noProof/>
                <w:webHidden/>
              </w:rPr>
              <w:t>14</w:t>
            </w:r>
            <w:r>
              <w:rPr>
                <w:noProof/>
                <w:webHidden/>
              </w:rPr>
              <w:fldChar w:fldCharType="end"/>
            </w:r>
          </w:hyperlink>
        </w:p>
        <w:p w14:paraId="49C922F8" w14:textId="5B7FF3E7" w:rsidR="005C5E17" w:rsidRDefault="005C5E17">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27858567" w:history="1">
            <w:r w:rsidRPr="00F56C59">
              <w:rPr>
                <w:rStyle w:val="Hyperlink"/>
                <w:noProof/>
              </w:rPr>
              <w:t xml:space="preserve">3.4 </w:t>
            </w:r>
            <w:r>
              <w:rPr>
                <w:rFonts w:asciiTheme="minorHAnsi" w:eastAsiaTheme="minorEastAsia" w:hAnsiTheme="minorHAnsi" w:cstheme="minorBidi"/>
                <w:noProof/>
                <w:kern w:val="2"/>
                <w14:ligatures w14:val="standardContextual"/>
              </w:rPr>
              <w:tab/>
            </w:r>
            <w:r w:rsidRPr="00F56C59">
              <w:rPr>
                <w:rStyle w:val="Hyperlink"/>
                <w:noProof/>
              </w:rPr>
              <w:t>Toelatingscriteria</w:t>
            </w:r>
            <w:r>
              <w:rPr>
                <w:noProof/>
                <w:webHidden/>
              </w:rPr>
              <w:tab/>
            </w:r>
            <w:r>
              <w:rPr>
                <w:noProof/>
                <w:webHidden/>
              </w:rPr>
              <w:fldChar w:fldCharType="begin"/>
            </w:r>
            <w:r>
              <w:rPr>
                <w:noProof/>
                <w:webHidden/>
              </w:rPr>
              <w:instrText xml:space="preserve"> PAGEREF _Toc227858567 \h </w:instrText>
            </w:r>
            <w:r>
              <w:rPr>
                <w:noProof/>
                <w:webHidden/>
              </w:rPr>
            </w:r>
            <w:r>
              <w:rPr>
                <w:noProof/>
                <w:webHidden/>
              </w:rPr>
              <w:fldChar w:fldCharType="separate"/>
            </w:r>
            <w:r w:rsidR="00257046">
              <w:rPr>
                <w:noProof/>
                <w:webHidden/>
              </w:rPr>
              <w:t>15</w:t>
            </w:r>
            <w:r>
              <w:rPr>
                <w:noProof/>
                <w:webHidden/>
              </w:rPr>
              <w:fldChar w:fldCharType="end"/>
            </w:r>
          </w:hyperlink>
        </w:p>
        <w:p w14:paraId="444F705E" w14:textId="266CB66C" w:rsidR="005C5E17" w:rsidRDefault="005C5E17">
          <w:pPr>
            <w:pStyle w:val="Inhopg1"/>
            <w:tabs>
              <w:tab w:val="left" w:pos="480"/>
              <w:tab w:val="right" w:leader="dot" w:pos="9062"/>
            </w:tabs>
            <w:rPr>
              <w:rFonts w:asciiTheme="minorHAnsi" w:eastAsiaTheme="minorEastAsia" w:hAnsiTheme="minorHAnsi" w:cstheme="minorBidi"/>
              <w:noProof/>
              <w:kern w:val="2"/>
              <w14:ligatures w14:val="standardContextual"/>
            </w:rPr>
          </w:pPr>
          <w:hyperlink w:anchor="_Toc227858568" w:history="1">
            <w:r w:rsidRPr="00F56C59">
              <w:rPr>
                <w:rStyle w:val="Hyperlink"/>
                <w:noProof/>
              </w:rPr>
              <w:t>4.</w:t>
            </w:r>
            <w:r>
              <w:rPr>
                <w:rFonts w:asciiTheme="minorHAnsi" w:eastAsiaTheme="minorEastAsia" w:hAnsiTheme="minorHAnsi" w:cstheme="minorBidi"/>
                <w:noProof/>
                <w:kern w:val="2"/>
                <w14:ligatures w14:val="standardContextual"/>
              </w:rPr>
              <w:tab/>
            </w:r>
            <w:r w:rsidRPr="00F56C59">
              <w:rPr>
                <w:rStyle w:val="Hyperlink"/>
                <w:noProof/>
              </w:rPr>
              <w:t>Procedure voor deelneming en/of inschrijving en beoordeling</w:t>
            </w:r>
            <w:r>
              <w:rPr>
                <w:noProof/>
                <w:webHidden/>
              </w:rPr>
              <w:tab/>
            </w:r>
            <w:r>
              <w:rPr>
                <w:noProof/>
                <w:webHidden/>
              </w:rPr>
              <w:fldChar w:fldCharType="begin"/>
            </w:r>
            <w:r>
              <w:rPr>
                <w:noProof/>
                <w:webHidden/>
              </w:rPr>
              <w:instrText xml:space="preserve"> PAGEREF _Toc227858568 \h </w:instrText>
            </w:r>
            <w:r>
              <w:rPr>
                <w:noProof/>
                <w:webHidden/>
              </w:rPr>
            </w:r>
            <w:r>
              <w:rPr>
                <w:noProof/>
                <w:webHidden/>
              </w:rPr>
              <w:fldChar w:fldCharType="separate"/>
            </w:r>
            <w:r w:rsidR="00257046">
              <w:rPr>
                <w:noProof/>
                <w:webHidden/>
              </w:rPr>
              <w:t>16</w:t>
            </w:r>
            <w:r>
              <w:rPr>
                <w:noProof/>
                <w:webHidden/>
              </w:rPr>
              <w:fldChar w:fldCharType="end"/>
            </w:r>
          </w:hyperlink>
        </w:p>
        <w:p w14:paraId="36969726" w14:textId="7607D67E" w:rsidR="005C5E17" w:rsidRDefault="005C5E17">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27858569" w:history="1">
            <w:r w:rsidRPr="00F56C59">
              <w:rPr>
                <w:rStyle w:val="Hyperlink"/>
                <w:noProof/>
              </w:rPr>
              <w:t xml:space="preserve">4.1 </w:t>
            </w:r>
            <w:r>
              <w:rPr>
                <w:rFonts w:asciiTheme="minorHAnsi" w:eastAsiaTheme="minorEastAsia" w:hAnsiTheme="minorHAnsi" w:cstheme="minorBidi"/>
                <w:noProof/>
                <w:kern w:val="2"/>
                <w14:ligatures w14:val="standardContextual"/>
              </w:rPr>
              <w:tab/>
            </w:r>
            <w:r w:rsidRPr="00F56C59">
              <w:rPr>
                <w:rStyle w:val="Hyperlink"/>
                <w:noProof/>
              </w:rPr>
              <w:t>Procedure</w:t>
            </w:r>
            <w:r>
              <w:rPr>
                <w:noProof/>
                <w:webHidden/>
              </w:rPr>
              <w:tab/>
            </w:r>
            <w:r>
              <w:rPr>
                <w:noProof/>
                <w:webHidden/>
              </w:rPr>
              <w:fldChar w:fldCharType="begin"/>
            </w:r>
            <w:r>
              <w:rPr>
                <w:noProof/>
                <w:webHidden/>
              </w:rPr>
              <w:instrText xml:space="preserve"> PAGEREF _Toc227858569 \h </w:instrText>
            </w:r>
            <w:r>
              <w:rPr>
                <w:noProof/>
                <w:webHidden/>
              </w:rPr>
            </w:r>
            <w:r>
              <w:rPr>
                <w:noProof/>
                <w:webHidden/>
              </w:rPr>
              <w:fldChar w:fldCharType="separate"/>
            </w:r>
            <w:r w:rsidR="00257046">
              <w:rPr>
                <w:noProof/>
                <w:webHidden/>
              </w:rPr>
              <w:t>16</w:t>
            </w:r>
            <w:r>
              <w:rPr>
                <w:noProof/>
                <w:webHidden/>
              </w:rPr>
              <w:fldChar w:fldCharType="end"/>
            </w:r>
          </w:hyperlink>
        </w:p>
        <w:p w14:paraId="4A314DD8" w14:textId="4FD39142" w:rsidR="005C5E17" w:rsidRDefault="005C5E17">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27858570" w:history="1">
            <w:r w:rsidRPr="00F56C59">
              <w:rPr>
                <w:rStyle w:val="Hyperlink"/>
                <w:noProof/>
              </w:rPr>
              <w:t xml:space="preserve">4.2 </w:t>
            </w:r>
            <w:r>
              <w:rPr>
                <w:rFonts w:asciiTheme="minorHAnsi" w:eastAsiaTheme="minorEastAsia" w:hAnsiTheme="minorHAnsi" w:cstheme="minorBidi"/>
                <w:noProof/>
                <w:kern w:val="2"/>
                <w14:ligatures w14:val="standardContextual"/>
              </w:rPr>
              <w:tab/>
            </w:r>
            <w:r w:rsidRPr="00F56C59">
              <w:rPr>
                <w:rStyle w:val="Hyperlink"/>
                <w:noProof/>
              </w:rPr>
              <w:t>Procedurevoorschriften</w:t>
            </w:r>
            <w:r>
              <w:rPr>
                <w:noProof/>
                <w:webHidden/>
              </w:rPr>
              <w:tab/>
            </w:r>
            <w:r>
              <w:rPr>
                <w:noProof/>
                <w:webHidden/>
              </w:rPr>
              <w:fldChar w:fldCharType="begin"/>
            </w:r>
            <w:r>
              <w:rPr>
                <w:noProof/>
                <w:webHidden/>
              </w:rPr>
              <w:instrText xml:space="preserve"> PAGEREF _Toc227858570 \h </w:instrText>
            </w:r>
            <w:r>
              <w:rPr>
                <w:noProof/>
                <w:webHidden/>
              </w:rPr>
            </w:r>
            <w:r>
              <w:rPr>
                <w:noProof/>
                <w:webHidden/>
              </w:rPr>
              <w:fldChar w:fldCharType="separate"/>
            </w:r>
            <w:r w:rsidR="00257046">
              <w:rPr>
                <w:noProof/>
                <w:webHidden/>
              </w:rPr>
              <w:t>16</w:t>
            </w:r>
            <w:r>
              <w:rPr>
                <w:noProof/>
                <w:webHidden/>
              </w:rPr>
              <w:fldChar w:fldCharType="end"/>
            </w:r>
          </w:hyperlink>
        </w:p>
        <w:p w14:paraId="6084246B" w14:textId="600E4C73" w:rsidR="005C5E17" w:rsidRDefault="005C5E17">
          <w:pPr>
            <w:pStyle w:val="Inhopg2"/>
            <w:tabs>
              <w:tab w:val="right" w:leader="dot" w:pos="9062"/>
            </w:tabs>
            <w:rPr>
              <w:rFonts w:asciiTheme="minorHAnsi" w:eastAsiaTheme="minorEastAsia" w:hAnsiTheme="minorHAnsi" w:cstheme="minorBidi"/>
              <w:noProof/>
              <w:kern w:val="2"/>
              <w14:ligatures w14:val="standardContextual"/>
            </w:rPr>
          </w:pPr>
          <w:hyperlink w:anchor="_Toc227858571" w:history="1">
            <w:r w:rsidRPr="00F56C59">
              <w:rPr>
                <w:rStyle w:val="Hyperlink"/>
                <w:noProof/>
              </w:rPr>
              <w:t>4.2.1 Procedurevoorschriften (</w:t>
            </w:r>
            <w:r w:rsidRPr="00F56C59">
              <w:rPr>
                <w:rStyle w:val="Hyperlink"/>
                <w:b/>
                <w:noProof/>
              </w:rPr>
              <w:t>Fase 1</w:t>
            </w:r>
            <w:r w:rsidRPr="00F56C59">
              <w:rPr>
                <w:rStyle w:val="Hyperlink"/>
                <w:noProof/>
              </w:rPr>
              <w:t>)</w:t>
            </w:r>
            <w:r>
              <w:rPr>
                <w:noProof/>
                <w:webHidden/>
              </w:rPr>
              <w:tab/>
            </w:r>
            <w:r>
              <w:rPr>
                <w:noProof/>
                <w:webHidden/>
              </w:rPr>
              <w:fldChar w:fldCharType="begin"/>
            </w:r>
            <w:r>
              <w:rPr>
                <w:noProof/>
                <w:webHidden/>
              </w:rPr>
              <w:instrText xml:space="preserve"> PAGEREF _Toc227858571 \h </w:instrText>
            </w:r>
            <w:r>
              <w:rPr>
                <w:noProof/>
                <w:webHidden/>
              </w:rPr>
            </w:r>
            <w:r>
              <w:rPr>
                <w:noProof/>
                <w:webHidden/>
              </w:rPr>
              <w:fldChar w:fldCharType="separate"/>
            </w:r>
            <w:r w:rsidR="00257046">
              <w:rPr>
                <w:noProof/>
                <w:webHidden/>
              </w:rPr>
              <w:t>16</w:t>
            </w:r>
            <w:r>
              <w:rPr>
                <w:noProof/>
                <w:webHidden/>
              </w:rPr>
              <w:fldChar w:fldCharType="end"/>
            </w:r>
          </w:hyperlink>
        </w:p>
        <w:p w14:paraId="48760B9D" w14:textId="1D7115F1" w:rsidR="005C5E17" w:rsidRDefault="005C5E17">
          <w:pPr>
            <w:pStyle w:val="Inhopg2"/>
            <w:tabs>
              <w:tab w:val="right" w:leader="dot" w:pos="9062"/>
            </w:tabs>
            <w:rPr>
              <w:rFonts w:asciiTheme="minorHAnsi" w:eastAsiaTheme="minorEastAsia" w:hAnsiTheme="minorHAnsi" w:cstheme="minorBidi"/>
              <w:noProof/>
              <w:kern w:val="2"/>
              <w14:ligatures w14:val="standardContextual"/>
            </w:rPr>
          </w:pPr>
          <w:hyperlink w:anchor="_Toc227858572" w:history="1">
            <w:r w:rsidRPr="00F56C59">
              <w:rPr>
                <w:rStyle w:val="Hyperlink"/>
                <w:noProof/>
              </w:rPr>
              <w:t>4.2.2 Procedurevoorschriften (</w:t>
            </w:r>
            <w:r w:rsidRPr="00F56C59">
              <w:rPr>
                <w:rStyle w:val="Hyperlink"/>
                <w:b/>
                <w:noProof/>
              </w:rPr>
              <w:t>Fase 2)</w:t>
            </w:r>
            <w:r>
              <w:rPr>
                <w:noProof/>
                <w:webHidden/>
              </w:rPr>
              <w:tab/>
            </w:r>
            <w:r>
              <w:rPr>
                <w:noProof/>
                <w:webHidden/>
              </w:rPr>
              <w:fldChar w:fldCharType="begin"/>
            </w:r>
            <w:r>
              <w:rPr>
                <w:noProof/>
                <w:webHidden/>
              </w:rPr>
              <w:instrText xml:space="preserve"> PAGEREF _Toc227858572 \h </w:instrText>
            </w:r>
            <w:r>
              <w:rPr>
                <w:noProof/>
                <w:webHidden/>
              </w:rPr>
            </w:r>
            <w:r>
              <w:rPr>
                <w:noProof/>
                <w:webHidden/>
              </w:rPr>
              <w:fldChar w:fldCharType="separate"/>
            </w:r>
            <w:r w:rsidR="00257046">
              <w:rPr>
                <w:noProof/>
                <w:webHidden/>
              </w:rPr>
              <w:t>17</w:t>
            </w:r>
            <w:r>
              <w:rPr>
                <w:noProof/>
                <w:webHidden/>
              </w:rPr>
              <w:fldChar w:fldCharType="end"/>
            </w:r>
          </w:hyperlink>
        </w:p>
        <w:p w14:paraId="73A871B4" w14:textId="019B76E4" w:rsidR="005C5E17" w:rsidRDefault="005C5E17">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27858573" w:history="1">
            <w:r w:rsidRPr="00F56C59">
              <w:rPr>
                <w:rStyle w:val="Hyperlink"/>
                <w:noProof/>
              </w:rPr>
              <w:t xml:space="preserve">4.3 </w:t>
            </w:r>
            <w:r>
              <w:rPr>
                <w:rFonts w:asciiTheme="minorHAnsi" w:eastAsiaTheme="minorEastAsia" w:hAnsiTheme="minorHAnsi" w:cstheme="minorBidi"/>
                <w:noProof/>
                <w:kern w:val="2"/>
                <w14:ligatures w14:val="standardContextual"/>
              </w:rPr>
              <w:tab/>
            </w:r>
            <w:r w:rsidRPr="00F56C59">
              <w:rPr>
                <w:rStyle w:val="Hyperlink"/>
                <w:noProof/>
              </w:rPr>
              <w:t>Beoordeling van verzoeken tot deelneming</w:t>
            </w:r>
            <w:r>
              <w:rPr>
                <w:noProof/>
                <w:webHidden/>
              </w:rPr>
              <w:tab/>
            </w:r>
            <w:r>
              <w:rPr>
                <w:noProof/>
                <w:webHidden/>
              </w:rPr>
              <w:fldChar w:fldCharType="begin"/>
            </w:r>
            <w:r>
              <w:rPr>
                <w:noProof/>
                <w:webHidden/>
              </w:rPr>
              <w:instrText xml:space="preserve"> PAGEREF _Toc227858573 \h </w:instrText>
            </w:r>
            <w:r>
              <w:rPr>
                <w:noProof/>
                <w:webHidden/>
              </w:rPr>
            </w:r>
            <w:r>
              <w:rPr>
                <w:noProof/>
                <w:webHidden/>
              </w:rPr>
              <w:fldChar w:fldCharType="separate"/>
            </w:r>
            <w:r w:rsidR="00257046">
              <w:rPr>
                <w:noProof/>
                <w:webHidden/>
              </w:rPr>
              <w:t>18</w:t>
            </w:r>
            <w:r>
              <w:rPr>
                <w:noProof/>
                <w:webHidden/>
              </w:rPr>
              <w:fldChar w:fldCharType="end"/>
            </w:r>
          </w:hyperlink>
        </w:p>
        <w:p w14:paraId="201F0745" w14:textId="00EAE8EA" w:rsidR="005C5E17" w:rsidRDefault="005C5E17">
          <w:pPr>
            <w:pStyle w:val="Inhopg2"/>
            <w:tabs>
              <w:tab w:val="right" w:leader="dot" w:pos="9062"/>
            </w:tabs>
            <w:rPr>
              <w:rFonts w:asciiTheme="minorHAnsi" w:eastAsiaTheme="minorEastAsia" w:hAnsiTheme="minorHAnsi" w:cstheme="minorBidi"/>
              <w:noProof/>
              <w:kern w:val="2"/>
              <w14:ligatures w14:val="standardContextual"/>
            </w:rPr>
          </w:pPr>
          <w:hyperlink w:anchor="_Toc227858574" w:history="1">
            <w:r w:rsidRPr="00F56C59">
              <w:rPr>
                <w:rStyle w:val="Hyperlink"/>
                <w:noProof/>
              </w:rPr>
              <w:t>4.3.1 Beoordelingscommissie</w:t>
            </w:r>
            <w:r>
              <w:rPr>
                <w:noProof/>
                <w:webHidden/>
              </w:rPr>
              <w:tab/>
            </w:r>
            <w:r>
              <w:rPr>
                <w:noProof/>
                <w:webHidden/>
              </w:rPr>
              <w:fldChar w:fldCharType="begin"/>
            </w:r>
            <w:r>
              <w:rPr>
                <w:noProof/>
                <w:webHidden/>
              </w:rPr>
              <w:instrText xml:space="preserve"> PAGEREF _Toc227858574 \h </w:instrText>
            </w:r>
            <w:r>
              <w:rPr>
                <w:noProof/>
                <w:webHidden/>
              </w:rPr>
            </w:r>
            <w:r>
              <w:rPr>
                <w:noProof/>
                <w:webHidden/>
              </w:rPr>
              <w:fldChar w:fldCharType="separate"/>
            </w:r>
            <w:r w:rsidR="00257046">
              <w:rPr>
                <w:noProof/>
                <w:webHidden/>
              </w:rPr>
              <w:t>19</w:t>
            </w:r>
            <w:r>
              <w:rPr>
                <w:noProof/>
                <w:webHidden/>
              </w:rPr>
              <w:fldChar w:fldCharType="end"/>
            </w:r>
          </w:hyperlink>
        </w:p>
        <w:p w14:paraId="6166A5BA" w14:textId="4E2A7B29" w:rsidR="005C5E17" w:rsidRDefault="005C5E17">
          <w:pPr>
            <w:pStyle w:val="Inhopg2"/>
            <w:tabs>
              <w:tab w:val="right" w:leader="dot" w:pos="9062"/>
            </w:tabs>
            <w:rPr>
              <w:rFonts w:asciiTheme="minorHAnsi" w:eastAsiaTheme="minorEastAsia" w:hAnsiTheme="minorHAnsi" w:cstheme="minorBidi"/>
              <w:noProof/>
              <w:kern w:val="2"/>
              <w14:ligatures w14:val="standardContextual"/>
            </w:rPr>
          </w:pPr>
          <w:hyperlink w:anchor="_Toc227858575" w:history="1">
            <w:r w:rsidRPr="00F56C59">
              <w:rPr>
                <w:rStyle w:val="Hyperlink"/>
                <w:noProof/>
              </w:rPr>
              <w:t>4.3.2 Planning</w:t>
            </w:r>
            <w:r>
              <w:rPr>
                <w:noProof/>
                <w:webHidden/>
              </w:rPr>
              <w:tab/>
            </w:r>
            <w:r>
              <w:rPr>
                <w:noProof/>
                <w:webHidden/>
              </w:rPr>
              <w:fldChar w:fldCharType="begin"/>
            </w:r>
            <w:r>
              <w:rPr>
                <w:noProof/>
                <w:webHidden/>
              </w:rPr>
              <w:instrText xml:space="preserve"> PAGEREF _Toc227858575 \h </w:instrText>
            </w:r>
            <w:r>
              <w:rPr>
                <w:noProof/>
                <w:webHidden/>
              </w:rPr>
            </w:r>
            <w:r>
              <w:rPr>
                <w:noProof/>
                <w:webHidden/>
              </w:rPr>
              <w:fldChar w:fldCharType="separate"/>
            </w:r>
            <w:r w:rsidR="00257046">
              <w:rPr>
                <w:noProof/>
                <w:webHidden/>
              </w:rPr>
              <w:t>19</w:t>
            </w:r>
            <w:r>
              <w:rPr>
                <w:noProof/>
                <w:webHidden/>
              </w:rPr>
              <w:fldChar w:fldCharType="end"/>
            </w:r>
          </w:hyperlink>
        </w:p>
        <w:p w14:paraId="39F0AB3C" w14:textId="4750EFEA" w:rsidR="005C5E17" w:rsidRDefault="005C5E17">
          <w:pPr>
            <w:pStyle w:val="Inhopg2"/>
            <w:tabs>
              <w:tab w:val="right" w:leader="dot" w:pos="9062"/>
            </w:tabs>
            <w:rPr>
              <w:rFonts w:asciiTheme="minorHAnsi" w:eastAsiaTheme="minorEastAsia" w:hAnsiTheme="minorHAnsi" w:cstheme="minorBidi"/>
              <w:noProof/>
              <w:kern w:val="2"/>
              <w14:ligatures w14:val="standardContextual"/>
            </w:rPr>
          </w:pPr>
          <w:hyperlink w:anchor="_Toc227858576" w:history="1">
            <w:r w:rsidRPr="00F56C59">
              <w:rPr>
                <w:rStyle w:val="Hyperlink"/>
                <w:noProof/>
              </w:rPr>
              <w:t>4.3.3 Checklist in te leveren documenten</w:t>
            </w:r>
            <w:r>
              <w:rPr>
                <w:noProof/>
                <w:webHidden/>
              </w:rPr>
              <w:tab/>
            </w:r>
            <w:r>
              <w:rPr>
                <w:noProof/>
                <w:webHidden/>
              </w:rPr>
              <w:fldChar w:fldCharType="begin"/>
            </w:r>
            <w:r>
              <w:rPr>
                <w:noProof/>
                <w:webHidden/>
              </w:rPr>
              <w:instrText xml:space="preserve"> PAGEREF _Toc227858576 \h </w:instrText>
            </w:r>
            <w:r>
              <w:rPr>
                <w:noProof/>
                <w:webHidden/>
              </w:rPr>
            </w:r>
            <w:r>
              <w:rPr>
                <w:noProof/>
                <w:webHidden/>
              </w:rPr>
              <w:fldChar w:fldCharType="separate"/>
            </w:r>
            <w:r w:rsidR="00257046">
              <w:rPr>
                <w:noProof/>
                <w:webHidden/>
              </w:rPr>
              <w:t>19</w:t>
            </w:r>
            <w:r>
              <w:rPr>
                <w:noProof/>
                <w:webHidden/>
              </w:rPr>
              <w:fldChar w:fldCharType="end"/>
            </w:r>
          </w:hyperlink>
        </w:p>
        <w:p w14:paraId="60E5EE64" w14:textId="25B51D82" w:rsidR="005C5E17" w:rsidRDefault="005C5E17">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27858577" w:history="1">
            <w:r w:rsidRPr="00F56C59">
              <w:rPr>
                <w:rStyle w:val="Hyperlink"/>
                <w:noProof/>
              </w:rPr>
              <w:t xml:space="preserve">4.4 </w:t>
            </w:r>
            <w:r>
              <w:rPr>
                <w:rFonts w:asciiTheme="minorHAnsi" w:eastAsiaTheme="minorEastAsia" w:hAnsiTheme="minorHAnsi" w:cstheme="minorBidi"/>
                <w:noProof/>
                <w:kern w:val="2"/>
                <w14:ligatures w14:val="standardContextual"/>
              </w:rPr>
              <w:tab/>
            </w:r>
            <w:r w:rsidRPr="00F56C59">
              <w:rPr>
                <w:rStyle w:val="Hyperlink"/>
                <w:noProof/>
              </w:rPr>
              <w:t>Aanmelden als hoofdaannemer, combinatie of groepsonderneming</w:t>
            </w:r>
            <w:r>
              <w:rPr>
                <w:noProof/>
                <w:webHidden/>
              </w:rPr>
              <w:tab/>
            </w:r>
            <w:r>
              <w:rPr>
                <w:noProof/>
                <w:webHidden/>
              </w:rPr>
              <w:fldChar w:fldCharType="begin"/>
            </w:r>
            <w:r>
              <w:rPr>
                <w:noProof/>
                <w:webHidden/>
              </w:rPr>
              <w:instrText xml:space="preserve"> PAGEREF _Toc227858577 \h </w:instrText>
            </w:r>
            <w:r>
              <w:rPr>
                <w:noProof/>
                <w:webHidden/>
              </w:rPr>
            </w:r>
            <w:r>
              <w:rPr>
                <w:noProof/>
                <w:webHidden/>
              </w:rPr>
              <w:fldChar w:fldCharType="separate"/>
            </w:r>
            <w:r w:rsidR="00257046">
              <w:rPr>
                <w:noProof/>
                <w:webHidden/>
              </w:rPr>
              <w:t>20</w:t>
            </w:r>
            <w:r>
              <w:rPr>
                <w:noProof/>
                <w:webHidden/>
              </w:rPr>
              <w:fldChar w:fldCharType="end"/>
            </w:r>
          </w:hyperlink>
        </w:p>
        <w:p w14:paraId="6FF76B1C" w14:textId="3684C9CC" w:rsidR="005C5E17" w:rsidRDefault="005C5E17">
          <w:pPr>
            <w:pStyle w:val="Inhopg2"/>
            <w:tabs>
              <w:tab w:val="right" w:leader="dot" w:pos="9062"/>
            </w:tabs>
            <w:rPr>
              <w:rFonts w:asciiTheme="minorHAnsi" w:eastAsiaTheme="minorEastAsia" w:hAnsiTheme="minorHAnsi" w:cstheme="minorBidi"/>
              <w:noProof/>
              <w:kern w:val="2"/>
              <w14:ligatures w14:val="standardContextual"/>
            </w:rPr>
          </w:pPr>
          <w:hyperlink w:anchor="_Toc227858578" w:history="1">
            <w:r w:rsidRPr="00F56C59">
              <w:rPr>
                <w:rStyle w:val="Hyperlink"/>
                <w:noProof/>
              </w:rPr>
              <w:t>4.4.1 Hoofdaannemer</w:t>
            </w:r>
            <w:r>
              <w:rPr>
                <w:noProof/>
                <w:webHidden/>
              </w:rPr>
              <w:tab/>
            </w:r>
            <w:r>
              <w:rPr>
                <w:noProof/>
                <w:webHidden/>
              </w:rPr>
              <w:fldChar w:fldCharType="begin"/>
            </w:r>
            <w:r>
              <w:rPr>
                <w:noProof/>
                <w:webHidden/>
              </w:rPr>
              <w:instrText xml:space="preserve"> PAGEREF _Toc227858578 \h </w:instrText>
            </w:r>
            <w:r>
              <w:rPr>
                <w:noProof/>
                <w:webHidden/>
              </w:rPr>
            </w:r>
            <w:r>
              <w:rPr>
                <w:noProof/>
                <w:webHidden/>
              </w:rPr>
              <w:fldChar w:fldCharType="separate"/>
            </w:r>
            <w:r w:rsidR="00257046">
              <w:rPr>
                <w:noProof/>
                <w:webHidden/>
              </w:rPr>
              <w:t>20</w:t>
            </w:r>
            <w:r>
              <w:rPr>
                <w:noProof/>
                <w:webHidden/>
              </w:rPr>
              <w:fldChar w:fldCharType="end"/>
            </w:r>
          </w:hyperlink>
        </w:p>
        <w:p w14:paraId="01D509E3" w14:textId="3918709B" w:rsidR="005C5E17" w:rsidRDefault="005C5E17">
          <w:pPr>
            <w:pStyle w:val="Inhopg2"/>
            <w:tabs>
              <w:tab w:val="right" w:leader="dot" w:pos="9062"/>
            </w:tabs>
            <w:rPr>
              <w:rFonts w:asciiTheme="minorHAnsi" w:eastAsiaTheme="minorEastAsia" w:hAnsiTheme="minorHAnsi" w:cstheme="minorBidi"/>
              <w:noProof/>
              <w:kern w:val="2"/>
              <w14:ligatures w14:val="standardContextual"/>
            </w:rPr>
          </w:pPr>
          <w:hyperlink w:anchor="_Toc227858579" w:history="1">
            <w:r w:rsidRPr="00F56C59">
              <w:rPr>
                <w:rStyle w:val="Hyperlink"/>
                <w:noProof/>
              </w:rPr>
              <w:t>4.4.2 Combinatie</w:t>
            </w:r>
            <w:r>
              <w:rPr>
                <w:noProof/>
                <w:webHidden/>
              </w:rPr>
              <w:tab/>
            </w:r>
            <w:r>
              <w:rPr>
                <w:noProof/>
                <w:webHidden/>
              </w:rPr>
              <w:fldChar w:fldCharType="begin"/>
            </w:r>
            <w:r>
              <w:rPr>
                <w:noProof/>
                <w:webHidden/>
              </w:rPr>
              <w:instrText xml:space="preserve"> PAGEREF _Toc227858579 \h </w:instrText>
            </w:r>
            <w:r>
              <w:rPr>
                <w:noProof/>
                <w:webHidden/>
              </w:rPr>
            </w:r>
            <w:r>
              <w:rPr>
                <w:noProof/>
                <w:webHidden/>
              </w:rPr>
              <w:fldChar w:fldCharType="separate"/>
            </w:r>
            <w:r w:rsidR="00257046">
              <w:rPr>
                <w:noProof/>
                <w:webHidden/>
              </w:rPr>
              <w:t>20</w:t>
            </w:r>
            <w:r>
              <w:rPr>
                <w:noProof/>
                <w:webHidden/>
              </w:rPr>
              <w:fldChar w:fldCharType="end"/>
            </w:r>
          </w:hyperlink>
        </w:p>
        <w:p w14:paraId="64E8EE8D" w14:textId="4031010C" w:rsidR="005C5E17" w:rsidRDefault="005C5E17">
          <w:pPr>
            <w:pStyle w:val="Inhopg2"/>
            <w:tabs>
              <w:tab w:val="right" w:leader="dot" w:pos="9062"/>
            </w:tabs>
            <w:rPr>
              <w:rFonts w:asciiTheme="minorHAnsi" w:eastAsiaTheme="minorEastAsia" w:hAnsiTheme="minorHAnsi" w:cstheme="minorBidi"/>
              <w:noProof/>
              <w:kern w:val="2"/>
              <w14:ligatures w14:val="standardContextual"/>
            </w:rPr>
          </w:pPr>
          <w:hyperlink w:anchor="_Toc227858580" w:history="1">
            <w:r w:rsidRPr="00F56C59">
              <w:rPr>
                <w:rStyle w:val="Hyperlink"/>
                <w:noProof/>
              </w:rPr>
              <w:t>4.4.3 Groepsonderneming</w:t>
            </w:r>
            <w:r>
              <w:rPr>
                <w:noProof/>
                <w:webHidden/>
              </w:rPr>
              <w:tab/>
            </w:r>
            <w:r>
              <w:rPr>
                <w:noProof/>
                <w:webHidden/>
              </w:rPr>
              <w:fldChar w:fldCharType="begin"/>
            </w:r>
            <w:r>
              <w:rPr>
                <w:noProof/>
                <w:webHidden/>
              </w:rPr>
              <w:instrText xml:space="preserve"> PAGEREF _Toc227858580 \h </w:instrText>
            </w:r>
            <w:r>
              <w:rPr>
                <w:noProof/>
                <w:webHidden/>
              </w:rPr>
            </w:r>
            <w:r>
              <w:rPr>
                <w:noProof/>
                <w:webHidden/>
              </w:rPr>
              <w:fldChar w:fldCharType="separate"/>
            </w:r>
            <w:r w:rsidR="00257046">
              <w:rPr>
                <w:noProof/>
                <w:webHidden/>
              </w:rPr>
              <w:t>21</w:t>
            </w:r>
            <w:r>
              <w:rPr>
                <w:noProof/>
                <w:webHidden/>
              </w:rPr>
              <w:fldChar w:fldCharType="end"/>
            </w:r>
          </w:hyperlink>
        </w:p>
        <w:p w14:paraId="5714940E" w14:textId="6EE59156" w:rsidR="005C5E17" w:rsidRDefault="005C5E17">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27858581" w:history="1">
            <w:r w:rsidRPr="00F56C59">
              <w:rPr>
                <w:rStyle w:val="Hyperlink"/>
                <w:noProof/>
              </w:rPr>
              <w:t xml:space="preserve">4.5 </w:t>
            </w:r>
            <w:r>
              <w:rPr>
                <w:rFonts w:asciiTheme="minorHAnsi" w:eastAsiaTheme="minorEastAsia" w:hAnsiTheme="minorHAnsi" w:cstheme="minorBidi"/>
                <w:noProof/>
                <w:kern w:val="2"/>
                <w14:ligatures w14:val="standardContextual"/>
              </w:rPr>
              <w:tab/>
            </w:r>
            <w:r w:rsidRPr="00F56C59">
              <w:rPr>
                <w:rStyle w:val="Hyperlink"/>
                <w:noProof/>
              </w:rPr>
              <w:t>Vragen over de procedure en/of documenten</w:t>
            </w:r>
            <w:r>
              <w:rPr>
                <w:noProof/>
                <w:webHidden/>
              </w:rPr>
              <w:tab/>
            </w:r>
            <w:r>
              <w:rPr>
                <w:noProof/>
                <w:webHidden/>
              </w:rPr>
              <w:fldChar w:fldCharType="begin"/>
            </w:r>
            <w:r>
              <w:rPr>
                <w:noProof/>
                <w:webHidden/>
              </w:rPr>
              <w:instrText xml:space="preserve"> PAGEREF _Toc227858581 \h </w:instrText>
            </w:r>
            <w:r>
              <w:rPr>
                <w:noProof/>
                <w:webHidden/>
              </w:rPr>
            </w:r>
            <w:r>
              <w:rPr>
                <w:noProof/>
                <w:webHidden/>
              </w:rPr>
              <w:fldChar w:fldCharType="separate"/>
            </w:r>
            <w:r w:rsidR="00257046">
              <w:rPr>
                <w:noProof/>
                <w:webHidden/>
              </w:rPr>
              <w:t>21</w:t>
            </w:r>
            <w:r>
              <w:rPr>
                <w:noProof/>
                <w:webHidden/>
              </w:rPr>
              <w:fldChar w:fldCharType="end"/>
            </w:r>
          </w:hyperlink>
        </w:p>
        <w:p w14:paraId="4B80BF17" w14:textId="05361D30" w:rsidR="005C5E17" w:rsidRDefault="005C5E17">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27858582" w:history="1">
            <w:r w:rsidRPr="00F56C59">
              <w:rPr>
                <w:rStyle w:val="Hyperlink"/>
                <w:noProof/>
              </w:rPr>
              <w:t xml:space="preserve">4.6 </w:t>
            </w:r>
            <w:r>
              <w:rPr>
                <w:rFonts w:asciiTheme="minorHAnsi" w:eastAsiaTheme="minorEastAsia" w:hAnsiTheme="minorHAnsi" w:cstheme="minorBidi"/>
                <w:noProof/>
                <w:kern w:val="2"/>
                <w14:ligatures w14:val="standardContextual"/>
              </w:rPr>
              <w:tab/>
            </w:r>
            <w:r w:rsidRPr="00F56C59">
              <w:rPr>
                <w:rStyle w:val="Hyperlink"/>
                <w:noProof/>
              </w:rPr>
              <w:t>Vertrouwelijkheid</w:t>
            </w:r>
            <w:r>
              <w:rPr>
                <w:noProof/>
                <w:webHidden/>
              </w:rPr>
              <w:tab/>
            </w:r>
            <w:r>
              <w:rPr>
                <w:noProof/>
                <w:webHidden/>
              </w:rPr>
              <w:fldChar w:fldCharType="begin"/>
            </w:r>
            <w:r>
              <w:rPr>
                <w:noProof/>
                <w:webHidden/>
              </w:rPr>
              <w:instrText xml:space="preserve"> PAGEREF _Toc227858582 \h </w:instrText>
            </w:r>
            <w:r>
              <w:rPr>
                <w:noProof/>
                <w:webHidden/>
              </w:rPr>
            </w:r>
            <w:r>
              <w:rPr>
                <w:noProof/>
                <w:webHidden/>
              </w:rPr>
              <w:fldChar w:fldCharType="separate"/>
            </w:r>
            <w:r w:rsidR="00257046">
              <w:rPr>
                <w:noProof/>
                <w:webHidden/>
              </w:rPr>
              <w:t>21</w:t>
            </w:r>
            <w:r>
              <w:rPr>
                <w:noProof/>
                <w:webHidden/>
              </w:rPr>
              <w:fldChar w:fldCharType="end"/>
            </w:r>
          </w:hyperlink>
        </w:p>
        <w:p w14:paraId="252FC5AD" w14:textId="11BD4BFA" w:rsidR="005C5E17" w:rsidRDefault="005C5E17">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27858583" w:history="1">
            <w:r w:rsidRPr="00F56C59">
              <w:rPr>
                <w:rStyle w:val="Hyperlink"/>
                <w:noProof/>
              </w:rPr>
              <w:t xml:space="preserve">4.7 </w:t>
            </w:r>
            <w:r>
              <w:rPr>
                <w:rFonts w:asciiTheme="minorHAnsi" w:eastAsiaTheme="minorEastAsia" w:hAnsiTheme="minorHAnsi" w:cstheme="minorBidi"/>
                <w:noProof/>
                <w:kern w:val="2"/>
                <w14:ligatures w14:val="standardContextual"/>
              </w:rPr>
              <w:tab/>
            </w:r>
            <w:r w:rsidRPr="00F56C59">
              <w:rPr>
                <w:rStyle w:val="Hyperlink"/>
                <w:noProof/>
              </w:rPr>
              <w:t>Gestanddoeningstermijn</w:t>
            </w:r>
            <w:r>
              <w:rPr>
                <w:noProof/>
                <w:webHidden/>
              </w:rPr>
              <w:tab/>
            </w:r>
            <w:r>
              <w:rPr>
                <w:noProof/>
                <w:webHidden/>
              </w:rPr>
              <w:fldChar w:fldCharType="begin"/>
            </w:r>
            <w:r>
              <w:rPr>
                <w:noProof/>
                <w:webHidden/>
              </w:rPr>
              <w:instrText xml:space="preserve"> PAGEREF _Toc227858583 \h </w:instrText>
            </w:r>
            <w:r>
              <w:rPr>
                <w:noProof/>
                <w:webHidden/>
              </w:rPr>
            </w:r>
            <w:r>
              <w:rPr>
                <w:noProof/>
                <w:webHidden/>
              </w:rPr>
              <w:fldChar w:fldCharType="separate"/>
            </w:r>
            <w:r w:rsidR="00257046">
              <w:rPr>
                <w:noProof/>
                <w:webHidden/>
              </w:rPr>
              <w:t>21</w:t>
            </w:r>
            <w:r>
              <w:rPr>
                <w:noProof/>
                <w:webHidden/>
              </w:rPr>
              <w:fldChar w:fldCharType="end"/>
            </w:r>
          </w:hyperlink>
        </w:p>
        <w:p w14:paraId="34BF3C0A" w14:textId="148EB7A0" w:rsidR="005C5E17" w:rsidRDefault="005C5E17">
          <w:pPr>
            <w:pStyle w:val="Inhopg2"/>
            <w:tabs>
              <w:tab w:val="right" w:leader="dot" w:pos="9062"/>
            </w:tabs>
            <w:rPr>
              <w:rFonts w:asciiTheme="minorHAnsi" w:eastAsiaTheme="minorEastAsia" w:hAnsiTheme="minorHAnsi" w:cstheme="minorBidi"/>
              <w:noProof/>
              <w:kern w:val="2"/>
              <w14:ligatures w14:val="standardContextual"/>
            </w:rPr>
          </w:pPr>
          <w:hyperlink w:anchor="_Toc227858584" w:history="1">
            <w:r w:rsidRPr="00F56C59">
              <w:rPr>
                <w:rStyle w:val="Hyperlink"/>
                <w:noProof/>
              </w:rPr>
              <w:t>4.8 Klachten en rechtsgang</w:t>
            </w:r>
            <w:r>
              <w:rPr>
                <w:noProof/>
                <w:webHidden/>
              </w:rPr>
              <w:tab/>
            </w:r>
            <w:r>
              <w:rPr>
                <w:noProof/>
                <w:webHidden/>
              </w:rPr>
              <w:fldChar w:fldCharType="begin"/>
            </w:r>
            <w:r>
              <w:rPr>
                <w:noProof/>
                <w:webHidden/>
              </w:rPr>
              <w:instrText xml:space="preserve"> PAGEREF _Toc227858584 \h </w:instrText>
            </w:r>
            <w:r>
              <w:rPr>
                <w:noProof/>
                <w:webHidden/>
              </w:rPr>
            </w:r>
            <w:r>
              <w:rPr>
                <w:noProof/>
                <w:webHidden/>
              </w:rPr>
              <w:fldChar w:fldCharType="separate"/>
            </w:r>
            <w:r w:rsidR="00257046">
              <w:rPr>
                <w:noProof/>
                <w:webHidden/>
              </w:rPr>
              <w:t>22</w:t>
            </w:r>
            <w:r>
              <w:rPr>
                <w:noProof/>
                <w:webHidden/>
              </w:rPr>
              <w:fldChar w:fldCharType="end"/>
            </w:r>
          </w:hyperlink>
        </w:p>
        <w:p w14:paraId="276F1C55" w14:textId="7472A06C" w:rsidR="005C5E17" w:rsidRDefault="005C5E17">
          <w:pPr>
            <w:pStyle w:val="Inhopg2"/>
            <w:tabs>
              <w:tab w:val="right" w:leader="dot" w:pos="9062"/>
            </w:tabs>
            <w:rPr>
              <w:rFonts w:asciiTheme="minorHAnsi" w:eastAsiaTheme="minorEastAsia" w:hAnsiTheme="minorHAnsi" w:cstheme="minorBidi"/>
              <w:noProof/>
              <w:kern w:val="2"/>
              <w14:ligatures w14:val="standardContextual"/>
            </w:rPr>
          </w:pPr>
          <w:hyperlink w:anchor="_Toc227858585" w:history="1">
            <w:r w:rsidRPr="00F56C59">
              <w:rPr>
                <w:rStyle w:val="Hyperlink"/>
                <w:noProof/>
              </w:rPr>
              <w:t>4.8.1 Klachten</w:t>
            </w:r>
            <w:r>
              <w:rPr>
                <w:noProof/>
                <w:webHidden/>
              </w:rPr>
              <w:tab/>
            </w:r>
            <w:r>
              <w:rPr>
                <w:noProof/>
                <w:webHidden/>
              </w:rPr>
              <w:fldChar w:fldCharType="begin"/>
            </w:r>
            <w:r>
              <w:rPr>
                <w:noProof/>
                <w:webHidden/>
              </w:rPr>
              <w:instrText xml:space="preserve"> PAGEREF _Toc227858585 \h </w:instrText>
            </w:r>
            <w:r>
              <w:rPr>
                <w:noProof/>
                <w:webHidden/>
              </w:rPr>
            </w:r>
            <w:r>
              <w:rPr>
                <w:noProof/>
                <w:webHidden/>
              </w:rPr>
              <w:fldChar w:fldCharType="separate"/>
            </w:r>
            <w:r w:rsidR="00257046">
              <w:rPr>
                <w:noProof/>
                <w:webHidden/>
              </w:rPr>
              <w:t>22</w:t>
            </w:r>
            <w:r>
              <w:rPr>
                <w:noProof/>
                <w:webHidden/>
              </w:rPr>
              <w:fldChar w:fldCharType="end"/>
            </w:r>
          </w:hyperlink>
        </w:p>
        <w:p w14:paraId="6C9EB467" w14:textId="37FF4B5E" w:rsidR="005C5E17" w:rsidRDefault="005C5E17">
          <w:pPr>
            <w:pStyle w:val="Inhopg2"/>
            <w:tabs>
              <w:tab w:val="right" w:leader="dot" w:pos="9062"/>
            </w:tabs>
            <w:rPr>
              <w:rFonts w:asciiTheme="minorHAnsi" w:eastAsiaTheme="minorEastAsia" w:hAnsiTheme="minorHAnsi" w:cstheme="minorBidi"/>
              <w:noProof/>
              <w:kern w:val="2"/>
              <w14:ligatures w14:val="standardContextual"/>
            </w:rPr>
          </w:pPr>
          <w:hyperlink w:anchor="_Toc227858586" w:history="1">
            <w:r w:rsidRPr="00F56C59">
              <w:rPr>
                <w:rStyle w:val="Hyperlink"/>
                <w:noProof/>
              </w:rPr>
              <w:t>4.8.2 Rechtsgang</w:t>
            </w:r>
            <w:r>
              <w:rPr>
                <w:noProof/>
                <w:webHidden/>
              </w:rPr>
              <w:tab/>
            </w:r>
            <w:r>
              <w:rPr>
                <w:noProof/>
                <w:webHidden/>
              </w:rPr>
              <w:fldChar w:fldCharType="begin"/>
            </w:r>
            <w:r>
              <w:rPr>
                <w:noProof/>
                <w:webHidden/>
              </w:rPr>
              <w:instrText xml:space="preserve"> PAGEREF _Toc227858586 \h </w:instrText>
            </w:r>
            <w:r>
              <w:rPr>
                <w:noProof/>
                <w:webHidden/>
              </w:rPr>
            </w:r>
            <w:r>
              <w:rPr>
                <w:noProof/>
                <w:webHidden/>
              </w:rPr>
              <w:fldChar w:fldCharType="separate"/>
            </w:r>
            <w:r w:rsidR="00257046">
              <w:rPr>
                <w:noProof/>
                <w:webHidden/>
              </w:rPr>
              <w:t>22</w:t>
            </w:r>
            <w:r>
              <w:rPr>
                <w:noProof/>
                <w:webHidden/>
              </w:rPr>
              <w:fldChar w:fldCharType="end"/>
            </w:r>
          </w:hyperlink>
        </w:p>
        <w:p w14:paraId="2CC5B057" w14:textId="1F7BD738" w:rsidR="00960911" w:rsidRDefault="00960911">
          <w:r>
            <w:rPr>
              <w:b/>
              <w:bCs/>
            </w:rPr>
            <w:fldChar w:fldCharType="end"/>
          </w:r>
        </w:p>
      </w:sdtContent>
    </w:sdt>
    <w:p w14:paraId="1E500DE7" w14:textId="27204602" w:rsidR="0009697A" w:rsidRDefault="0009697A" w:rsidP="004A6839">
      <w:pPr>
        <w:pStyle w:val="Kop1"/>
        <w:ind w:left="720" w:hanging="720"/>
      </w:pPr>
    </w:p>
    <w:p w14:paraId="1B18F29E" w14:textId="77777777" w:rsidR="0009697A" w:rsidRDefault="0009697A" w:rsidP="004A6839">
      <w:pPr>
        <w:pStyle w:val="Kop1"/>
        <w:ind w:left="720" w:hanging="720"/>
      </w:pPr>
    </w:p>
    <w:bookmarkEnd w:id="10"/>
    <w:bookmarkEnd w:id="9"/>
    <w:bookmarkEnd w:id="8"/>
    <w:bookmarkEnd w:id="7"/>
    <w:bookmarkEnd w:id="6"/>
    <w:bookmarkEnd w:id="5"/>
    <w:p w14:paraId="1959963D" w14:textId="77777777" w:rsidR="004A6839" w:rsidRPr="00573D0A" w:rsidRDefault="004A6839" w:rsidP="004A6839">
      <w:pPr>
        <w:rPr>
          <w:b/>
        </w:rPr>
        <w:sectPr w:rsidR="004A6839" w:rsidRPr="00573D0A" w:rsidSect="004A6839">
          <w:pgSz w:w="11906" w:h="16838"/>
          <w:pgMar w:top="1417" w:right="1417" w:bottom="1417" w:left="1417" w:header="708" w:footer="708" w:gutter="0"/>
          <w:cols w:space="708"/>
          <w:docGrid w:linePitch="360"/>
        </w:sectPr>
      </w:pPr>
    </w:p>
    <w:p w14:paraId="1CE55916" w14:textId="77777777" w:rsidR="004A6839" w:rsidRPr="00986CDA" w:rsidRDefault="004A6839" w:rsidP="00986CDA">
      <w:pPr>
        <w:pStyle w:val="Kop1"/>
      </w:pPr>
      <w:bookmarkStart w:id="11" w:name="_Toc163123542"/>
      <w:bookmarkStart w:id="12" w:name="_Toc165276559"/>
      <w:bookmarkStart w:id="13" w:name="_Toc199795942"/>
      <w:bookmarkStart w:id="14" w:name="_Toc227858544"/>
      <w:r w:rsidRPr="00986CDA">
        <w:lastRenderedPageBreak/>
        <w:t>Definities</w:t>
      </w:r>
      <w:bookmarkEnd w:id="11"/>
      <w:bookmarkEnd w:id="12"/>
      <w:bookmarkEnd w:id="13"/>
      <w:bookmarkEnd w:id="14"/>
    </w:p>
    <w:p w14:paraId="3A6227D3" w14:textId="77777777" w:rsidR="004A6839" w:rsidRPr="005F77F6" w:rsidRDefault="004A6839" w:rsidP="00E73103">
      <w:pPr>
        <w:contextualSpacing/>
      </w:pPr>
      <w:r w:rsidRPr="005F77F6">
        <w:t>De betekenis van de woorden in dit document is hetzelfde in enkelvoud en meervoud.</w:t>
      </w:r>
    </w:p>
    <w:p w14:paraId="629EA91C" w14:textId="77777777" w:rsidR="004A6839" w:rsidRPr="005F77F6" w:rsidRDefault="004A6839" w:rsidP="00E73103">
      <w:pPr>
        <w:contextualSpacing/>
      </w:pPr>
      <w:r w:rsidRPr="005F77F6">
        <w:t>De volgende definities gelden automatisch:</w:t>
      </w:r>
    </w:p>
    <w:p w14:paraId="7BCA80BE" w14:textId="77777777" w:rsidR="004A6839" w:rsidRPr="00573D0A" w:rsidRDefault="004A6839" w:rsidP="004A6839"/>
    <w:p w14:paraId="22B9F69B" w14:textId="645E98AE" w:rsidR="004A6839" w:rsidRPr="00E914D6" w:rsidRDefault="004A6839" w:rsidP="00144C34">
      <w:pPr>
        <w:pStyle w:val="Lijstalinea"/>
        <w:numPr>
          <w:ilvl w:val="0"/>
          <w:numId w:val="4"/>
        </w:numPr>
        <w:spacing w:after="0" w:line="240" w:lineRule="auto"/>
        <w:rPr>
          <w:rStyle w:val="Hyperlink"/>
        </w:rPr>
      </w:pPr>
      <w:hyperlink r:id="rId15" w:history="1">
        <w:r w:rsidRPr="00E914D6">
          <w:rPr>
            <w:rStyle w:val="Hyperlink"/>
          </w:rPr>
          <w:t>artikel 1.1.1 Wet maatschappelijke ondersteuning 2015</w:t>
        </w:r>
      </w:hyperlink>
    </w:p>
    <w:p w14:paraId="53365C45" w14:textId="1C143982" w:rsidR="004A6839" w:rsidRPr="00E914D6" w:rsidRDefault="004A6839" w:rsidP="00055680">
      <w:pPr>
        <w:pStyle w:val="Lijstalinea"/>
        <w:numPr>
          <w:ilvl w:val="0"/>
          <w:numId w:val="4"/>
        </w:numPr>
        <w:spacing w:after="0" w:line="240" w:lineRule="auto"/>
        <w:ind w:left="1066" w:hanging="357"/>
      </w:pPr>
      <w:hyperlink r:id="rId16" w:history="1">
        <w:r w:rsidRPr="00E914D6">
          <w:rPr>
            <w:rStyle w:val="Hyperlink"/>
          </w:rPr>
          <w:t>artikel 1.1 Uitvoeringsbesluit Wet maatschappelijke ondersteuning 2015</w:t>
        </w:r>
      </w:hyperlink>
    </w:p>
    <w:p w14:paraId="677E933D" w14:textId="77777777" w:rsidR="004A6839" w:rsidRPr="00E914D6" w:rsidRDefault="004A6839" w:rsidP="00144C34">
      <w:pPr>
        <w:pStyle w:val="Lijstalinea"/>
        <w:numPr>
          <w:ilvl w:val="0"/>
          <w:numId w:val="4"/>
        </w:numPr>
        <w:spacing w:after="0" w:line="240" w:lineRule="auto"/>
        <w:rPr>
          <w:rStyle w:val="Hyperlink"/>
        </w:rPr>
      </w:pPr>
      <w:hyperlink r:id="rId17" w:history="1">
        <w:r w:rsidRPr="00E914D6">
          <w:rPr>
            <w:rStyle w:val="Hyperlink"/>
          </w:rPr>
          <w:t>artikel 1 Uitvoeringsregeling Wet maatschappelijke ondersteuning 2015</w:t>
        </w:r>
      </w:hyperlink>
    </w:p>
    <w:p w14:paraId="7DE372A2" w14:textId="77777777" w:rsidR="004A6839" w:rsidRPr="00BB7F15" w:rsidRDefault="004A6839" w:rsidP="00144C34">
      <w:pPr>
        <w:pStyle w:val="paragraph"/>
        <w:numPr>
          <w:ilvl w:val="0"/>
          <w:numId w:val="4"/>
        </w:numPr>
        <w:spacing w:before="0" w:beforeAutospacing="0" w:after="0" w:afterAutospacing="0"/>
        <w:textAlignment w:val="baseline"/>
      </w:pPr>
      <w:r w:rsidRPr="00BB7F15">
        <w:rPr>
          <w:rStyle w:val="normaltextrun"/>
          <w:rFonts w:eastAsiaTheme="majorEastAsia"/>
        </w:rPr>
        <w:t>de Gemeentelijke verordeningen, beleids- en nadere regels</w:t>
      </w:r>
    </w:p>
    <w:p w14:paraId="19B1AB23" w14:textId="77777777" w:rsidR="004A6839" w:rsidRDefault="004A6839" w:rsidP="004A6839"/>
    <w:p w14:paraId="4FFF21F9" w14:textId="77777777" w:rsidR="004A6839" w:rsidRPr="00573D0A" w:rsidRDefault="004A6839" w:rsidP="004A6839">
      <w:r w:rsidRPr="005F77F6">
        <w:t xml:space="preserve">Daarnaast gelden ook de definities uit de </w:t>
      </w:r>
      <w:r>
        <w:t>overeenkomst</w:t>
      </w:r>
      <w:r w:rsidRPr="005F77F6">
        <w:t>.</w:t>
      </w:r>
    </w:p>
    <w:p w14:paraId="09C73982" w14:textId="77777777" w:rsidR="004A6839" w:rsidRPr="00573D0A" w:rsidRDefault="004A6839" w:rsidP="004A6839">
      <w:pPr>
        <w:sectPr w:rsidR="004A6839" w:rsidRPr="00573D0A" w:rsidSect="004A6839">
          <w:pgSz w:w="11906" w:h="16838"/>
          <w:pgMar w:top="1417" w:right="1417" w:bottom="1417" w:left="1417" w:header="708" w:footer="708" w:gutter="0"/>
          <w:cols w:space="708"/>
          <w:docGrid w:linePitch="360"/>
        </w:sectPr>
      </w:pPr>
    </w:p>
    <w:p w14:paraId="3AF5E0DB" w14:textId="7FBEB3BA" w:rsidR="004A6839" w:rsidRPr="00DB2C52" w:rsidRDefault="004A6839" w:rsidP="007920EC">
      <w:pPr>
        <w:pStyle w:val="Hoofdkop"/>
        <w:spacing w:after="0"/>
        <w:contextualSpacing/>
      </w:pPr>
      <w:bookmarkStart w:id="15" w:name="_Toc199795943"/>
      <w:bookmarkStart w:id="16" w:name="_Toc227858545"/>
      <w:r w:rsidRPr="00DB2C52">
        <w:lastRenderedPageBreak/>
        <w:t>Inkopende organisatie</w:t>
      </w:r>
      <w:bookmarkEnd w:id="15"/>
      <w:bookmarkEnd w:id="16"/>
    </w:p>
    <w:p w14:paraId="05C006FB" w14:textId="77777777" w:rsidR="004A6839" w:rsidRPr="00573D0A" w:rsidRDefault="004A6839" w:rsidP="007920EC">
      <w:pPr>
        <w:spacing w:after="0"/>
        <w:contextualSpacing/>
      </w:pPr>
      <w:bookmarkStart w:id="17" w:name="_Toc150863949"/>
      <w:bookmarkStart w:id="18" w:name="_Toc163123544"/>
    </w:p>
    <w:p w14:paraId="32D8815C" w14:textId="4E1538B9" w:rsidR="004A6839" w:rsidRPr="00573D0A" w:rsidRDefault="00125911" w:rsidP="007920EC">
      <w:pPr>
        <w:pStyle w:val="Onderkop1"/>
        <w:spacing w:after="0"/>
        <w:contextualSpacing/>
      </w:pPr>
      <w:bookmarkStart w:id="19" w:name="_Toc199795944"/>
      <w:bookmarkStart w:id="20" w:name="_Toc227858546"/>
      <w:bookmarkEnd w:id="17"/>
      <w:bookmarkEnd w:id="18"/>
      <w:r>
        <w:t xml:space="preserve">1.1 </w:t>
      </w:r>
      <w:r w:rsidR="007920EC">
        <w:tab/>
      </w:r>
      <w:r w:rsidR="004A6839">
        <w:t>Inkopende organisatie</w:t>
      </w:r>
      <w:bookmarkEnd w:id="19"/>
      <w:bookmarkEnd w:id="20"/>
    </w:p>
    <w:p w14:paraId="1FF8B4AF" w14:textId="77777777" w:rsidR="00232D3D" w:rsidRDefault="00232D3D" w:rsidP="00DE6D02">
      <w:pPr>
        <w:spacing w:after="0"/>
        <w:ind w:left="709" w:hanging="1"/>
        <w:contextualSpacing/>
      </w:pPr>
    </w:p>
    <w:p w14:paraId="6650A8A1" w14:textId="0944658E" w:rsidR="004A6839" w:rsidRDefault="004A6839" w:rsidP="00DE6D02">
      <w:pPr>
        <w:spacing w:after="0"/>
        <w:ind w:left="709" w:hanging="1"/>
        <w:contextualSpacing/>
      </w:pPr>
      <w:r>
        <w:t>De gemeenten Bernheze, Boekel, Land van Cuijk, Maashorst en Oss (regio BNO-O) zijn op grond van de Wmo 2015 verplicht zorg te dragen voor maatschappelijke ondersteuning voor de inwoners. De gemeente Oss is op basis van de ‘Centrumregeling Wmo Brabant Noordoost-oost 2024’ Centrumgemeente. Dit betekent dat de gemeente Oss als Centrumgemeente de inkoopprocedure uitvoert en contracten sluit met Opdrachtnemers. De gemeente Oss is als Centrumgemeente de inkopende organisatie.</w:t>
      </w:r>
    </w:p>
    <w:p w14:paraId="4B4866DA" w14:textId="77777777" w:rsidR="00DE6D02" w:rsidRDefault="00DE6D02" w:rsidP="00DE6D02">
      <w:pPr>
        <w:spacing w:after="0"/>
        <w:ind w:left="709" w:hanging="1"/>
        <w:contextualSpacing/>
      </w:pPr>
    </w:p>
    <w:p w14:paraId="1B0CBC19" w14:textId="5A32B350" w:rsidR="004A6839" w:rsidRPr="00573D0A" w:rsidRDefault="008676FD" w:rsidP="00DE6D02">
      <w:pPr>
        <w:pStyle w:val="Onderkop1"/>
        <w:spacing w:after="0"/>
        <w:contextualSpacing/>
      </w:pPr>
      <w:bookmarkStart w:id="21" w:name="_Toc153876211"/>
      <w:bookmarkStart w:id="22" w:name="_Toc150863950"/>
      <w:bookmarkStart w:id="23" w:name="_Toc163123545"/>
      <w:bookmarkStart w:id="24" w:name="_Toc165276562"/>
      <w:bookmarkStart w:id="25" w:name="_Toc199795945"/>
      <w:bookmarkStart w:id="26" w:name="_Toc227858547"/>
      <w:r>
        <w:t xml:space="preserve">1.2 </w:t>
      </w:r>
      <w:r w:rsidR="00DE6D02">
        <w:tab/>
      </w:r>
      <w:r w:rsidR="004A6839">
        <w:t>Contactpersonen en -gegevens</w:t>
      </w:r>
      <w:bookmarkEnd w:id="21"/>
      <w:bookmarkEnd w:id="22"/>
      <w:bookmarkEnd w:id="23"/>
      <w:bookmarkEnd w:id="24"/>
      <w:bookmarkEnd w:id="25"/>
      <w:bookmarkEnd w:id="26"/>
    </w:p>
    <w:p w14:paraId="006DA44A" w14:textId="77777777" w:rsidR="00232D3D" w:rsidRDefault="00232D3D" w:rsidP="00DE6D02">
      <w:pPr>
        <w:spacing w:after="0"/>
        <w:ind w:firstLine="709"/>
        <w:contextualSpacing/>
      </w:pPr>
    </w:p>
    <w:p w14:paraId="487D0980" w14:textId="7E042789" w:rsidR="004A6839" w:rsidRPr="00573D0A" w:rsidRDefault="004A6839" w:rsidP="00DE6D02">
      <w:pPr>
        <w:spacing w:after="0"/>
        <w:ind w:firstLine="709"/>
        <w:contextualSpacing/>
      </w:pPr>
      <w:r>
        <w:t>Gemeente Oss</w:t>
      </w:r>
    </w:p>
    <w:p w14:paraId="7FE2556D" w14:textId="77777777" w:rsidR="004A6839" w:rsidRPr="00573D0A" w:rsidRDefault="004A6839" w:rsidP="00DE6D02">
      <w:pPr>
        <w:spacing w:after="0"/>
        <w:ind w:firstLine="709"/>
        <w:contextualSpacing/>
      </w:pPr>
      <w:r>
        <w:t>Afdeling Regioteam</w:t>
      </w:r>
    </w:p>
    <w:p w14:paraId="28F44650" w14:textId="77777777" w:rsidR="004A6839" w:rsidRPr="00573D0A" w:rsidRDefault="004A6839" w:rsidP="00DE6D02">
      <w:pPr>
        <w:spacing w:after="0"/>
        <w:ind w:firstLine="709"/>
        <w:contextualSpacing/>
      </w:pPr>
      <w:r>
        <w:t>Raadhuislaan 2, 5341 GM Oss</w:t>
      </w:r>
    </w:p>
    <w:p w14:paraId="3E3A2D86" w14:textId="77777777" w:rsidR="004A6839" w:rsidRPr="00573D0A" w:rsidRDefault="004A6839" w:rsidP="00DE6D02">
      <w:pPr>
        <w:spacing w:after="0"/>
        <w:ind w:firstLine="709"/>
        <w:contextualSpacing/>
      </w:pPr>
      <w:r>
        <w:t>Postbus 5, 5340 BA Oss</w:t>
      </w:r>
    </w:p>
    <w:p w14:paraId="58F14BF0" w14:textId="77777777" w:rsidR="004A6839" w:rsidRPr="00573D0A" w:rsidRDefault="004A6839" w:rsidP="00DE6D02">
      <w:pPr>
        <w:spacing w:after="0"/>
        <w:ind w:firstLine="709"/>
        <w:contextualSpacing/>
      </w:pPr>
      <w:r>
        <w:t>Naam contactpersoon: L. van Nimwegen</w:t>
      </w:r>
    </w:p>
    <w:p w14:paraId="3BFB235C" w14:textId="77777777" w:rsidR="004A6839" w:rsidRPr="00573D0A" w:rsidRDefault="004A6839" w:rsidP="00DE6D02">
      <w:pPr>
        <w:spacing w:after="0"/>
        <w:ind w:firstLine="709"/>
        <w:contextualSpacing/>
      </w:pPr>
      <w:r>
        <w:t>Telefoon: 14 0412</w:t>
      </w:r>
    </w:p>
    <w:p w14:paraId="2C884CDA" w14:textId="77777777" w:rsidR="004A6839" w:rsidRPr="00573D0A" w:rsidRDefault="004A6839" w:rsidP="00DE6D02">
      <w:pPr>
        <w:spacing w:after="0"/>
        <w:ind w:firstLine="709"/>
        <w:contextualSpacing/>
      </w:pPr>
      <w:r>
        <w:t>E-mail: zorginkoop@oss.nl</w:t>
      </w:r>
    </w:p>
    <w:p w14:paraId="03F9052A" w14:textId="77777777" w:rsidR="004A6839" w:rsidRPr="00573D0A" w:rsidRDefault="004A6839" w:rsidP="00DE6D02">
      <w:pPr>
        <w:spacing w:after="0"/>
        <w:contextualSpacing/>
      </w:pPr>
    </w:p>
    <w:p w14:paraId="0347D80E" w14:textId="77777777" w:rsidR="004A6839" w:rsidRDefault="004A6839" w:rsidP="00DE6D02">
      <w:pPr>
        <w:spacing w:after="0"/>
        <w:ind w:firstLine="708"/>
        <w:contextualSpacing/>
      </w:pPr>
      <w:r>
        <w:fldChar w:fldCharType="begin"/>
      </w:r>
      <w:r>
        <w:fldChar w:fldCharType="end"/>
      </w:r>
      <w:r>
        <w:t xml:space="preserve">Communicatie over deze inkoopprocedure verloopt uitsluitend via TenderNed </w:t>
      </w:r>
    </w:p>
    <w:p w14:paraId="7638429C" w14:textId="77777777" w:rsidR="004A6839" w:rsidRPr="00573D0A" w:rsidRDefault="004A6839" w:rsidP="00DE6D02">
      <w:pPr>
        <w:spacing w:after="0"/>
        <w:ind w:firstLine="708"/>
        <w:contextualSpacing/>
      </w:pPr>
      <w:r>
        <w:t>(www.Tenderned.nl).</w:t>
      </w:r>
    </w:p>
    <w:p w14:paraId="67605D59" w14:textId="77777777" w:rsidR="004A6839" w:rsidRPr="00573D0A" w:rsidRDefault="004A6839" w:rsidP="00DE6D02">
      <w:pPr>
        <w:spacing w:after="0"/>
        <w:ind w:left="708"/>
        <w:contextualSpacing/>
      </w:pPr>
    </w:p>
    <w:p w14:paraId="76EA07DB" w14:textId="77777777" w:rsidR="004A6839" w:rsidRDefault="004A6839" w:rsidP="00DE6D02">
      <w:pPr>
        <w:spacing w:after="0"/>
        <w:ind w:left="709"/>
        <w:contextualSpacing/>
      </w:pPr>
      <w:r>
        <w:t>Tijdens de inkoopprocedure mag u geen contact opnemen met medewerkers van de inkopende organisatie (inclusief de in paragraaf 1.1. genoemde gemeenten) over de inkoopprocedure, op geen enkele andere manier. De inkooporganisatie kan u dan uitsluiten van verdere deelname.</w:t>
      </w:r>
    </w:p>
    <w:p w14:paraId="0B3C4550" w14:textId="77777777" w:rsidR="004A6839" w:rsidRPr="00573D0A" w:rsidRDefault="004A6839" w:rsidP="004A6839"/>
    <w:p w14:paraId="223BBF25" w14:textId="5D62B3DC" w:rsidR="004A6839" w:rsidRPr="00573D0A" w:rsidRDefault="008676FD" w:rsidP="00750E5C">
      <w:pPr>
        <w:pStyle w:val="Onderkop1"/>
        <w:spacing w:before="0" w:after="0"/>
        <w:contextualSpacing/>
      </w:pPr>
      <w:bookmarkStart w:id="27" w:name="_Toc153876212"/>
      <w:bookmarkStart w:id="28" w:name="_Toc150863951"/>
      <w:bookmarkStart w:id="29" w:name="_Toc163123546"/>
      <w:bookmarkStart w:id="30" w:name="_Toc165276563"/>
      <w:bookmarkStart w:id="31" w:name="_Toc199795946"/>
      <w:bookmarkStart w:id="32" w:name="_Toc227858548"/>
      <w:r>
        <w:t xml:space="preserve">1.3 </w:t>
      </w:r>
      <w:r w:rsidR="00DE6D02">
        <w:tab/>
      </w:r>
      <w:r w:rsidR="004A6839">
        <w:t>Algemene informatie</w:t>
      </w:r>
      <w:bookmarkEnd w:id="27"/>
      <w:bookmarkEnd w:id="28"/>
      <w:bookmarkEnd w:id="29"/>
      <w:bookmarkEnd w:id="30"/>
      <w:bookmarkEnd w:id="31"/>
      <w:bookmarkEnd w:id="32"/>
    </w:p>
    <w:p w14:paraId="71A91128" w14:textId="77777777" w:rsidR="00232D3D" w:rsidRDefault="00232D3D" w:rsidP="00750E5C">
      <w:pPr>
        <w:spacing w:after="0"/>
        <w:ind w:left="709"/>
        <w:contextualSpacing/>
      </w:pPr>
    </w:p>
    <w:p w14:paraId="6920A0F1" w14:textId="3C039CF4" w:rsidR="004A6839" w:rsidRPr="00D15205" w:rsidRDefault="004A6839" w:rsidP="00750E5C">
      <w:pPr>
        <w:spacing w:after="0"/>
        <w:ind w:left="709"/>
        <w:contextualSpacing/>
      </w:pPr>
      <w:r w:rsidRPr="00D15205">
        <w:t>De gemeente Oss treedt op als Centrumgemeente en is verantwoordelijk voor de financiën, inkoop, coördinatie en uitvoering van het Regionaal Specialistisch Vangnet, waaronder Beschermd Wonen en aanvullende herstelgerichte voorzieningen zoals het Safehouse. De uitvoering vindt plaats in nauwe samenwerking met de regiogemeenten.</w:t>
      </w:r>
    </w:p>
    <w:p w14:paraId="23CB27BA" w14:textId="77777777" w:rsidR="004A6839" w:rsidRPr="00D15205" w:rsidRDefault="004A6839" w:rsidP="004A6839">
      <w:pPr>
        <w:spacing w:before="100" w:beforeAutospacing="1" w:after="100" w:afterAutospacing="1" w:line="300" w:lineRule="atLeast"/>
        <w:ind w:left="709"/>
      </w:pPr>
      <w:r w:rsidRPr="00D15205">
        <w:t xml:space="preserve">De </w:t>
      </w:r>
      <w:r>
        <w:t xml:space="preserve">regionale </w:t>
      </w:r>
      <w:r w:rsidRPr="00D15205">
        <w:t xml:space="preserve">samenwerking is structureel georganiseerd via bestuurlijke overleggen, ambtelijke werkgroepen en gezamenlijke uitvoeringsafspraken. Het regionale beleid is vastgelegd in het Koersdocument </w:t>
      </w:r>
      <w:r w:rsidRPr="00D15205">
        <w:rPr>
          <w:i/>
          <w:iCs/>
        </w:rPr>
        <w:t>Inwoners met een psychische kwetsbaarheid 2024–2028</w:t>
      </w:r>
      <w:r w:rsidRPr="00D15205">
        <w:t xml:space="preserve"> (regio BNO-O). Dit document vormt de basis voor de ontwikkeling en inzet van herstelgerichte en passende ondersteuning, met aandacht voor normalisatie, ondersteuning </w:t>
      </w:r>
      <w:r w:rsidRPr="00D15205">
        <w:lastRenderedPageBreak/>
        <w:t>in de wijk, preventie van escalatie en samenwerking binnen de keten van zorg, sociaal domein, veiligheid en wonen.</w:t>
      </w:r>
    </w:p>
    <w:p w14:paraId="43BFCCCF" w14:textId="77777777" w:rsidR="004A6839" w:rsidRPr="00D15205" w:rsidRDefault="004A6839" w:rsidP="004A6839">
      <w:pPr>
        <w:spacing w:before="100" w:beforeAutospacing="1" w:after="100" w:afterAutospacing="1" w:line="300" w:lineRule="atLeast"/>
        <w:ind w:left="709"/>
      </w:pPr>
      <w:r w:rsidRPr="00D15205">
        <w:t>Met deze gedeelde koers en de gezamenlijke uitvoeringsstructuur werken de gemeenten aan een sterk, duurzaam en toekomstbestendig aanbod voor inwoners die zijn aangewezen op herstelgerichte voorzieningen, Beschermd Wonen of andere vormen van intensieve ondersteuning.</w:t>
      </w:r>
    </w:p>
    <w:p w14:paraId="3020EA8E" w14:textId="77777777" w:rsidR="004A6839" w:rsidRPr="00573D0A" w:rsidRDefault="004A6839" w:rsidP="004A6839">
      <w:pPr>
        <w:sectPr w:rsidR="004A6839" w:rsidRPr="00573D0A" w:rsidSect="004A6839">
          <w:pgSz w:w="11906" w:h="16838"/>
          <w:pgMar w:top="1417" w:right="1417" w:bottom="1417" w:left="1417" w:header="708" w:footer="708" w:gutter="0"/>
          <w:cols w:space="708"/>
          <w:docGrid w:linePitch="360"/>
        </w:sectPr>
      </w:pPr>
    </w:p>
    <w:p w14:paraId="79D31CC1" w14:textId="77777777" w:rsidR="004A6839" w:rsidRPr="00573D0A" w:rsidRDefault="004A6839" w:rsidP="008676FD">
      <w:pPr>
        <w:pStyle w:val="Hoofdkop"/>
      </w:pPr>
      <w:bookmarkStart w:id="33" w:name="_Toc150863952"/>
      <w:bookmarkStart w:id="34" w:name="_Toc163123547"/>
      <w:bookmarkStart w:id="35" w:name="_Toc165276564"/>
      <w:bookmarkStart w:id="36" w:name="_Toc199795947"/>
      <w:bookmarkStart w:id="37" w:name="_Toc227858549"/>
      <w:r w:rsidRPr="00573D0A">
        <w:lastRenderedPageBreak/>
        <w:t>Beschrijving opdracht</w:t>
      </w:r>
      <w:bookmarkEnd w:id="33"/>
      <w:bookmarkEnd w:id="34"/>
      <w:bookmarkEnd w:id="35"/>
      <w:bookmarkEnd w:id="36"/>
      <w:bookmarkEnd w:id="37"/>
    </w:p>
    <w:p w14:paraId="330309C8" w14:textId="77777777" w:rsidR="004A6839" w:rsidRDefault="004A6839" w:rsidP="00FC4365">
      <w:pPr>
        <w:spacing w:after="0"/>
        <w:contextualSpacing/>
      </w:pPr>
    </w:p>
    <w:p w14:paraId="169B0644" w14:textId="6A5B08F7" w:rsidR="004A6839" w:rsidRDefault="008B732F" w:rsidP="00FC4365">
      <w:pPr>
        <w:pStyle w:val="Onderkop1"/>
        <w:spacing w:before="0" w:after="0"/>
        <w:contextualSpacing/>
      </w:pPr>
      <w:bookmarkStart w:id="38" w:name="_Toc150863953"/>
      <w:bookmarkStart w:id="39" w:name="_Toc163123548"/>
      <w:bookmarkStart w:id="40" w:name="_Toc165276565"/>
      <w:bookmarkStart w:id="41" w:name="_Toc199795948"/>
      <w:bookmarkStart w:id="42" w:name="_Toc227858550"/>
      <w:r>
        <w:t xml:space="preserve">2.1 </w:t>
      </w:r>
      <w:r w:rsidR="00DC1B09">
        <w:tab/>
      </w:r>
      <w:r w:rsidR="004A6839" w:rsidRPr="002152C7">
        <w:t>Uitgangspunten, doelstellingen en voorzieningen</w:t>
      </w:r>
      <w:bookmarkEnd w:id="38"/>
      <w:bookmarkEnd w:id="39"/>
      <w:bookmarkEnd w:id="40"/>
      <w:bookmarkEnd w:id="41"/>
      <w:bookmarkEnd w:id="42"/>
    </w:p>
    <w:p w14:paraId="544C128D" w14:textId="77777777" w:rsidR="004A6839" w:rsidRPr="002152C7" w:rsidRDefault="004A6839" w:rsidP="00FC4365">
      <w:pPr>
        <w:spacing w:after="0"/>
        <w:contextualSpacing/>
        <w:rPr>
          <w:color w:val="000000" w:themeColor="text1"/>
        </w:rPr>
      </w:pPr>
    </w:p>
    <w:p w14:paraId="05709FBD" w14:textId="77777777" w:rsidR="004A6839" w:rsidRPr="00FC4365" w:rsidRDefault="004A6839" w:rsidP="00D12579">
      <w:pPr>
        <w:pStyle w:val="Onderkop2"/>
        <w:spacing w:before="0" w:after="0"/>
        <w:contextualSpacing/>
        <w:rPr>
          <w:sz w:val="26"/>
          <w:szCs w:val="26"/>
        </w:rPr>
      </w:pPr>
      <w:bookmarkStart w:id="43" w:name="_Toc150863954"/>
      <w:bookmarkStart w:id="44" w:name="_Toc163123549"/>
      <w:bookmarkStart w:id="45" w:name="_Toc165276566"/>
      <w:bookmarkStart w:id="46" w:name="_Toc199795949"/>
      <w:bookmarkStart w:id="47" w:name="_Toc227858551"/>
      <w:r w:rsidRPr="00FC4365">
        <w:rPr>
          <w:sz w:val="26"/>
          <w:szCs w:val="26"/>
        </w:rPr>
        <w:t>2.1.1 Algemene beleidsuitgangspunten</w:t>
      </w:r>
      <w:bookmarkEnd w:id="43"/>
      <w:bookmarkEnd w:id="44"/>
      <w:bookmarkEnd w:id="45"/>
      <w:bookmarkEnd w:id="46"/>
      <w:bookmarkEnd w:id="47"/>
    </w:p>
    <w:p w14:paraId="2E4F873B" w14:textId="77777777" w:rsidR="00232D3D" w:rsidRDefault="00232D3D" w:rsidP="00D12579">
      <w:pPr>
        <w:spacing w:after="0"/>
        <w:ind w:left="709"/>
        <w:contextualSpacing/>
      </w:pPr>
    </w:p>
    <w:p w14:paraId="4CACDA72" w14:textId="5DC3743F" w:rsidR="004A6839" w:rsidRPr="001502FA" w:rsidRDefault="004A6839" w:rsidP="00D12579">
      <w:pPr>
        <w:spacing w:after="0"/>
        <w:ind w:left="709"/>
        <w:contextualSpacing/>
      </w:pPr>
      <w:r w:rsidRPr="001502FA">
        <w:t xml:space="preserve">Regio Brabant Noordoost-Oost zet in op een samenleving waarin inwoners met een psychische kwetsbaarheid volwaardig mee kunnen doen. De Opdrachtgever handelt vanuit de Wmo 2015 en het regionale koersdocument </w:t>
      </w:r>
      <w:r w:rsidRPr="001502FA">
        <w:rPr>
          <w:i/>
          <w:iCs/>
        </w:rPr>
        <w:t>Inwoners met een psychische kwetsbaarheid 2024–2028</w:t>
      </w:r>
      <w:r w:rsidRPr="001502FA">
        <w:t xml:space="preserve"> (regio BNO-O) </w:t>
      </w:r>
      <w:r>
        <w:t>,</w:t>
      </w:r>
      <w:r w:rsidRPr="001502FA">
        <w:t xml:space="preserve"> maar bovenal vanuit een gedeelde herstelgerichte visie. Ondersteuning richt zich hierbij op zingeving, het hervinden van betekenisvolle rollen, toekomstperspectief en het versterken van veerkracht. Het uitgangspunt is dat herstel geen lineair proces is, maar een persoonlijke zoektocht waarbij professionals aansluiten bij de eigen regie van de inwoner.</w:t>
      </w:r>
    </w:p>
    <w:p w14:paraId="1E451784" w14:textId="77777777" w:rsidR="004A6839" w:rsidRPr="004360FB" w:rsidRDefault="004A6839" w:rsidP="004A6839">
      <w:pPr>
        <w:spacing w:before="100" w:beforeAutospacing="1" w:after="100" w:afterAutospacing="1" w:line="300" w:lineRule="atLeast"/>
        <w:ind w:left="709"/>
      </w:pPr>
      <w:r w:rsidRPr="004360FB">
        <w:t xml:space="preserve">In lijn met het rapport van de Commissie Dannenberg streven de gemeenten binnen BNO-O naar een samenleving waarin iedere inwoner, ook met een psychische kwetsbaarheid, mee kan doen en er ruimte is voor een verscheidenheid aan mensen met verschillende vermogens. De regio kiest voor normalisatie en inclusie: inwoners wonen zo lang mogelijk thuis en blijven deel uitmaken van hun eigen sociale omgeving. Ondersteuning wordt daarbij zo licht als mogelijk ingezet, en alleen verzwaard wanneer dat nodig is. De gemeenten versterken deze aanpak met een goed georganiseerde lokale basis én met stevige integrale regionale ketensamenwerking. Steeds geldt: wonen gaat vóór opvang. </w:t>
      </w:r>
    </w:p>
    <w:p w14:paraId="5BA3DD19" w14:textId="77777777" w:rsidR="004A6839" w:rsidRPr="004360FB" w:rsidRDefault="004A6839" w:rsidP="004A6839">
      <w:pPr>
        <w:spacing w:before="100" w:beforeAutospacing="1" w:after="100" w:afterAutospacing="1" w:line="300" w:lineRule="atLeast"/>
        <w:ind w:left="709"/>
      </w:pPr>
      <w:r w:rsidRPr="004360FB">
        <w:t>Bovenstaande integrale speerpunten zijn waar mogelijk en/of noodzakelijk verwerkt in dit inkoopdocument.</w:t>
      </w:r>
    </w:p>
    <w:p w14:paraId="3865E020" w14:textId="77777777" w:rsidR="004A6839" w:rsidRPr="004360FB" w:rsidRDefault="004A6839" w:rsidP="00FC4365">
      <w:pPr>
        <w:spacing w:after="0"/>
        <w:ind w:left="709"/>
        <w:contextualSpacing/>
      </w:pPr>
      <w:r w:rsidRPr="004360FB">
        <w:t>Safehouses spelen hierin een belangrijke rol en passen bij de herstelgerichte visie en zorg dichtbij de leefwereld van de inwoner. Zij bieden een gestructureerde, veilige  leefomgeving waarin inwoners ruimte krijgen om te stabiliseren, vaardigheden te oefenen en stap voor stap toe te werken naar duurzaam herstel. De methodisch herstelgerichte begeleiding vormt daarbij het fundament.</w:t>
      </w:r>
    </w:p>
    <w:p w14:paraId="3753EF83" w14:textId="77777777" w:rsidR="004A6839" w:rsidRPr="00573D0A" w:rsidRDefault="004A6839" w:rsidP="00FC4365">
      <w:pPr>
        <w:spacing w:after="0"/>
        <w:ind w:firstLine="708"/>
        <w:contextualSpacing/>
      </w:pPr>
    </w:p>
    <w:p w14:paraId="2A183DCC" w14:textId="77777777" w:rsidR="004A6839" w:rsidRPr="00BF04BA" w:rsidRDefault="004A6839" w:rsidP="00D12579">
      <w:pPr>
        <w:pStyle w:val="Onderkop1"/>
        <w:spacing w:before="0" w:after="0"/>
        <w:ind w:firstLine="0"/>
        <w:contextualSpacing/>
      </w:pPr>
      <w:bookmarkStart w:id="48" w:name="_Toc150863955"/>
      <w:bookmarkStart w:id="49" w:name="_Toc163123550"/>
      <w:bookmarkStart w:id="50" w:name="_Toc165276567"/>
      <w:bookmarkStart w:id="51" w:name="_Toc199795950"/>
      <w:bookmarkStart w:id="52" w:name="_Toc227858552"/>
      <w:r>
        <w:t xml:space="preserve">2.1.2 </w:t>
      </w:r>
      <w:r w:rsidRPr="00BF04BA">
        <w:t>Norm voor Opdrachtgeverschap</w:t>
      </w:r>
      <w:bookmarkEnd w:id="48"/>
      <w:bookmarkEnd w:id="49"/>
      <w:bookmarkEnd w:id="50"/>
      <w:bookmarkEnd w:id="51"/>
      <w:bookmarkEnd w:id="52"/>
    </w:p>
    <w:p w14:paraId="2197F5F5" w14:textId="77777777" w:rsidR="00232D3D" w:rsidRDefault="00232D3D" w:rsidP="00D12579">
      <w:pPr>
        <w:spacing w:after="0"/>
        <w:ind w:left="709"/>
        <w:contextualSpacing/>
      </w:pPr>
    </w:p>
    <w:p w14:paraId="7F078057" w14:textId="01EAA3BB" w:rsidR="004A6839" w:rsidRPr="00A93145" w:rsidRDefault="004A6839" w:rsidP="00D12579">
      <w:pPr>
        <w:spacing w:after="0"/>
        <w:ind w:left="709"/>
        <w:contextualSpacing/>
      </w:pPr>
      <w:r w:rsidRPr="00A93145">
        <w:t>De gemeenten in de regio Brabant Noordoost</w:t>
      </w:r>
      <w:r w:rsidRPr="00A93145">
        <w:noBreakHyphen/>
        <w:t>Oost geven uitvoering aan hun opdrachtgeverschap conform de Norm voor Opdrachtgeverschap (</w:t>
      </w:r>
      <w:proofErr w:type="spellStart"/>
      <w:r w:rsidRPr="00A93145">
        <w:t>NvO</w:t>
      </w:r>
      <w:proofErr w:type="spellEnd"/>
      <w:r w:rsidRPr="00A93145">
        <w:t>), zoals door gemeenten in VNG</w:t>
      </w:r>
      <w:r w:rsidRPr="00A93145">
        <w:noBreakHyphen/>
        <w:t xml:space="preserve">verband is vastgesteld. De </w:t>
      </w:r>
      <w:proofErr w:type="spellStart"/>
      <w:r w:rsidRPr="00A93145">
        <w:t>NvO</w:t>
      </w:r>
      <w:proofErr w:type="spellEnd"/>
      <w:r w:rsidRPr="00A93145">
        <w:t xml:space="preserve"> biedt een kader voor kwalitatief goed, duurzaam en samenhangend opdrachtgeverschap binnen het sociaal domein, waarbij gemeenten erkennen dat regionale en bovenregionale samenwerking noodzakelijk is om de beschikbaarheid van zorgfuncties te borgen, het zorglandschap zorgvuldig te transformeren en bureaucratie te verminderen. Deze uitgangspunten zijn rechtstreeks van toepassing op de inkoop en uitvoering van ondersteuning door een </w:t>
      </w:r>
      <w:proofErr w:type="spellStart"/>
      <w:r>
        <w:t>safehouse</w:t>
      </w:r>
      <w:proofErr w:type="spellEnd"/>
      <w:r>
        <w:t>.</w:t>
      </w:r>
      <w:r w:rsidRPr="00A93145">
        <w:t xml:space="preserve"> Het is een Wmo</w:t>
      </w:r>
      <w:r w:rsidRPr="00A93145">
        <w:noBreakHyphen/>
        <w:t xml:space="preserve">voorziening die </w:t>
      </w:r>
      <w:r w:rsidRPr="00A93145">
        <w:lastRenderedPageBreak/>
        <w:t xml:space="preserve">een veilige, herstelgerichte woonomgeving biedt aan inwoners die na een verslavingsbehandeling behoefte hebben aan verdere begeleiding, structuur en terugvalpreventie. De landelijke Handreiking Safehouses (VNG, 2024) beschrijft hierbij de rolverdeling tussen gemeenten, aanbieders en ketenpartners, en onderstreept het belang van duidelijke </w:t>
      </w:r>
      <w:proofErr w:type="spellStart"/>
      <w:r w:rsidRPr="00A93145">
        <w:t>contractering</w:t>
      </w:r>
      <w:proofErr w:type="spellEnd"/>
      <w:r w:rsidRPr="00A93145">
        <w:t xml:space="preserve">, passende leveringsvormen en goede ketensamenwerking. </w:t>
      </w:r>
    </w:p>
    <w:p w14:paraId="5DD38383" w14:textId="36BF41FD" w:rsidR="004A6839" w:rsidRPr="00F86D84" w:rsidRDefault="004A6839" w:rsidP="004A6839">
      <w:pPr>
        <w:spacing w:before="100" w:beforeAutospacing="1" w:after="100" w:afterAutospacing="1" w:line="300" w:lineRule="atLeast"/>
        <w:ind w:left="709"/>
      </w:pPr>
      <w:r w:rsidRPr="00F86D84">
        <w:t xml:space="preserve">De Opdrachtgever draagt zorg voor de juiste randvoorwaarden voor effectieve uitvoering door heldere eisen te stellen aan kwaliteit, deskundigheid, monitoring en verantwoording, zoals opgenomen in de Uitvoeringsvoorwaarden Safehouse (Bijlage </w:t>
      </w:r>
      <w:r w:rsidR="00346F67">
        <w:t>3</w:t>
      </w:r>
      <w:r w:rsidRPr="00F86D84">
        <w:t xml:space="preserve">). Door deze regionale samenwerking en </w:t>
      </w:r>
      <w:r>
        <w:t>uniform kwaliteitskader</w:t>
      </w:r>
      <w:r w:rsidRPr="00F86D84">
        <w:t xml:space="preserve"> borgen de gemeenten een samenhangende, toekomstbestendige en doelmatige uitvoering van specialistische Wmo</w:t>
      </w:r>
      <w:r w:rsidRPr="00F86D84">
        <w:noBreakHyphen/>
      </w:r>
      <w:r>
        <w:t>ondersteuning</w:t>
      </w:r>
      <w:r w:rsidRPr="00F86D84">
        <w:t>.</w:t>
      </w:r>
    </w:p>
    <w:p w14:paraId="5B02B474" w14:textId="77777777" w:rsidR="004A6839" w:rsidRPr="00BF04BA" w:rsidRDefault="004A6839" w:rsidP="00346F67">
      <w:pPr>
        <w:pStyle w:val="Onderkop1"/>
        <w:spacing w:before="0" w:after="0"/>
        <w:ind w:hanging="1"/>
        <w:contextualSpacing/>
      </w:pPr>
      <w:bookmarkStart w:id="53" w:name="_Toc150863956"/>
      <w:bookmarkStart w:id="54" w:name="_Toc163123551"/>
      <w:bookmarkStart w:id="55" w:name="_Toc165276568"/>
      <w:bookmarkStart w:id="56" w:name="_Toc199795951"/>
      <w:bookmarkStart w:id="57" w:name="_Toc227858553"/>
      <w:r>
        <w:t xml:space="preserve">2.1.3 </w:t>
      </w:r>
      <w:r w:rsidRPr="00BF04BA">
        <w:t>Inkoopdoelstelling(en)</w:t>
      </w:r>
      <w:bookmarkEnd w:id="53"/>
      <w:bookmarkEnd w:id="54"/>
      <w:bookmarkEnd w:id="55"/>
      <w:bookmarkEnd w:id="56"/>
      <w:bookmarkEnd w:id="57"/>
    </w:p>
    <w:p w14:paraId="72DF7724" w14:textId="77777777" w:rsidR="00232D3D" w:rsidRDefault="00232D3D" w:rsidP="00346F67">
      <w:pPr>
        <w:spacing w:after="0"/>
        <w:ind w:left="709"/>
        <w:contextualSpacing/>
      </w:pPr>
    </w:p>
    <w:p w14:paraId="11D1BD81" w14:textId="344FC258" w:rsidR="004A6839" w:rsidRPr="00121AF4" w:rsidRDefault="004A6839" w:rsidP="00346F67">
      <w:pPr>
        <w:spacing w:after="0"/>
        <w:ind w:left="709"/>
        <w:contextualSpacing/>
      </w:pPr>
      <w:r w:rsidRPr="00121AF4">
        <w:t>Met deze inkoop wil de Opdrachtgever:</w:t>
      </w:r>
    </w:p>
    <w:p w14:paraId="365FBEE7" w14:textId="77777777" w:rsidR="004A6839" w:rsidRPr="00121AF4" w:rsidRDefault="004A6839" w:rsidP="00144C34">
      <w:pPr>
        <w:pStyle w:val="Lijstalinea"/>
        <w:numPr>
          <w:ilvl w:val="0"/>
          <w:numId w:val="13"/>
        </w:numPr>
        <w:tabs>
          <w:tab w:val="num" w:pos="1134"/>
        </w:tabs>
        <w:spacing w:before="100" w:beforeAutospacing="1" w:after="100" w:afterAutospacing="1" w:line="300" w:lineRule="atLeast"/>
        <w:ind w:left="1134" w:hanging="425"/>
      </w:pPr>
      <w:r w:rsidRPr="00121AF4">
        <w:t>Toegankelijke, veilige en herstelgerichte Safehouse</w:t>
      </w:r>
      <w:r w:rsidRPr="00121AF4">
        <w:noBreakHyphen/>
        <w:t>ondersteuning realiseren, passend voor inwoners die recent een verslavingsbehandeling hebben afgerond en intensieve structuur nodig hebben.</w:t>
      </w:r>
    </w:p>
    <w:p w14:paraId="122B70DF" w14:textId="77777777" w:rsidR="004A6839" w:rsidRPr="00121AF4" w:rsidRDefault="004A6839" w:rsidP="00144C34">
      <w:pPr>
        <w:pStyle w:val="Lijstalinea"/>
        <w:numPr>
          <w:ilvl w:val="0"/>
          <w:numId w:val="13"/>
        </w:numPr>
        <w:tabs>
          <w:tab w:val="num" w:pos="1134"/>
        </w:tabs>
        <w:spacing w:before="100" w:beforeAutospacing="1" w:after="100" w:afterAutospacing="1" w:line="300" w:lineRule="atLeast"/>
        <w:ind w:left="1134" w:hanging="425"/>
      </w:pPr>
      <w:r w:rsidRPr="00121AF4">
        <w:t>Instroom in zwaardere voorzieningen voorkomen, zoals Beschermd Wonen of Maatschappelijke Opvang, door vroegtijdig de juiste ondersteuning in te zetten.</w:t>
      </w:r>
    </w:p>
    <w:p w14:paraId="2795E365" w14:textId="77777777" w:rsidR="004A6839" w:rsidRPr="00121AF4" w:rsidRDefault="004A6839" w:rsidP="00144C34">
      <w:pPr>
        <w:pStyle w:val="Lijstalinea"/>
        <w:numPr>
          <w:ilvl w:val="0"/>
          <w:numId w:val="13"/>
        </w:numPr>
        <w:tabs>
          <w:tab w:val="num" w:pos="1134"/>
        </w:tabs>
        <w:spacing w:before="100" w:beforeAutospacing="1" w:after="100" w:afterAutospacing="1" w:line="300" w:lineRule="atLeast"/>
        <w:ind w:left="1134" w:hanging="425"/>
      </w:pPr>
      <w:r w:rsidRPr="00121AF4">
        <w:t xml:space="preserve">Duurzame uitstroom bevorderen naar zelfstandig(er) wonen, met een stabiel netwerk en zinvolle </w:t>
      </w:r>
      <w:proofErr w:type="spellStart"/>
      <w:r w:rsidRPr="00121AF4">
        <w:t>daginvulling</w:t>
      </w:r>
      <w:proofErr w:type="spellEnd"/>
      <w:r w:rsidRPr="00121AF4">
        <w:t>.</w:t>
      </w:r>
    </w:p>
    <w:p w14:paraId="3C415F00" w14:textId="77777777" w:rsidR="004A6839" w:rsidRPr="00121AF4" w:rsidRDefault="004A6839" w:rsidP="00144C34">
      <w:pPr>
        <w:pStyle w:val="Lijstalinea"/>
        <w:numPr>
          <w:ilvl w:val="0"/>
          <w:numId w:val="13"/>
        </w:numPr>
        <w:tabs>
          <w:tab w:val="num" w:pos="1134"/>
        </w:tabs>
        <w:spacing w:before="100" w:beforeAutospacing="1" w:after="100" w:afterAutospacing="1" w:line="300" w:lineRule="atLeast"/>
        <w:ind w:left="1134" w:hanging="425"/>
      </w:pPr>
      <w:r w:rsidRPr="00121AF4">
        <w:t>Professionele kwaliteit en samenwerking versterken, zowel binnen de voorziening als in de (boven)regionale keten.</w:t>
      </w:r>
    </w:p>
    <w:p w14:paraId="4A9E549D" w14:textId="77777777" w:rsidR="004A6839" w:rsidRPr="00F06DA3" w:rsidRDefault="004A6839" w:rsidP="00F06DA3">
      <w:pPr>
        <w:pStyle w:val="Geenafstand"/>
        <w:ind w:firstLine="708"/>
        <w:rPr>
          <w:i/>
          <w:iCs/>
        </w:rPr>
      </w:pPr>
      <w:bookmarkStart w:id="58" w:name="_Toc150863957"/>
      <w:bookmarkStart w:id="59" w:name="_Toc163123552"/>
      <w:bookmarkStart w:id="60" w:name="_Toc165276569"/>
      <w:bookmarkStart w:id="61" w:name="_Toc199795952"/>
      <w:r w:rsidRPr="00F06DA3">
        <w:rPr>
          <w:i/>
          <w:iCs/>
        </w:rPr>
        <w:t>Omschrijving en afbakening in te kopen voorzieningen</w:t>
      </w:r>
      <w:bookmarkEnd w:id="58"/>
      <w:bookmarkEnd w:id="59"/>
      <w:bookmarkEnd w:id="60"/>
      <w:bookmarkEnd w:id="61"/>
    </w:p>
    <w:p w14:paraId="3720E5B3" w14:textId="1B5C50D1" w:rsidR="004A6839" w:rsidRPr="00F7752A" w:rsidRDefault="004A6839" w:rsidP="004A6839">
      <w:pPr>
        <w:spacing w:before="100" w:beforeAutospacing="1" w:after="100" w:afterAutospacing="1" w:line="300" w:lineRule="atLeast"/>
        <w:ind w:left="709"/>
      </w:pPr>
      <w:r w:rsidRPr="00F7752A">
        <w:t xml:space="preserve">Het Safehouse is een kleinschalige, herstelgerichte woonomgeving waar inwoners voor maximaal één jaar kunnen verblijven. De aard en inhoud van de ondersteuning zijn nader uitgewerkt in de Productomschrijving (Bijlage </w:t>
      </w:r>
      <w:r w:rsidR="00D4575A" w:rsidRPr="00D4575A">
        <w:t>2</w:t>
      </w:r>
      <w:r w:rsidRPr="00D4575A">
        <w:t>)</w:t>
      </w:r>
      <w:r w:rsidRPr="00F7752A">
        <w:t xml:space="preserve"> en omvatten in ieder geval:</w:t>
      </w:r>
    </w:p>
    <w:p w14:paraId="0418D5A1" w14:textId="77777777" w:rsidR="004A6839" w:rsidRPr="00835C48" w:rsidRDefault="004A6839" w:rsidP="00144C34">
      <w:pPr>
        <w:numPr>
          <w:ilvl w:val="0"/>
          <w:numId w:val="14"/>
        </w:numPr>
        <w:tabs>
          <w:tab w:val="clear" w:pos="720"/>
          <w:tab w:val="num" w:pos="1134"/>
        </w:tabs>
        <w:spacing w:before="100" w:beforeAutospacing="1" w:after="100" w:afterAutospacing="1" w:line="300" w:lineRule="atLeast"/>
        <w:ind w:left="1134" w:hanging="425"/>
      </w:pPr>
      <w:r w:rsidRPr="00835C48">
        <w:t>intensieve individuele begeleiding</w:t>
      </w:r>
    </w:p>
    <w:p w14:paraId="47C82D8C" w14:textId="77777777" w:rsidR="004A6839" w:rsidRPr="00835C48" w:rsidRDefault="004A6839" w:rsidP="00144C34">
      <w:pPr>
        <w:numPr>
          <w:ilvl w:val="0"/>
          <w:numId w:val="14"/>
        </w:numPr>
        <w:tabs>
          <w:tab w:val="clear" w:pos="720"/>
          <w:tab w:val="num" w:pos="1134"/>
        </w:tabs>
        <w:spacing w:before="100" w:beforeAutospacing="1" w:after="100" w:afterAutospacing="1" w:line="300" w:lineRule="atLeast"/>
        <w:ind w:left="1134" w:hanging="425"/>
      </w:pPr>
      <w:r w:rsidRPr="00835C48">
        <w:t xml:space="preserve">groepsactiviteiten en een herstelgerichte </w:t>
      </w:r>
      <w:proofErr w:type="spellStart"/>
      <w:r w:rsidRPr="00835C48">
        <w:t>daginvulling</w:t>
      </w:r>
      <w:proofErr w:type="spellEnd"/>
    </w:p>
    <w:p w14:paraId="65882634" w14:textId="77777777" w:rsidR="004A6839" w:rsidRPr="00835C48" w:rsidRDefault="004A6839" w:rsidP="00144C34">
      <w:pPr>
        <w:numPr>
          <w:ilvl w:val="0"/>
          <w:numId w:val="14"/>
        </w:numPr>
        <w:tabs>
          <w:tab w:val="clear" w:pos="720"/>
          <w:tab w:val="num" w:pos="1134"/>
        </w:tabs>
        <w:spacing w:before="100" w:beforeAutospacing="1" w:after="100" w:afterAutospacing="1" w:line="300" w:lineRule="atLeast"/>
        <w:ind w:left="1134" w:hanging="425"/>
      </w:pPr>
      <w:r w:rsidRPr="00835C48">
        <w:t xml:space="preserve">24/7 telefonische bereikbaarheid en op afroep beschikbare fysieke </w:t>
      </w:r>
      <w:proofErr w:type="spellStart"/>
      <w:r w:rsidRPr="00835C48">
        <w:t>achtervang</w:t>
      </w:r>
      <w:proofErr w:type="spellEnd"/>
    </w:p>
    <w:p w14:paraId="332E8AA2" w14:textId="77777777" w:rsidR="004A6839" w:rsidRPr="00835C48" w:rsidRDefault="004A6839" w:rsidP="00144C34">
      <w:pPr>
        <w:numPr>
          <w:ilvl w:val="0"/>
          <w:numId w:val="14"/>
        </w:numPr>
        <w:tabs>
          <w:tab w:val="clear" w:pos="720"/>
          <w:tab w:val="num" w:pos="1134"/>
        </w:tabs>
        <w:spacing w:before="100" w:beforeAutospacing="1" w:after="100" w:afterAutospacing="1" w:line="300" w:lineRule="atLeast"/>
        <w:ind w:left="1134" w:hanging="425"/>
      </w:pPr>
      <w:r w:rsidRPr="00835C48">
        <w:t>methodisch herstelgericht werken conform erkende standaarden</w:t>
      </w:r>
    </w:p>
    <w:p w14:paraId="1B89385A" w14:textId="57EF64BB" w:rsidR="004A6839" w:rsidRPr="006E01F5" w:rsidRDefault="004A6839" w:rsidP="1B24D9C8">
      <w:pPr>
        <w:spacing w:before="100" w:beforeAutospacing="1" w:after="100" w:afterAutospacing="1" w:line="300" w:lineRule="atLeast"/>
        <w:ind w:left="709"/>
      </w:pPr>
      <w:r>
        <w:t xml:space="preserve">De uitvoering van het Safehouse vindt plaats conform de Uitvoeringsvoorwaarden Safehouse (Bijlage </w:t>
      </w:r>
      <w:r w:rsidR="00D4575A">
        <w:t>3</w:t>
      </w:r>
      <w:r>
        <w:t>). Het Safehouse biedt nadrukkelijk geen behandeling en geen 24-uurs toezicht. Wonen maakt geen onderdeel uit van de ondersteuning; inwoners huren zelfstandig hun woonruimte, in lijn met het principe van scheiden van wonen en zorg. Het Safehouse is daarmee geen Beschermd Wonen</w:t>
      </w:r>
      <w:r>
        <w:noBreakHyphen/>
        <w:t>voorziening en wordt niet ingezet als oplossing voor woonproblematiek. Het betreft een tijdelijke, veilige en gestructureerde omgeving gericht op herstel en doorstroom naar zelfstandig(er) w</w:t>
      </w:r>
      <w:r w:rsidRPr="1B24D9C8">
        <w:rPr>
          <w:rFonts w:eastAsiaTheme="minorEastAsia"/>
        </w:rPr>
        <w:t>onen.</w:t>
      </w:r>
    </w:p>
    <w:p w14:paraId="72BA6277" w14:textId="626520B4" w:rsidR="4BBF82F9" w:rsidRDefault="4BBF82F9" w:rsidP="1B24D9C8">
      <w:pPr>
        <w:pStyle w:val="Kop5"/>
        <w:ind w:firstLine="708"/>
      </w:pPr>
      <w:r w:rsidRPr="1B24D9C8">
        <w:rPr>
          <w:rFonts w:asciiTheme="minorHAnsi" w:eastAsiaTheme="minorEastAsia" w:hAnsiTheme="minorHAnsi" w:cstheme="minorBidi"/>
          <w:color w:val="auto"/>
          <w:sz w:val="22"/>
          <w:szCs w:val="22"/>
          <w:lang w:eastAsia="en-US"/>
        </w:rPr>
        <w:lastRenderedPageBreak/>
        <w:t xml:space="preserve">De verwachting is dat </w:t>
      </w:r>
      <w:r w:rsidR="092E1E53" w:rsidRPr="1B24D9C8">
        <w:rPr>
          <w:rFonts w:asciiTheme="minorHAnsi" w:eastAsiaTheme="minorEastAsia" w:hAnsiTheme="minorHAnsi" w:cstheme="minorBidi"/>
          <w:color w:val="auto"/>
          <w:sz w:val="22"/>
          <w:szCs w:val="22"/>
          <w:lang w:eastAsia="en-US"/>
        </w:rPr>
        <w:t xml:space="preserve">er jaarlijks tussen de 50 en 80 inwoners van deze voorziening gebruik </w:t>
      </w:r>
      <w:r>
        <w:tab/>
      </w:r>
      <w:r w:rsidR="092E1E53" w:rsidRPr="1B24D9C8">
        <w:rPr>
          <w:rFonts w:asciiTheme="minorHAnsi" w:eastAsiaTheme="minorEastAsia" w:hAnsiTheme="minorHAnsi" w:cstheme="minorBidi"/>
          <w:color w:val="auto"/>
          <w:sz w:val="22"/>
          <w:szCs w:val="22"/>
          <w:lang w:eastAsia="en-US"/>
        </w:rPr>
        <w:t>moeten maken. Aan deze aantallen kunnen geen rechten word</w:t>
      </w:r>
      <w:r w:rsidR="67D353F0" w:rsidRPr="1B24D9C8">
        <w:rPr>
          <w:rFonts w:asciiTheme="minorHAnsi" w:eastAsiaTheme="minorEastAsia" w:hAnsiTheme="minorHAnsi" w:cstheme="minorBidi"/>
          <w:color w:val="auto"/>
          <w:sz w:val="22"/>
          <w:szCs w:val="22"/>
          <w:lang w:eastAsia="en-US"/>
        </w:rPr>
        <w:t xml:space="preserve">en ontleend. Het tarief is  </w:t>
      </w:r>
      <w:r>
        <w:tab/>
      </w:r>
      <w:r w:rsidR="67D353F0" w:rsidRPr="1B24D9C8">
        <w:rPr>
          <w:rFonts w:asciiTheme="minorHAnsi" w:eastAsiaTheme="minorEastAsia" w:hAnsiTheme="minorHAnsi" w:cstheme="minorBidi"/>
          <w:color w:val="auto"/>
          <w:sz w:val="22"/>
          <w:szCs w:val="22"/>
          <w:lang w:eastAsia="en-US"/>
        </w:rPr>
        <w:t>12</w:t>
      </w:r>
      <w:r w:rsidR="47AFC9EC" w:rsidRPr="1B24D9C8">
        <w:rPr>
          <w:rFonts w:asciiTheme="minorHAnsi" w:eastAsiaTheme="minorEastAsia" w:hAnsiTheme="minorHAnsi" w:cstheme="minorBidi"/>
          <w:color w:val="auto"/>
          <w:sz w:val="22"/>
          <w:szCs w:val="22"/>
          <w:lang w:eastAsia="en-US"/>
        </w:rPr>
        <w:t xml:space="preserve">8,94 </w:t>
      </w:r>
      <w:r>
        <w:tab/>
      </w:r>
      <w:r w:rsidR="5DDB847E" w:rsidRPr="1B24D9C8">
        <w:rPr>
          <w:rFonts w:asciiTheme="minorHAnsi" w:eastAsiaTheme="minorEastAsia" w:hAnsiTheme="minorHAnsi" w:cstheme="minorBidi"/>
          <w:color w:val="auto"/>
          <w:sz w:val="22"/>
          <w:szCs w:val="22"/>
          <w:lang w:eastAsia="en-US"/>
        </w:rPr>
        <w:t>Euro per dag per cliënt.</w:t>
      </w:r>
    </w:p>
    <w:p w14:paraId="3E723C6A" w14:textId="77777777" w:rsidR="006609FB" w:rsidRDefault="006609FB" w:rsidP="00232D3D">
      <w:pPr>
        <w:pStyle w:val="Onderkop1"/>
        <w:spacing w:before="0" w:after="0"/>
        <w:contextualSpacing/>
      </w:pPr>
      <w:bookmarkStart w:id="62" w:name="_Toc150863958"/>
      <w:bookmarkStart w:id="63" w:name="_Toc163123553"/>
      <w:bookmarkStart w:id="64" w:name="_Toc165276570"/>
      <w:bookmarkStart w:id="65" w:name="_Toc199795953"/>
    </w:p>
    <w:p w14:paraId="7A43A3D1" w14:textId="0537883D" w:rsidR="004A6839" w:rsidRPr="00573D0A" w:rsidRDefault="00937A02" w:rsidP="00232D3D">
      <w:pPr>
        <w:pStyle w:val="Onderkop1"/>
        <w:spacing w:before="0" w:after="0"/>
        <w:contextualSpacing/>
      </w:pPr>
      <w:bookmarkStart w:id="66" w:name="_Toc227858554"/>
      <w:r>
        <w:t xml:space="preserve">2.2 </w:t>
      </w:r>
      <w:r w:rsidR="0095746A">
        <w:tab/>
      </w:r>
      <w:r w:rsidR="004A6839" w:rsidRPr="00573D0A">
        <w:t xml:space="preserve">Toeleiding van </w:t>
      </w:r>
      <w:r w:rsidR="004A6839">
        <w:t>Inwoners</w:t>
      </w:r>
      <w:r w:rsidR="004A6839" w:rsidRPr="00573D0A">
        <w:t xml:space="preserve"> naar voorzieningen</w:t>
      </w:r>
      <w:bookmarkEnd w:id="62"/>
      <w:bookmarkEnd w:id="63"/>
      <w:bookmarkEnd w:id="64"/>
      <w:bookmarkEnd w:id="65"/>
      <w:bookmarkEnd w:id="66"/>
    </w:p>
    <w:p w14:paraId="5E4C6872" w14:textId="77777777" w:rsidR="00232D3D" w:rsidRDefault="00232D3D" w:rsidP="00232D3D">
      <w:pPr>
        <w:spacing w:after="0"/>
        <w:ind w:left="709"/>
        <w:contextualSpacing/>
      </w:pPr>
    </w:p>
    <w:p w14:paraId="0FF081F0" w14:textId="7B1B3851" w:rsidR="004A6839" w:rsidRPr="0035414D" w:rsidRDefault="004A6839" w:rsidP="00232D3D">
      <w:pPr>
        <w:spacing w:after="0"/>
        <w:ind w:left="709"/>
        <w:contextualSpacing/>
      </w:pPr>
      <w:r w:rsidRPr="0035414D">
        <w:t>Toeleiding van inwoners naar de voorziening loopt via de Regionale Toegang vanuit de Centrumgemeente, die beoordeelt of een Safehouse</w:t>
      </w:r>
      <w:r w:rsidRPr="0035414D">
        <w:noBreakHyphen/>
        <w:t>traject passend is op basis van motivatie, behandelgeschiedenis, risico op terugval en beschikbare vervolgwoonruimte.</w:t>
      </w:r>
    </w:p>
    <w:p w14:paraId="18B59527" w14:textId="77777777" w:rsidR="004A6839" w:rsidRPr="0035414D" w:rsidRDefault="004A6839" w:rsidP="004A6839">
      <w:pPr>
        <w:spacing w:before="100" w:beforeAutospacing="1" w:after="100" w:afterAutospacing="1" w:line="300" w:lineRule="atLeast"/>
        <w:ind w:left="709"/>
      </w:pPr>
      <w:r w:rsidRPr="0035414D">
        <w:t xml:space="preserve">Binnen acht weken na start stelt de Opdrachtnemer een trajectplan op waarin doelen, </w:t>
      </w:r>
      <w:proofErr w:type="spellStart"/>
      <w:r w:rsidRPr="0035414D">
        <w:t>daginvulling</w:t>
      </w:r>
      <w:proofErr w:type="spellEnd"/>
      <w:r w:rsidRPr="0035414D">
        <w:t>, herstelperspectief en de route naar uitstroom helder zijn uitgewerkt en gekoppeld aan de herstelvisie.</w:t>
      </w:r>
    </w:p>
    <w:p w14:paraId="54DD07AB" w14:textId="03A5EB38" w:rsidR="004A6839" w:rsidRDefault="00937A02" w:rsidP="00EE5481">
      <w:pPr>
        <w:pStyle w:val="Onderkop1"/>
      </w:pPr>
      <w:bookmarkStart w:id="67" w:name="_Toc150863959"/>
      <w:bookmarkStart w:id="68" w:name="_Toc163123554"/>
      <w:bookmarkStart w:id="69" w:name="_Toc165276571"/>
      <w:bookmarkStart w:id="70" w:name="_Toc199795954"/>
      <w:bookmarkStart w:id="71" w:name="_Toc227858555"/>
      <w:r>
        <w:t xml:space="preserve">2.3 </w:t>
      </w:r>
      <w:r w:rsidR="0095746A">
        <w:tab/>
      </w:r>
      <w:r w:rsidR="004A6839" w:rsidRPr="00573D0A">
        <w:t>Monitoring, sturing, toezicht en leren</w:t>
      </w:r>
      <w:bookmarkEnd w:id="67"/>
      <w:bookmarkEnd w:id="68"/>
      <w:bookmarkEnd w:id="69"/>
      <w:bookmarkEnd w:id="70"/>
      <w:bookmarkEnd w:id="71"/>
    </w:p>
    <w:p w14:paraId="3974E4E8" w14:textId="77777777" w:rsidR="004A6839" w:rsidRPr="008951A0" w:rsidRDefault="004A6839" w:rsidP="004A6839">
      <w:pPr>
        <w:ind w:left="708"/>
        <w:rPr>
          <w:i/>
          <w:iCs/>
        </w:rPr>
      </w:pPr>
      <w:r w:rsidRPr="008951A0">
        <w:rPr>
          <w:i/>
          <w:iCs/>
        </w:rPr>
        <w:t>Wet bevorderen samenwerking en rechtmatige zorg en de Uitvoeringsregeling Waarschuwingsregister zorgfraude</w:t>
      </w:r>
    </w:p>
    <w:p w14:paraId="547E708C" w14:textId="77777777" w:rsidR="004A6839" w:rsidRPr="00DD0B49" w:rsidRDefault="004A6839" w:rsidP="004A6839">
      <w:pPr>
        <w:ind w:left="708"/>
      </w:pPr>
      <w:r w:rsidRPr="008951A0">
        <w:t>Op 1 januari 2025 trad de Wet bevorderen samenwerking en rechtmatige zorg (</w:t>
      </w:r>
      <w:proofErr w:type="spellStart"/>
      <w:r w:rsidRPr="008951A0">
        <w:t>Wbsrz</w:t>
      </w:r>
      <w:proofErr w:type="spellEnd"/>
      <w:r w:rsidRPr="008951A0">
        <w:t>) in werking. Op basis van deze wet en de Uitvoeringsregeling Waarschuwingsregister zorgfraude delen gemeenten, zorgverzekeraars en zorgkantoren gegevens met elkaar over (rechts)personen die fraude in de zorg hebben gepleegd. Opdrachtgever gebruikt daarvoor als gemeente(n) het Waarschuwingsregister.</w:t>
      </w:r>
    </w:p>
    <w:p w14:paraId="11B083A7" w14:textId="5A4D118E" w:rsidR="004A6839" w:rsidRPr="0029397E" w:rsidRDefault="004A6839" w:rsidP="004A6839">
      <w:pPr>
        <w:spacing w:before="100" w:beforeAutospacing="1" w:after="100" w:afterAutospacing="1" w:line="300" w:lineRule="atLeast"/>
        <w:ind w:left="709"/>
      </w:pPr>
      <w:r w:rsidRPr="0029397E">
        <w:t xml:space="preserve">De Opdrachtgever ziet actief toe op de kwaliteit van de geleverde ondersteuning. Dit gebeurt aan de hand van voortgangsgesprekken met de Opdrachtnemer, het beoordelen van periodieke rapportages, het analyseren van ervaringsmetingen bij de Inwoner en, waar nodig, door toezicht op locatie. De wijze waarop deze kwaliteitsbewaking in de praktijk wordt uitgevoerd, inclusief de verplichtingen van de Opdrachtnemer, is nader uitgewerkt in Uitvoeringsvoorwaarden Safehouse (Bijlage </w:t>
      </w:r>
      <w:r w:rsidR="006609FB">
        <w:t>3</w:t>
      </w:r>
      <w:r w:rsidRPr="0029397E">
        <w:t>).</w:t>
      </w:r>
    </w:p>
    <w:p w14:paraId="3BB75A83" w14:textId="77777777" w:rsidR="004A6839" w:rsidRPr="0029397E" w:rsidRDefault="004A6839" w:rsidP="004A6839">
      <w:pPr>
        <w:spacing w:before="100" w:beforeAutospacing="1" w:after="100" w:afterAutospacing="1" w:line="300" w:lineRule="atLeast"/>
        <w:ind w:left="709"/>
      </w:pPr>
      <w:r w:rsidRPr="0029397E">
        <w:t>Monitoring is niet alleen controlerend, maar ook lerend: in gezamenlijkheid werken we aan continue verbetering, professionalisering en versterking van de herstelgerichte aanpak voor mensen met psychische kwetsbaarheid.</w:t>
      </w:r>
    </w:p>
    <w:p w14:paraId="2BA84842" w14:textId="1C34F6E4" w:rsidR="004A6839" w:rsidRPr="00573D0A" w:rsidRDefault="00EE5481" w:rsidP="00EE5481">
      <w:pPr>
        <w:pStyle w:val="Onderkop1"/>
      </w:pPr>
      <w:bookmarkStart w:id="72" w:name="_Toc150863960"/>
      <w:bookmarkStart w:id="73" w:name="_Toc163123555"/>
      <w:bookmarkStart w:id="74" w:name="_Toc165276572"/>
      <w:bookmarkStart w:id="75" w:name="_Toc199795955"/>
      <w:bookmarkStart w:id="76" w:name="_Toc227858556"/>
      <w:r>
        <w:t xml:space="preserve">2.4 </w:t>
      </w:r>
      <w:r w:rsidR="00AF3324">
        <w:tab/>
      </w:r>
      <w:r w:rsidR="004A6839" w:rsidRPr="00573D0A">
        <w:t>Bekostiging</w:t>
      </w:r>
      <w:bookmarkEnd w:id="72"/>
      <w:bookmarkEnd w:id="73"/>
      <w:bookmarkEnd w:id="74"/>
      <w:bookmarkEnd w:id="75"/>
      <w:bookmarkEnd w:id="76"/>
    </w:p>
    <w:p w14:paraId="0E4C9A08" w14:textId="77777777" w:rsidR="004A6839" w:rsidRPr="00826CAD" w:rsidRDefault="004A6839" w:rsidP="00EE5481">
      <w:pPr>
        <w:pStyle w:val="Onderkop2"/>
        <w:rPr>
          <w:sz w:val="26"/>
          <w:szCs w:val="26"/>
        </w:rPr>
      </w:pPr>
      <w:bookmarkStart w:id="77" w:name="_Toc150863961"/>
      <w:bookmarkStart w:id="78" w:name="_Toc163123556"/>
      <w:bookmarkStart w:id="79" w:name="_Toc165276573"/>
      <w:bookmarkStart w:id="80" w:name="_Toc199795956"/>
      <w:bookmarkStart w:id="81" w:name="_Toc227858557"/>
      <w:r w:rsidRPr="00826CAD">
        <w:rPr>
          <w:sz w:val="26"/>
          <w:szCs w:val="26"/>
        </w:rPr>
        <w:t>2.4.1 Uitvoeringsvariant</w:t>
      </w:r>
      <w:bookmarkEnd w:id="77"/>
      <w:bookmarkEnd w:id="78"/>
      <w:bookmarkEnd w:id="79"/>
      <w:bookmarkEnd w:id="80"/>
      <w:bookmarkEnd w:id="81"/>
    </w:p>
    <w:p w14:paraId="3002D82B" w14:textId="77777777" w:rsidR="004A6839" w:rsidRPr="007400A9" w:rsidRDefault="004A6839" w:rsidP="004A6839">
      <w:pPr>
        <w:spacing w:before="100" w:beforeAutospacing="1" w:after="100" w:afterAutospacing="1" w:line="300" w:lineRule="atLeast"/>
        <w:ind w:left="709"/>
        <w:contextualSpacing/>
      </w:pPr>
      <w:r w:rsidRPr="007400A9">
        <w:fldChar w:fldCharType="begin"/>
      </w:r>
      <w:r w:rsidRPr="007400A9">
        <w:fldChar w:fldCharType="end"/>
      </w:r>
      <w:r w:rsidRPr="007400A9">
        <w:t>De Opdrachtgever past voor de in te kopen voorzieningen in de overeenkomst de inspanningsgerichte uitvoeringsvariant toe (p × q). De betaling is gebaseerd op geleverde eenheden (etmaal) en omvat alle onderdelen van het geïntegreerde Safehouse</w:t>
      </w:r>
      <w:r w:rsidRPr="007400A9">
        <w:noBreakHyphen/>
        <w:t>product. De verschillende vormen van ondersteuning worden niet los van elkaar ingezet; het gaat om één samenhangende herstelgerichte voorziening.</w:t>
      </w:r>
    </w:p>
    <w:p w14:paraId="782BAFD3" w14:textId="77777777" w:rsidR="004A6839" w:rsidRPr="007400A9" w:rsidRDefault="004A6839" w:rsidP="004A6839">
      <w:pPr>
        <w:ind w:left="708"/>
      </w:pPr>
    </w:p>
    <w:p w14:paraId="4678C32B" w14:textId="7791981A" w:rsidR="004A6839" w:rsidRPr="00826CAD" w:rsidRDefault="00EE5481" w:rsidP="00EE5481">
      <w:pPr>
        <w:pStyle w:val="Onderkop2"/>
        <w:rPr>
          <w:sz w:val="26"/>
          <w:szCs w:val="26"/>
        </w:rPr>
      </w:pPr>
      <w:bookmarkStart w:id="82" w:name="_Toc150863962"/>
      <w:bookmarkStart w:id="83" w:name="_Toc163123557"/>
      <w:bookmarkStart w:id="84" w:name="_Toc165276574"/>
      <w:bookmarkStart w:id="85" w:name="_Toc199795957"/>
      <w:bookmarkStart w:id="86" w:name="_Toc227858558"/>
      <w:r w:rsidRPr="00826CAD">
        <w:rPr>
          <w:sz w:val="26"/>
          <w:szCs w:val="26"/>
        </w:rPr>
        <w:lastRenderedPageBreak/>
        <w:t xml:space="preserve">2.4.2 </w:t>
      </w:r>
      <w:r w:rsidR="004A6839" w:rsidRPr="00826CAD">
        <w:rPr>
          <w:sz w:val="26"/>
          <w:szCs w:val="26"/>
        </w:rPr>
        <w:t>Berekening</w:t>
      </w:r>
      <w:bookmarkEnd w:id="86"/>
      <w:r w:rsidR="004A6839" w:rsidRPr="00826CAD">
        <w:rPr>
          <w:sz w:val="26"/>
          <w:szCs w:val="26"/>
        </w:rPr>
        <w:t xml:space="preserve"> </w:t>
      </w:r>
      <w:bookmarkEnd w:id="82"/>
      <w:bookmarkEnd w:id="83"/>
      <w:bookmarkEnd w:id="84"/>
      <w:bookmarkEnd w:id="85"/>
    </w:p>
    <w:p w14:paraId="48D6F15B" w14:textId="2311F3DF" w:rsidR="004A6839" w:rsidRPr="007400A9" w:rsidRDefault="004A6839" w:rsidP="004A6839">
      <w:pPr>
        <w:spacing w:before="100" w:beforeAutospacing="1" w:after="100" w:afterAutospacing="1" w:line="300" w:lineRule="atLeast"/>
        <w:ind w:left="709"/>
        <w:contextualSpacing/>
      </w:pPr>
      <w:r w:rsidRPr="007400A9">
        <w:t>De wijze waarop de tarieven zijn opgebouwd wordt toegelicht in Bijlage Opbouw tarief Safehouse regio BNO</w:t>
      </w:r>
      <w:r w:rsidRPr="007400A9">
        <w:noBreakHyphen/>
        <w:t xml:space="preserve">O (Bijlage </w:t>
      </w:r>
      <w:r w:rsidR="00AF3324">
        <w:t>5</w:t>
      </w:r>
      <w:r w:rsidRPr="007400A9">
        <w:t>). In deze bijlage is inzichtelijk gemaakt welke kostprijselementen zijn meegenomen en op welke wijze de parameterwaarden zijn bepaald, overeenkomstig de systematiek uit de AMvB Reële Tarieven en de gehanteerde uitgangspunten binnen de regio.</w:t>
      </w:r>
    </w:p>
    <w:p w14:paraId="78F617C2" w14:textId="77777777" w:rsidR="004A6839" w:rsidRPr="00573D0A" w:rsidRDefault="004A6839" w:rsidP="004A6839"/>
    <w:p w14:paraId="13FA564E" w14:textId="0D16617E" w:rsidR="004A6839" w:rsidRPr="00573D0A" w:rsidRDefault="00B30821" w:rsidP="00B30821">
      <w:pPr>
        <w:pStyle w:val="Onderkop2"/>
      </w:pPr>
      <w:bookmarkStart w:id="87" w:name="_Toc150863963"/>
      <w:bookmarkStart w:id="88" w:name="_Toc163123558"/>
      <w:bookmarkStart w:id="89" w:name="_Toc165276575"/>
      <w:bookmarkStart w:id="90" w:name="_Toc199795958"/>
      <w:bookmarkStart w:id="91" w:name="_Toc227858559"/>
      <w:r>
        <w:t xml:space="preserve">2.4.3 </w:t>
      </w:r>
      <w:r w:rsidR="004A6839" w:rsidRPr="00573D0A">
        <w:t>Declaratie</w:t>
      </w:r>
      <w:bookmarkEnd w:id="87"/>
      <w:bookmarkEnd w:id="88"/>
      <w:bookmarkEnd w:id="89"/>
      <w:bookmarkEnd w:id="90"/>
      <w:bookmarkEnd w:id="91"/>
    </w:p>
    <w:p w14:paraId="3D71F27A" w14:textId="77777777" w:rsidR="004A6839" w:rsidRDefault="004A6839" w:rsidP="004A6839">
      <w:pPr>
        <w:ind w:left="709"/>
      </w:pPr>
      <w:r>
        <w:t xml:space="preserve">De Potentiële Opdrachtnemer houdt zich aan het actuele Standaard Administratieprotocol van het Ketenbureau i-Sociaal Domein en declareert de geleverde ondersteuning conform het vastgestelde facturatieprotocol binnen de regio, zoals te vinden is op www.RIWMO.nl. </w:t>
      </w:r>
    </w:p>
    <w:p w14:paraId="7DEEB0D3" w14:textId="04335517" w:rsidR="004A6839" w:rsidRPr="00573D0A" w:rsidRDefault="00B30821" w:rsidP="00B30821">
      <w:pPr>
        <w:pStyle w:val="Onderkop1"/>
      </w:pPr>
      <w:bookmarkStart w:id="92" w:name="_Toc150863964"/>
      <w:bookmarkStart w:id="93" w:name="_Toc163123559"/>
      <w:bookmarkStart w:id="94" w:name="_Toc165276576"/>
      <w:bookmarkStart w:id="95" w:name="_Toc199795959"/>
      <w:bookmarkStart w:id="96" w:name="_Toc227858560"/>
      <w:r>
        <w:t xml:space="preserve">2.5 </w:t>
      </w:r>
      <w:r w:rsidR="00205A0A">
        <w:tab/>
      </w:r>
      <w:r w:rsidR="004A6839" w:rsidRPr="00573D0A">
        <w:t>Overeenkomst en algemene voorwaarden</w:t>
      </w:r>
      <w:bookmarkEnd w:id="92"/>
      <w:bookmarkEnd w:id="93"/>
      <w:bookmarkEnd w:id="94"/>
      <w:bookmarkEnd w:id="95"/>
      <w:bookmarkEnd w:id="96"/>
    </w:p>
    <w:p w14:paraId="02E73108" w14:textId="71CA9D6A" w:rsidR="004A6839" w:rsidRPr="00485923" w:rsidRDefault="00A243B8" w:rsidP="00A243B8">
      <w:pPr>
        <w:pStyle w:val="Onderkop2"/>
        <w:rPr>
          <w:sz w:val="26"/>
          <w:szCs w:val="26"/>
        </w:rPr>
      </w:pPr>
      <w:bookmarkStart w:id="97" w:name="_Toc150863965"/>
      <w:bookmarkStart w:id="98" w:name="_Toc163123560"/>
      <w:bookmarkStart w:id="99" w:name="_Toc165276577"/>
      <w:bookmarkStart w:id="100" w:name="_Toc199795960"/>
      <w:bookmarkStart w:id="101" w:name="_Toc227858561"/>
      <w:r w:rsidRPr="00485923">
        <w:rPr>
          <w:sz w:val="26"/>
          <w:szCs w:val="26"/>
        </w:rPr>
        <w:t xml:space="preserve">2.5.1 </w:t>
      </w:r>
      <w:r w:rsidR="004A6839" w:rsidRPr="00485923">
        <w:rPr>
          <w:sz w:val="26"/>
          <w:szCs w:val="26"/>
        </w:rPr>
        <w:t>Type overeenkomst</w:t>
      </w:r>
      <w:bookmarkEnd w:id="97"/>
      <w:bookmarkEnd w:id="98"/>
      <w:bookmarkEnd w:id="99"/>
      <w:bookmarkEnd w:id="100"/>
      <w:bookmarkEnd w:id="101"/>
    </w:p>
    <w:p w14:paraId="06B094C0" w14:textId="77777777" w:rsidR="004A6839" w:rsidRDefault="004A6839" w:rsidP="004A6839">
      <w:pPr>
        <w:ind w:left="708"/>
        <w:rPr>
          <w:rFonts w:ascii="Segoe UI" w:hAnsi="Segoe UI" w:cs="Segoe UI"/>
          <w:sz w:val="21"/>
          <w:szCs w:val="21"/>
        </w:rPr>
      </w:pPr>
      <w:r>
        <w:t xml:space="preserve">De inkopende organisatie sluit de inkoopprocedure af met een raamovereenkomst tussen Opdrachtgever en de Potentiële Opdrachtnemer die aan de procedure mag meedoen én de aanmeldingsfase succesvol afrondt. De raamovereenkomst verplicht de Opdrachtgever niet tot afname en geeft geen afnamegarantie. Op basis van de raamovereenkomst geeft Opdrachtgever losse opdrachten voor het leveren van voorzieningen aan Inwoners. </w:t>
      </w:r>
    </w:p>
    <w:p w14:paraId="3F474B50" w14:textId="77777777" w:rsidR="004A6839" w:rsidRPr="00C67CA8" w:rsidRDefault="004A6839" w:rsidP="004A6839">
      <w:pPr>
        <w:ind w:left="708"/>
      </w:pPr>
      <w:r w:rsidRPr="00C67CA8">
        <w:t>Op basis van de raamovereenkomst geeft Opdrachtgever losse opdrachten voor het leveren van voorzieningen aan Inwoners.</w:t>
      </w:r>
      <w:r>
        <w:t xml:space="preserve"> </w:t>
      </w:r>
      <w:r w:rsidRPr="00A20183">
        <w:t>De toewijzing van deze losse opdrachten vindt plaats via individuele toewijzingen, die door Opdrachtgever aan Opdrachtnemer worden gecommuniceerd via het van toepassing zijnde berichtenverkeer.</w:t>
      </w:r>
    </w:p>
    <w:p w14:paraId="68F334DB" w14:textId="77777777" w:rsidR="004A6839" w:rsidRPr="00F06DA3" w:rsidRDefault="004A6839" w:rsidP="00826CAD">
      <w:pPr>
        <w:pStyle w:val="Geenafstand"/>
        <w:spacing w:after="0" w:line="276" w:lineRule="auto"/>
        <w:ind w:firstLine="708"/>
        <w:contextualSpacing/>
        <w:rPr>
          <w:i/>
          <w:iCs/>
        </w:rPr>
      </w:pPr>
      <w:bookmarkStart w:id="102" w:name="_Toc150863966"/>
      <w:bookmarkStart w:id="103" w:name="_Toc163123561"/>
      <w:bookmarkStart w:id="104" w:name="_Toc165276578"/>
      <w:r w:rsidRPr="00F06DA3">
        <w:rPr>
          <w:i/>
          <w:iCs/>
        </w:rPr>
        <w:t>Algemene voorwaarden</w:t>
      </w:r>
      <w:bookmarkEnd w:id="102"/>
      <w:bookmarkEnd w:id="103"/>
      <w:bookmarkEnd w:id="104"/>
    </w:p>
    <w:p w14:paraId="302D6870" w14:textId="77777777" w:rsidR="00485923" w:rsidRDefault="00485923" w:rsidP="00826CAD">
      <w:pPr>
        <w:spacing w:after="0"/>
        <w:ind w:left="708"/>
        <w:contextualSpacing/>
      </w:pPr>
    </w:p>
    <w:p w14:paraId="057DCA6D" w14:textId="6FEE9DEC" w:rsidR="004A6839" w:rsidRPr="00573D0A" w:rsidRDefault="004A6839" w:rsidP="00826CAD">
      <w:pPr>
        <w:spacing w:after="0"/>
        <w:ind w:left="708"/>
        <w:contextualSpacing/>
      </w:pPr>
      <w:r>
        <w:t xml:space="preserve">Op deze inkoopprocedure en de overeenkomst zijn de Algemene Inkoopvoorwaarden gemeente Oss voor leveringen en diensten 2024 van toepassing. Dat geldt tenzij dit inkoopdocument of de overeenkomst daarvan afwijken. De volgende artikelen gelden niet: </w:t>
      </w:r>
      <w:r w:rsidRPr="006E701A">
        <w:t>16</w:t>
      </w:r>
      <w:r>
        <w:t xml:space="preserve">, 20.1, 20.2, 21, 22, 23 en 25.3. De Potentiële Opdrachtnemer verklaart deze voorwaarden te hebben ontvangen en ermee akkoord te gaan. Voorwaarden van de Potentiële Opdrachtnemer of derden (zoals onderaannemers) gelden niet, hoe ze ook heten of zijn opgesteld. </w:t>
      </w:r>
    </w:p>
    <w:p w14:paraId="25E63FF3" w14:textId="1D4C92C7" w:rsidR="004A6839" w:rsidRPr="00485923" w:rsidRDefault="00F95677" w:rsidP="00F95677">
      <w:pPr>
        <w:pStyle w:val="Onderkop2"/>
        <w:rPr>
          <w:sz w:val="26"/>
          <w:szCs w:val="26"/>
        </w:rPr>
      </w:pPr>
      <w:bookmarkStart w:id="105" w:name="_Toc150863967"/>
      <w:bookmarkStart w:id="106" w:name="_Toc163123562"/>
      <w:bookmarkStart w:id="107" w:name="_Toc165276579"/>
      <w:bookmarkStart w:id="108" w:name="_Toc199795961"/>
      <w:bookmarkStart w:id="109" w:name="_Toc227858562"/>
      <w:r w:rsidRPr="00485923">
        <w:rPr>
          <w:sz w:val="26"/>
          <w:szCs w:val="26"/>
        </w:rPr>
        <w:t xml:space="preserve">2.5.2 </w:t>
      </w:r>
      <w:r w:rsidR="004A6839" w:rsidRPr="00485923">
        <w:rPr>
          <w:sz w:val="26"/>
          <w:szCs w:val="26"/>
        </w:rPr>
        <w:t>Looptijd</w:t>
      </w:r>
      <w:bookmarkEnd w:id="105"/>
      <w:bookmarkEnd w:id="106"/>
      <w:bookmarkEnd w:id="107"/>
      <w:bookmarkEnd w:id="108"/>
      <w:bookmarkEnd w:id="109"/>
    </w:p>
    <w:p w14:paraId="08E3F7E5" w14:textId="77777777" w:rsidR="004A6839" w:rsidRPr="007A65DF" w:rsidRDefault="004A6839" w:rsidP="00B73B6A">
      <w:pPr>
        <w:spacing w:after="0"/>
        <w:ind w:left="709"/>
        <w:contextualSpacing/>
        <w:rPr>
          <w:color w:val="000000" w:themeColor="text1"/>
        </w:rPr>
      </w:pPr>
      <w:r w:rsidRPr="007A65DF">
        <w:t>De looptijd van de overeenkomst is opgenomen in artikel 1.3 van de overeenkomst</w:t>
      </w:r>
      <w:r w:rsidRPr="007A65DF">
        <w:rPr>
          <w:color w:val="000000" w:themeColor="text1"/>
        </w:rPr>
        <w:t xml:space="preserve">. </w:t>
      </w:r>
    </w:p>
    <w:p w14:paraId="0A1ED2C9" w14:textId="77777777" w:rsidR="004A6839" w:rsidRPr="007A65DF" w:rsidRDefault="004A6839" w:rsidP="00B73B6A">
      <w:pPr>
        <w:spacing w:after="0"/>
        <w:ind w:left="709"/>
        <w:contextualSpacing/>
        <w:rPr>
          <w:color w:val="000000" w:themeColor="text1"/>
        </w:rPr>
      </w:pPr>
      <w:r w:rsidRPr="007A65DF">
        <w:rPr>
          <w:color w:val="000000" w:themeColor="text1"/>
        </w:rPr>
        <w:t>De gekozen maximale looptijd van de raamovereenkomst is langer dan 48 kalendermaanden. De inkopende organisatie rechtvaardigt deze keuze als volgt: Het betreft hier een Open House procedure. Het verzoek tot deelname aan deze procedure staat gedurende de gehele looptijd van deze procedure open</w:t>
      </w:r>
      <w:r w:rsidRPr="4F7CA1FA">
        <w:rPr>
          <w:color w:val="000000" w:themeColor="text1"/>
        </w:rPr>
        <w:t>.</w:t>
      </w:r>
      <w:r w:rsidRPr="007A65DF">
        <w:rPr>
          <w:color w:val="000000" w:themeColor="text1"/>
        </w:rPr>
        <w:t xml:space="preserve"> Elke Potentiële Opdrachtnemer die wenst toe te treden tot de procedure én die aan de toelatingseisen voldoet kan dus op enig moment een </w:t>
      </w:r>
      <w:r w:rsidRPr="007A65DF">
        <w:rPr>
          <w:color w:val="000000" w:themeColor="text1"/>
        </w:rPr>
        <w:lastRenderedPageBreak/>
        <w:t xml:space="preserve">overeenkomst met de Centrumgemeente aangaan. Daarnaast gaat het hier om een complexe voorziening voor een zeer kwetsbare doelgroep. Om dit goed te laten werken is vertrouwen en een langdurige relatie tussen partijen essentieel. </w:t>
      </w:r>
    </w:p>
    <w:p w14:paraId="5B891261" w14:textId="77777777" w:rsidR="004A6839" w:rsidRPr="00AE2822" w:rsidRDefault="004A6839" w:rsidP="004A6839">
      <w:pPr>
        <w:ind w:left="708"/>
        <w:rPr>
          <w:color w:val="000000" w:themeColor="text1"/>
        </w:rPr>
      </w:pPr>
    </w:p>
    <w:p w14:paraId="3492F745" w14:textId="77777777" w:rsidR="004A6839" w:rsidRPr="00AE2822" w:rsidRDefault="004A6839" w:rsidP="004A6839">
      <w:pPr>
        <w:ind w:left="708"/>
        <w:rPr>
          <w:color w:val="000000" w:themeColor="text1"/>
        </w:rPr>
      </w:pPr>
    </w:p>
    <w:p w14:paraId="0524D85A" w14:textId="77777777" w:rsidR="004A6839" w:rsidRPr="00573D0A" w:rsidRDefault="004A6839" w:rsidP="004A6839">
      <w:pPr>
        <w:ind w:left="708"/>
      </w:pPr>
    </w:p>
    <w:p w14:paraId="718CB6B4" w14:textId="77777777" w:rsidR="004A6839" w:rsidRPr="00573D0A" w:rsidRDefault="004A6839" w:rsidP="004A6839">
      <w:pPr>
        <w:ind w:left="708"/>
        <w:sectPr w:rsidR="004A6839" w:rsidRPr="00573D0A" w:rsidSect="004A6839">
          <w:pgSz w:w="11906" w:h="16838"/>
          <w:pgMar w:top="1417" w:right="1417" w:bottom="1417" w:left="1417" w:header="708" w:footer="708" w:gutter="0"/>
          <w:cols w:space="708"/>
          <w:docGrid w:linePitch="360"/>
        </w:sectPr>
      </w:pPr>
    </w:p>
    <w:p w14:paraId="3E4A1891" w14:textId="77777777" w:rsidR="004A6839" w:rsidRPr="00573D0A" w:rsidRDefault="004A6839" w:rsidP="00B73B6A">
      <w:pPr>
        <w:pStyle w:val="Hoofdkop"/>
        <w:spacing w:after="0"/>
        <w:contextualSpacing/>
      </w:pPr>
      <w:bookmarkStart w:id="110" w:name="_Toc199795962"/>
      <w:bookmarkStart w:id="111" w:name="_Toc227858563"/>
      <w:r>
        <w:lastRenderedPageBreak/>
        <w:t>Voorwaarden inkoopprocedure</w:t>
      </w:r>
      <w:bookmarkEnd w:id="110"/>
      <w:bookmarkEnd w:id="111"/>
    </w:p>
    <w:p w14:paraId="3B9D5236" w14:textId="77777777" w:rsidR="004A6839" w:rsidRPr="00573D0A" w:rsidRDefault="004A6839" w:rsidP="00B73B6A">
      <w:pPr>
        <w:spacing w:after="0"/>
        <w:ind w:left="708"/>
        <w:contextualSpacing/>
      </w:pPr>
    </w:p>
    <w:p w14:paraId="1D67ABCC" w14:textId="5AFA4477" w:rsidR="004A6839" w:rsidRPr="00573D0A" w:rsidRDefault="00F95677" w:rsidP="00B73B6A">
      <w:pPr>
        <w:pStyle w:val="Onderkop1"/>
        <w:spacing w:after="0"/>
        <w:contextualSpacing/>
      </w:pPr>
      <w:bookmarkStart w:id="112" w:name="_Toc150863969"/>
      <w:bookmarkStart w:id="113" w:name="_Toc163123564"/>
      <w:bookmarkStart w:id="114" w:name="_Toc165276581"/>
      <w:bookmarkStart w:id="115" w:name="_Toc199795963"/>
      <w:bookmarkStart w:id="116" w:name="_Toc227858564"/>
      <w:r>
        <w:t xml:space="preserve">3.1 </w:t>
      </w:r>
      <w:r w:rsidR="00B73B6A">
        <w:tab/>
      </w:r>
      <w:r w:rsidR="004A6839" w:rsidRPr="00573D0A">
        <w:t>Inleiding</w:t>
      </w:r>
      <w:bookmarkEnd w:id="112"/>
      <w:bookmarkEnd w:id="113"/>
      <w:bookmarkEnd w:id="114"/>
      <w:bookmarkEnd w:id="115"/>
      <w:bookmarkEnd w:id="116"/>
    </w:p>
    <w:p w14:paraId="7105D3DC" w14:textId="77777777" w:rsidR="008C4B6D" w:rsidRDefault="008C4B6D" w:rsidP="000B3FDA">
      <w:pPr>
        <w:spacing w:after="0"/>
        <w:ind w:left="708"/>
        <w:contextualSpacing/>
      </w:pPr>
    </w:p>
    <w:p w14:paraId="1F7AA997" w14:textId="646AD1F7" w:rsidR="004A6839" w:rsidRDefault="004A6839" w:rsidP="000B3FDA">
      <w:pPr>
        <w:spacing w:after="0"/>
        <w:ind w:left="708"/>
        <w:contextualSpacing/>
      </w:pPr>
      <w:r w:rsidRPr="00836E39">
        <w:t xml:space="preserve">Een </w:t>
      </w:r>
      <w:r>
        <w:t>P</w:t>
      </w:r>
      <w:r w:rsidRPr="00836E39">
        <w:t xml:space="preserve">otentiële </w:t>
      </w:r>
      <w:r>
        <w:t>O</w:t>
      </w:r>
      <w:r w:rsidRPr="00836E39">
        <w:t>pdrachtnemer moet drie dingen laten zien:</w:t>
      </w:r>
    </w:p>
    <w:p w14:paraId="1640981A" w14:textId="77777777" w:rsidR="004A6839" w:rsidRPr="00836E39" w:rsidRDefault="004A6839" w:rsidP="000B3FDA">
      <w:pPr>
        <w:numPr>
          <w:ilvl w:val="0"/>
          <w:numId w:val="5"/>
        </w:numPr>
        <w:spacing w:after="0"/>
        <w:ind w:left="1276"/>
        <w:contextualSpacing/>
      </w:pPr>
      <w:r w:rsidRPr="00836E39">
        <w:t>Er is geen uitsluitingsgrond op hem van toepassing.</w:t>
      </w:r>
    </w:p>
    <w:p w14:paraId="4717CCE0" w14:textId="77777777" w:rsidR="004A6839" w:rsidRPr="00836E39" w:rsidRDefault="004A6839" w:rsidP="00144C34">
      <w:pPr>
        <w:numPr>
          <w:ilvl w:val="0"/>
          <w:numId w:val="5"/>
        </w:numPr>
        <w:spacing w:after="0" w:line="240" w:lineRule="auto"/>
        <w:ind w:left="1276"/>
      </w:pPr>
      <w:r>
        <w:t>Hij voldoet aan elk toelatingscriterium.</w:t>
      </w:r>
    </w:p>
    <w:p w14:paraId="771B8663" w14:textId="77777777" w:rsidR="004A6839" w:rsidRPr="00836E39" w:rsidRDefault="004A6839" w:rsidP="000B3FDA">
      <w:pPr>
        <w:numPr>
          <w:ilvl w:val="0"/>
          <w:numId w:val="5"/>
        </w:numPr>
        <w:spacing w:after="0"/>
        <w:ind w:left="1276"/>
        <w:contextualSpacing/>
      </w:pPr>
      <w:r>
        <w:t>Hij gaat akkoord met alle (uitvoerings-)eisen en kan deze ook uitvoeren.</w:t>
      </w:r>
    </w:p>
    <w:p w14:paraId="4E36744E" w14:textId="77777777" w:rsidR="000B3FDA" w:rsidRDefault="000B3FDA" w:rsidP="000B3FDA">
      <w:pPr>
        <w:spacing w:after="0"/>
        <w:ind w:left="708"/>
        <w:contextualSpacing/>
      </w:pPr>
    </w:p>
    <w:p w14:paraId="6547C555" w14:textId="5EA07F09" w:rsidR="004A6839" w:rsidRDefault="004A6839" w:rsidP="000B3FDA">
      <w:pPr>
        <w:spacing w:after="0"/>
        <w:ind w:left="708"/>
        <w:contextualSpacing/>
      </w:pPr>
      <w:r w:rsidRPr="00836E39">
        <w:t xml:space="preserve">Als één van de volgende situaties geldt, sluit de inkopende organisatie de </w:t>
      </w:r>
      <w:r>
        <w:t>P</w:t>
      </w:r>
      <w:r w:rsidRPr="00836E39">
        <w:t xml:space="preserve">otentiële </w:t>
      </w:r>
      <w:r>
        <w:t>O</w:t>
      </w:r>
      <w:r w:rsidRPr="00836E39">
        <w:t>pdrachtnemer uit:</w:t>
      </w:r>
    </w:p>
    <w:p w14:paraId="40F4DC4E" w14:textId="77777777" w:rsidR="004A6839" w:rsidRPr="00836E39" w:rsidRDefault="004A6839" w:rsidP="000B3FDA">
      <w:pPr>
        <w:numPr>
          <w:ilvl w:val="0"/>
          <w:numId w:val="6"/>
        </w:numPr>
        <w:tabs>
          <w:tab w:val="clear" w:pos="720"/>
        </w:tabs>
        <w:spacing w:after="0"/>
        <w:ind w:left="1276"/>
        <w:contextualSpacing/>
      </w:pPr>
      <w:r w:rsidRPr="00836E39">
        <w:t xml:space="preserve">Er is een </w:t>
      </w:r>
      <w:r>
        <w:t xml:space="preserve">verplichte </w:t>
      </w:r>
      <w:r w:rsidRPr="00836E39">
        <w:t>uitsluitingsgrond van toepassing.</w:t>
      </w:r>
    </w:p>
    <w:p w14:paraId="61DF24A7" w14:textId="77777777" w:rsidR="000B3FDA" w:rsidRDefault="000B3FDA" w:rsidP="000B3FDA">
      <w:pPr>
        <w:spacing w:after="0"/>
        <w:ind w:left="708"/>
        <w:contextualSpacing/>
      </w:pPr>
    </w:p>
    <w:p w14:paraId="7EFBD27C" w14:textId="42EB8F24" w:rsidR="004A6839" w:rsidRDefault="004A6839" w:rsidP="000B3FDA">
      <w:pPr>
        <w:spacing w:after="0"/>
        <w:ind w:left="708"/>
        <w:contextualSpacing/>
      </w:pPr>
      <w:r w:rsidRPr="00836E39">
        <w:t xml:space="preserve">Als één van de volgende situaties geldt, </w:t>
      </w:r>
      <w:r>
        <w:t xml:space="preserve">kan </w:t>
      </w:r>
      <w:r w:rsidRPr="00836E39">
        <w:t xml:space="preserve">de inkopende organisatie de </w:t>
      </w:r>
      <w:r>
        <w:t>P</w:t>
      </w:r>
      <w:r w:rsidRPr="00836E39">
        <w:t xml:space="preserve">otentiële </w:t>
      </w:r>
      <w:r>
        <w:t>O</w:t>
      </w:r>
      <w:r w:rsidRPr="00836E39">
        <w:t>pdrachtnemer uit</w:t>
      </w:r>
      <w:r>
        <w:t>sluiten, als de wet of rechtspraak dat toelaten</w:t>
      </w:r>
      <w:r w:rsidRPr="00836E39">
        <w:t>:</w:t>
      </w:r>
    </w:p>
    <w:p w14:paraId="730D595F" w14:textId="77777777" w:rsidR="004A6839" w:rsidRDefault="004A6839" w:rsidP="00144C34">
      <w:pPr>
        <w:numPr>
          <w:ilvl w:val="0"/>
          <w:numId w:val="6"/>
        </w:numPr>
        <w:tabs>
          <w:tab w:val="clear" w:pos="720"/>
        </w:tabs>
        <w:spacing w:after="0" w:line="240" w:lineRule="auto"/>
        <w:ind w:left="1276"/>
      </w:pPr>
      <w:r>
        <w:t>Er is een facultatieve uitsluitingsgrond van toepassing.</w:t>
      </w:r>
    </w:p>
    <w:p w14:paraId="622A8640" w14:textId="77777777" w:rsidR="004A6839" w:rsidRPr="00836E39" w:rsidRDefault="004A6839" w:rsidP="00144C34">
      <w:pPr>
        <w:numPr>
          <w:ilvl w:val="0"/>
          <w:numId w:val="6"/>
        </w:numPr>
        <w:tabs>
          <w:tab w:val="clear" w:pos="720"/>
        </w:tabs>
        <w:spacing w:after="0" w:line="240" w:lineRule="auto"/>
        <w:ind w:left="1276"/>
      </w:pPr>
      <w:r>
        <w:t>De Potentiële Opdrachtnemer voldoet niet aan een toelatingscriterium.</w:t>
      </w:r>
    </w:p>
    <w:p w14:paraId="146D1F18" w14:textId="77777777" w:rsidR="004A6839" w:rsidRPr="00836E39" w:rsidRDefault="004A6839" w:rsidP="00144C34">
      <w:pPr>
        <w:numPr>
          <w:ilvl w:val="0"/>
          <w:numId w:val="6"/>
        </w:numPr>
        <w:tabs>
          <w:tab w:val="clear" w:pos="720"/>
        </w:tabs>
        <w:spacing w:after="0" w:line="240" w:lineRule="auto"/>
        <w:ind w:left="1276"/>
      </w:pPr>
      <w:r w:rsidRPr="00836E39">
        <w:t xml:space="preserve">De </w:t>
      </w:r>
      <w:r>
        <w:t>Potentiële O</w:t>
      </w:r>
      <w:r w:rsidRPr="00836E39">
        <w:t>pdrachtnemer gaat niet onvoorwaardelijk akkoord met de uitvoeringseisen</w:t>
      </w:r>
      <w:r>
        <w:t xml:space="preserve"> of kan deze niet uitvoeren</w:t>
      </w:r>
      <w:r w:rsidRPr="00836E39">
        <w:t>.</w:t>
      </w:r>
    </w:p>
    <w:p w14:paraId="394E8707" w14:textId="77777777" w:rsidR="004A6839" w:rsidRDefault="004A6839" w:rsidP="008C4B6D">
      <w:pPr>
        <w:spacing w:after="0"/>
        <w:ind w:left="709"/>
        <w:contextualSpacing/>
      </w:pPr>
    </w:p>
    <w:p w14:paraId="308DCF0D" w14:textId="77777777" w:rsidR="004A6839" w:rsidRPr="007C0FE1" w:rsidRDefault="004A6839" w:rsidP="00A111A2">
      <w:pPr>
        <w:spacing w:after="0"/>
        <w:ind w:left="709"/>
        <w:contextualSpacing/>
        <w:rPr>
          <w:i/>
          <w:iCs/>
        </w:rPr>
      </w:pPr>
      <w:r w:rsidRPr="13C7ED9A">
        <w:rPr>
          <w:i/>
          <w:iCs/>
        </w:rPr>
        <w:t xml:space="preserve">Wet </w:t>
      </w:r>
      <w:proofErr w:type="spellStart"/>
      <w:r w:rsidRPr="13C7ED9A">
        <w:rPr>
          <w:i/>
          <w:iCs/>
        </w:rPr>
        <w:t>Bibob</w:t>
      </w:r>
      <w:proofErr w:type="spellEnd"/>
    </w:p>
    <w:p w14:paraId="190CB729" w14:textId="77777777" w:rsidR="00485923" w:rsidRDefault="00485923" w:rsidP="00A111A2">
      <w:pPr>
        <w:spacing w:after="0"/>
        <w:ind w:left="708"/>
        <w:contextualSpacing/>
      </w:pPr>
    </w:p>
    <w:p w14:paraId="4B4CF17A" w14:textId="1CF25DFF" w:rsidR="004A6839" w:rsidRPr="007C0FE1" w:rsidRDefault="004A6839" w:rsidP="00A111A2">
      <w:pPr>
        <w:spacing w:after="0"/>
        <w:ind w:left="708"/>
        <w:contextualSpacing/>
      </w:pPr>
      <w:r>
        <w:t xml:space="preserve">De Wet </w:t>
      </w:r>
      <w:proofErr w:type="spellStart"/>
      <w:r>
        <w:t>Bibob</w:t>
      </w:r>
      <w:proofErr w:type="spellEnd"/>
      <w:r>
        <w:t xml:space="preserve"> geeft de inkopende organisatie de mogelijkheid om bedrijven en personen te screenen in de inkoopprocedure en tijdens de looptijd van de overeenkomst. Zo voorkomt de inkopende organisatie dat zij onbedoeld criminele activiteiten faciliteert. Dit noemen we het </w:t>
      </w:r>
      <w:proofErr w:type="spellStart"/>
      <w:r w:rsidRPr="13C7ED9A">
        <w:rPr>
          <w:rFonts w:eastAsiaTheme="majorEastAsia"/>
        </w:rPr>
        <w:t>Bibob</w:t>
      </w:r>
      <w:proofErr w:type="spellEnd"/>
      <w:r w:rsidRPr="13C7ED9A">
        <w:rPr>
          <w:rFonts w:eastAsiaTheme="majorEastAsia"/>
        </w:rPr>
        <w:t>-onderzoek</w:t>
      </w:r>
      <w:r>
        <w:t>.</w:t>
      </w:r>
    </w:p>
    <w:p w14:paraId="4EB0C17E" w14:textId="77777777" w:rsidR="004A6839" w:rsidRPr="007C0FE1" w:rsidRDefault="004A6839" w:rsidP="004A6839">
      <w:pPr>
        <w:ind w:left="708"/>
      </w:pPr>
      <w:r>
        <w:t xml:space="preserve">De inkopende organisatie kan in deze inkoopprocedure gebruikmaken van het </w:t>
      </w:r>
      <w:proofErr w:type="spellStart"/>
      <w:r>
        <w:t>Bibob</w:t>
      </w:r>
      <w:proofErr w:type="spellEnd"/>
      <w:r>
        <w:t>-onderzoek. Zij toetst dan daarmee of zij een overeenkomst met een Potentiële Opdrachtnemer kan sluiten en of zij akkoord gaat met de voorgestelde onderaannemer(s).</w:t>
      </w:r>
    </w:p>
    <w:p w14:paraId="70E5B9E3" w14:textId="77777777" w:rsidR="004A6839" w:rsidRPr="007C0FE1" w:rsidRDefault="004A6839" w:rsidP="004A6839">
      <w:pPr>
        <w:ind w:left="708"/>
      </w:pPr>
      <w:r>
        <w:t>De inkopende organisatie zet daarvoor dan wettelijke instrumenten in, waaronder:</w:t>
      </w:r>
      <w:r>
        <w:br/>
        <w:t xml:space="preserve">a. het invullen en terugsturen van het </w:t>
      </w:r>
      <w:proofErr w:type="spellStart"/>
      <w:r>
        <w:t>Bibob</w:t>
      </w:r>
      <w:proofErr w:type="spellEnd"/>
      <w:r>
        <w:t>-vragenformulier door de Potentiële Opdrachtnemer;</w:t>
      </w:r>
      <w:r>
        <w:br/>
        <w:t>b. onderzoek in open bronnen naar de Potentiële Opdrachtnemer;</w:t>
      </w:r>
      <w:r>
        <w:br/>
        <w:t>c. onderzoek in gesloten bronnen naar de Potentiële Opdrachtnemer;</w:t>
      </w:r>
      <w:r>
        <w:br/>
        <w:t xml:space="preserve">d. een adviesaanvraag bij het Landelijk Bureau </w:t>
      </w:r>
      <w:proofErr w:type="spellStart"/>
      <w:r>
        <w:t>Bibob</w:t>
      </w:r>
      <w:proofErr w:type="spellEnd"/>
      <w:r>
        <w:t>.</w:t>
      </w:r>
    </w:p>
    <w:p w14:paraId="3892C037" w14:textId="77777777" w:rsidR="004A6839" w:rsidRPr="00D138AE" w:rsidRDefault="004A6839" w:rsidP="004A6839">
      <w:pPr>
        <w:ind w:left="708"/>
      </w:pPr>
      <w:r w:rsidRPr="00D138AE">
        <w:t xml:space="preserve">Wil de inkopende organisatie gebruikmaken van het vragenformulier (middel a), dan stuurt de Potentiële Opdrachtnemer dit </w:t>
      </w:r>
      <w:r w:rsidRPr="00D138AE">
        <w:rPr>
          <w:u w:val="single"/>
        </w:rPr>
        <w:t>binnen veertien kalenderdagen</w:t>
      </w:r>
      <w:r w:rsidRPr="00D138AE">
        <w:t xml:space="preserve"> na ontvangst volledig ingevuld en ondertekend terug.</w:t>
      </w:r>
    </w:p>
    <w:p w14:paraId="1782F617" w14:textId="77777777" w:rsidR="004A6839" w:rsidRPr="007C0FE1" w:rsidRDefault="004A6839" w:rsidP="004A6839">
      <w:pPr>
        <w:ind w:left="708"/>
      </w:pPr>
      <w:r>
        <w:t xml:space="preserve">Het </w:t>
      </w:r>
      <w:proofErr w:type="spellStart"/>
      <w:r>
        <w:t>Bibob</w:t>
      </w:r>
      <w:proofErr w:type="spellEnd"/>
      <w:r>
        <w:t xml:space="preserve">-onderzoek kan betrekking hebben op huidige en voormalige leidinggevenden (zoals bestuurders), </w:t>
      </w:r>
      <w:proofErr w:type="spellStart"/>
      <w:r>
        <w:t>zeggenschapshebbenden</w:t>
      </w:r>
      <w:proofErr w:type="spellEnd"/>
      <w:r>
        <w:t xml:space="preserve"> (zoals aandeelhouders), vermogensverschaffers van de Potentiële Opdrachtnemer en, in geval van een combinatie, van iedere </w:t>
      </w:r>
      <w:proofErr w:type="spellStart"/>
      <w:r>
        <w:t>combinant</w:t>
      </w:r>
      <w:proofErr w:type="spellEnd"/>
      <w:r>
        <w:t xml:space="preserve">. Dit geldt ook voor voorgestelde onderaannemers. Door </w:t>
      </w:r>
      <w:r>
        <w:lastRenderedPageBreak/>
        <w:t xml:space="preserve">Opdrachtgever wordt in dat kader aangesloten bij het 'betrokkene-begrip' zoals gedefinieerd in de Wet </w:t>
      </w:r>
      <w:proofErr w:type="spellStart"/>
      <w:r>
        <w:t>Bibob</w:t>
      </w:r>
      <w:proofErr w:type="spellEnd"/>
      <w:r>
        <w:t>.</w:t>
      </w:r>
    </w:p>
    <w:p w14:paraId="08A269E5" w14:textId="77777777" w:rsidR="004A6839" w:rsidRPr="007C0FE1" w:rsidRDefault="004A6839" w:rsidP="004A6839">
      <w:pPr>
        <w:ind w:left="708"/>
      </w:pPr>
      <w:r>
        <w:t xml:space="preserve">De uitkomst van het </w:t>
      </w:r>
      <w:proofErr w:type="spellStart"/>
      <w:r>
        <w:t>Bibob</w:t>
      </w:r>
      <w:proofErr w:type="spellEnd"/>
      <w:r>
        <w:t>-onderzoek vormt een belangrijk onderdeel van de beoordeling of een uitsluitingsgrond van toepassing is en of de inkopende organisatie de Potentiële Opdrachtnemer moet of kan uitsluiten.</w:t>
      </w:r>
    </w:p>
    <w:p w14:paraId="7BAE58DC" w14:textId="77777777" w:rsidR="004A6839" w:rsidRDefault="004A6839" w:rsidP="00A111A2">
      <w:pPr>
        <w:spacing w:after="0"/>
        <w:ind w:left="709"/>
        <w:contextualSpacing/>
      </w:pPr>
      <w:r>
        <w:t xml:space="preserve">Ook tijdens de looptijd van de overeenkomst behoudt de Opdrachtgever het recht om een </w:t>
      </w:r>
      <w:proofErr w:type="spellStart"/>
      <w:r>
        <w:t>Bibob</w:t>
      </w:r>
      <w:proofErr w:type="spellEnd"/>
      <w:r>
        <w:t>-onderzoek te starten. Zo toetst hij of hij een bestaande overeenkomst wil ontbinden of een onderaannemer wil weigeren. Artikel 1.8 van de overeenkomst bevat hierover aanvullende bepalingen.</w:t>
      </w:r>
    </w:p>
    <w:p w14:paraId="6A93E4E2" w14:textId="77777777" w:rsidR="004A6839" w:rsidRPr="00573D0A" w:rsidRDefault="004A6839" w:rsidP="00A111A2">
      <w:pPr>
        <w:spacing w:after="0"/>
        <w:ind w:left="709"/>
        <w:contextualSpacing/>
      </w:pPr>
    </w:p>
    <w:p w14:paraId="46C0A0C5" w14:textId="1B6443D9" w:rsidR="004A6839" w:rsidRPr="00573D0A" w:rsidRDefault="00AB00EF" w:rsidP="00AE00FA">
      <w:pPr>
        <w:pStyle w:val="Onderkop1"/>
      </w:pPr>
      <w:bookmarkStart w:id="117" w:name="_Algemeen"/>
      <w:bookmarkStart w:id="118" w:name="_Toc150863970"/>
      <w:bookmarkStart w:id="119" w:name="_Toc163123565"/>
      <w:bookmarkStart w:id="120" w:name="_Toc165276582"/>
      <w:bookmarkStart w:id="121" w:name="_Toc199795964"/>
      <w:bookmarkStart w:id="122" w:name="_Toc227858565"/>
      <w:bookmarkEnd w:id="117"/>
      <w:r>
        <w:t xml:space="preserve">3.2 </w:t>
      </w:r>
      <w:r w:rsidR="00A111A2">
        <w:tab/>
      </w:r>
      <w:r w:rsidR="004A6839" w:rsidRPr="00573D0A">
        <w:t>Algemeen</w:t>
      </w:r>
      <w:bookmarkEnd w:id="118"/>
      <w:bookmarkEnd w:id="119"/>
      <w:bookmarkEnd w:id="120"/>
      <w:bookmarkEnd w:id="121"/>
      <w:bookmarkEnd w:id="122"/>
    </w:p>
    <w:p w14:paraId="689957B3" w14:textId="77777777" w:rsidR="004A6839" w:rsidRDefault="004A6839" w:rsidP="00A111A2">
      <w:pPr>
        <w:spacing w:after="0"/>
        <w:ind w:left="708"/>
        <w:contextualSpacing/>
      </w:pPr>
      <w:r>
        <w:t>De uitsluitingsgronden die gelden staan in het Uniform Europees Aanbestedingsdocument (UEA). Dit document is in te vullen via het aanbestedingsplatform TenderNed. De Potentiële Opdrachtnemer moet in het UEA invullen dat:</w:t>
      </w:r>
    </w:p>
    <w:p w14:paraId="1D1E6609" w14:textId="77777777" w:rsidR="004A6839" w:rsidRPr="00C009D6" w:rsidRDefault="004A6839" w:rsidP="00A111A2">
      <w:pPr>
        <w:numPr>
          <w:ilvl w:val="0"/>
          <w:numId w:val="7"/>
        </w:numPr>
        <w:spacing w:after="0"/>
        <w:ind w:left="1276"/>
        <w:contextualSpacing/>
      </w:pPr>
      <w:r w:rsidRPr="00C009D6">
        <w:t>er geen uitsluitingsgrond op hem van toepassing is (zie paragraaf 3.3),</w:t>
      </w:r>
    </w:p>
    <w:p w14:paraId="323D271C" w14:textId="3773EC3F" w:rsidR="004A6839" w:rsidRPr="005F5265" w:rsidRDefault="004A6839" w:rsidP="00A111A2">
      <w:pPr>
        <w:numPr>
          <w:ilvl w:val="0"/>
          <w:numId w:val="7"/>
        </w:numPr>
        <w:spacing w:after="0"/>
        <w:ind w:left="1276"/>
        <w:contextualSpacing/>
      </w:pPr>
      <w:r>
        <w:t>hij voldoet aan de toelatingscriteria (zie paragraaf 3.4/</w:t>
      </w:r>
      <w:r w:rsidR="005D097E" w:rsidRPr="005F5265">
        <w:t>B</w:t>
      </w:r>
      <w:r w:rsidRPr="005F5265">
        <w:t xml:space="preserve">ijlage </w:t>
      </w:r>
      <w:r w:rsidR="005F5265" w:rsidRPr="005F5265">
        <w:t>1</w:t>
      </w:r>
      <w:r w:rsidRPr="005F5265">
        <w:t>),</w:t>
      </w:r>
    </w:p>
    <w:p w14:paraId="4F90BA28" w14:textId="77777777" w:rsidR="00A111A2" w:rsidRDefault="00A111A2" w:rsidP="00A111A2">
      <w:pPr>
        <w:spacing w:after="0"/>
        <w:ind w:left="708"/>
        <w:contextualSpacing/>
      </w:pPr>
    </w:p>
    <w:p w14:paraId="2770CFCD" w14:textId="006F7965" w:rsidR="004A6839" w:rsidRPr="00C009D6" w:rsidRDefault="004A6839" w:rsidP="00A111A2">
      <w:pPr>
        <w:spacing w:after="0"/>
        <w:ind w:left="708"/>
        <w:contextualSpacing/>
      </w:pPr>
      <w:r w:rsidRPr="00C009D6">
        <w:t xml:space="preserve">Het UEA moet volledig en rechtsgeldig ondertekend zijn. De </w:t>
      </w:r>
      <w:r>
        <w:t>Potentiële O</w:t>
      </w:r>
      <w:r w:rsidRPr="00C009D6">
        <w:t>pdrachtnemer stuurt dit mee met zijn verzoek tot deelname</w:t>
      </w:r>
      <w:r>
        <w:t>.</w:t>
      </w:r>
    </w:p>
    <w:p w14:paraId="1F0A8D42" w14:textId="77777777" w:rsidR="004A6839" w:rsidRDefault="004A6839" w:rsidP="00712770">
      <w:pPr>
        <w:spacing w:after="0"/>
        <w:ind w:left="708"/>
        <w:contextualSpacing/>
      </w:pPr>
      <w:r w:rsidRPr="00C009D6">
        <w:t xml:space="preserve">De uitvoeringseisen staan in </w:t>
      </w:r>
      <w:r>
        <w:t>de conceptovereenkomst of als bijlage bij dit inkoopdocument</w:t>
      </w:r>
      <w:r w:rsidRPr="00C009D6">
        <w:t>.</w:t>
      </w:r>
      <w:r>
        <w:t xml:space="preserve"> </w:t>
      </w:r>
      <w:r w:rsidRPr="00C009D6">
        <w:t xml:space="preserve">Door het UEA te ondertekenen, gaat de </w:t>
      </w:r>
      <w:r>
        <w:t>P</w:t>
      </w:r>
      <w:r w:rsidRPr="00C009D6">
        <w:t xml:space="preserve">otentiële </w:t>
      </w:r>
      <w:r>
        <w:t>O</w:t>
      </w:r>
      <w:r w:rsidRPr="00C009D6">
        <w:t xml:space="preserve">pdrachtnemer akkoord met alle eisen en voorwaarden in de </w:t>
      </w:r>
      <w:r>
        <w:t>inkoopdocumenten</w:t>
      </w:r>
      <w:r w:rsidRPr="00C009D6">
        <w:t xml:space="preserve">, inclusief </w:t>
      </w:r>
      <w:r>
        <w:t>de conceptovereenkomst en bijlagen</w:t>
      </w:r>
      <w:r w:rsidRPr="00C009D6">
        <w:t>.</w:t>
      </w:r>
    </w:p>
    <w:p w14:paraId="4E0BF7DC" w14:textId="77777777" w:rsidR="00712770" w:rsidRPr="00C009D6" w:rsidRDefault="00712770" w:rsidP="00712770">
      <w:pPr>
        <w:spacing w:after="0"/>
        <w:ind w:left="708"/>
        <w:contextualSpacing/>
      </w:pPr>
    </w:p>
    <w:p w14:paraId="2DB94ECA" w14:textId="3FD4FF39" w:rsidR="004A6839" w:rsidRPr="00573D0A" w:rsidRDefault="00AB00EF" w:rsidP="00712770">
      <w:pPr>
        <w:pStyle w:val="Onderkop1"/>
        <w:spacing w:before="0" w:after="0"/>
        <w:contextualSpacing/>
      </w:pPr>
      <w:bookmarkStart w:id="123" w:name="_Uitsluitingsgronden"/>
      <w:bookmarkStart w:id="124" w:name="_Toc150863971"/>
      <w:bookmarkStart w:id="125" w:name="_Toc163123566"/>
      <w:bookmarkStart w:id="126" w:name="_Toc165276583"/>
      <w:bookmarkStart w:id="127" w:name="_Toc199795965"/>
      <w:bookmarkStart w:id="128" w:name="_Toc227858566"/>
      <w:bookmarkEnd w:id="123"/>
      <w:r>
        <w:t xml:space="preserve">3.3 </w:t>
      </w:r>
      <w:r w:rsidR="00712770">
        <w:tab/>
      </w:r>
      <w:r w:rsidR="004A6839" w:rsidRPr="00573D0A">
        <w:t>Uitsluitingsgronden</w:t>
      </w:r>
      <w:bookmarkEnd w:id="124"/>
      <w:bookmarkEnd w:id="125"/>
      <w:bookmarkEnd w:id="126"/>
      <w:bookmarkEnd w:id="127"/>
      <w:bookmarkEnd w:id="128"/>
    </w:p>
    <w:p w14:paraId="3C1F0FF9" w14:textId="77777777" w:rsidR="00712770" w:rsidRDefault="00712770" w:rsidP="00712770">
      <w:pPr>
        <w:spacing w:after="0"/>
        <w:ind w:left="708"/>
        <w:contextualSpacing/>
      </w:pPr>
    </w:p>
    <w:p w14:paraId="471D6100" w14:textId="694FF962" w:rsidR="004A6839" w:rsidRPr="00C009D6" w:rsidRDefault="004A6839" w:rsidP="00712770">
      <w:pPr>
        <w:spacing w:after="0"/>
        <w:ind w:left="709"/>
        <w:contextualSpacing/>
      </w:pPr>
      <w:r>
        <w:t>De inkopende organisatie kan extra bewijs vragen om uitsluitingsgronden te controleren. De Potentiële Opdrachtnemer moet deze bewijzen aanleveren. De Potentiële Opdrachtnemer heeft daarvoor 7 kalenderdagen. Als hij te laat is, sluit de inkopende organisatie hem uit van de inkoopprocedure.</w:t>
      </w:r>
    </w:p>
    <w:p w14:paraId="4D1F16B0" w14:textId="77777777" w:rsidR="004A6839" w:rsidRDefault="004A6839" w:rsidP="00712770">
      <w:pPr>
        <w:spacing w:after="0"/>
        <w:ind w:left="709"/>
        <w:contextualSpacing/>
      </w:pPr>
    </w:p>
    <w:p w14:paraId="3CB64809" w14:textId="77777777" w:rsidR="004A6839" w:rsidRPr="00C009D6" w:rsidRDefault="004A6839" w:rsidP="00712770">
      <w:pPr>
        <w:spacing w:after="0"/>
        <w:ind w:left="709"/>
        <w:contextualSpacing/>
      </w:pPr>
      <w:r w:rsidRPr="00C009D6">
        <w:t xml:space="preserve">De </w:t>
      </w:r>
      <w:r>
        <w:t>Potentiële O</w:t>
      </w:r>
      <w:r w:rsidRPr="00C009D6">
        <w:t>pdrachtnemer moet zonder kosten meewerken aan dit onderzoek.</w:t>
      </w:r>
    </w:p>
    <w:p w14:paraId="37F662E7" w14:textId="77777777" w:rsidR="004A6839" w:rsidRDefault="004A6839" w:rsidP="00712770">
      <w:pPr>
        <w:spacing w:after="0"/>
        <w:ind w:left="709"/>
        <w:contextualSpacing/>
      </w:pPr>
    </w:p>
    <w:p w14:paraId="023D0566" w14:textId="33D1B6BF" w:rsidR="004A6839" w:rsidRPr="00C009D6" w:rsidRDefault="004A6839" w:rsidP="00712770">
      <w:pPr>
        <w:spacing w:after="0"/>
        <w:ind w:left="709"/>
        <w:contextualSpacing/>
      </w:pPr>
      <w:r>
        <w:t xml:space="preserve">De Potentiële </w:t>
      </w:r>
      <w:r w:rsidR="007B6867">
        <w:t>O</w:t>
      </w:r>
      <w:r>
        <w:t>pdrachtnemer dient de volgende documenten bij zijn verzoek tot deelname aan te leveren (via TenderNed):</w:t>
      </w:r>
    </w:p>
    <w:p w14:paraId="7A04C67C" w14:textId="77777777" w:rsidR="004A6839" w:rsidRPr="00C009D6" w:rsidRDefault="004A6839" w:rsidP="00144C34">
      <w:pPr>
        <w:numPr>
          <w:ilvl w:val="0"/>
          <w:numId w:val="8"/>
        </w:numPr>
        <w:spacing w:after="0" w:line="240" w:lineRule="auto"/>
        <w:ind w:left="1276" w:hanging="567"/>
      </w:pPr>
      <w:r w:rsidRPr="00C009D6">
        <w:t xml:space="preserve">Een Gedragsverklaring Aanbesteden die maximaal 24 </w:t>
      </w:r>
      <w:r>
        <w:t>kalender</w:t>
      </w:r>
      <w:r w:rsidRPr="00C009D6">
        <w:t xml:space="preserve">maanden oud is </w:t>
      </w:r>
      <w:r>
        <w:t xml:space="preserve">als de inkopende organisatie deze ontvangt </w:t>
      </w:r>
      <w:r w:rsidRPr="00C009D6">
        <w:t xml:space="preserve">(zie </w:t>
      </w:r>
      <w:hyperlink r:id="rId18">
        <w:r w:rsidRPr="35AAA00A">
          <w:rPr>
            <w:rStyle w:val="Hyperlink"/>
          </w:rPr>
          <w:t>www.justis.nl</w:t>
        </w:r>
      </w:hyperlink>
      <w:r w:rsidRPr="00C009D6">
        <w:t>).</w:t>
      </w:r>
    </w:p>
    <w:p w14:paraId="243F783D" w14:textId="77777777" w:rsidR="004A6839" w:rsidRPr="00C009D6" w:rsidRDefault="004A6839" w:rsidP="00144C34">
      <w:pPr>
        <w:numPr>
          <w:ilvl w:val="0"/>
          <w:numId w:val="8"/>
        </w:numPr>
        <w:spacing w:after="0" w:line="240" w:lineRule="auto"/>
        <w:ind w:left="1276" w:hanging="567"/>
      </w:pPr>
      <w:r w:rsidRPr="00C009D6">
        <w:t xml:space="preserve">Een verklaring van de Belastingdienst over betalingsgedrag die maximaal 6 </w:t>
      </w:r>
      <w:r>
        <w:t>kalender</w:t>
      </w:r>
      <w:r w:rsidRPr="00C009D6">
        <w:t>maanden oud is</w:t>
      </w:r>
      <w:r>
        <w:t xml:space="preserve"> als de inkopende organisatie deze ontvangt</w:t>
      </w:r>
      <w:r w:rsidRPr="00C009D6">
        <w:t>.</w:t>
      </w:r>
    </w:p>
    <w:p w14:paraId="31F48A03" w14:textId="77777777" w:rsidR="004A6839" w:rsidRPr="00C009D6" w:rsidRDefault="004A6839" w:rsidP="00144C34">
      <w:pPr>
        <w:numPr>
          <w:ilvl w:val="0"/>
          <w:numId w:val="8"/>
        </w:numPr>
        <w:spacing w:after="0" w:line="240" w:lineRule="auto"/>
        <w:ind w:left="1276" w:hanging="567"/>
      </w:pPr>
      <w:r w:rsidRPr="00C009D6">
        <w:t>Een recent uittreksel van de Kamer van Koophandel, niet ouder dan 6 maanden</w:t>
      </w:r>
      <w:r>
        <w:t xml:space="preserve"> als de inkopende organisatie deze ontvangt</w:t>
      </w:r>
      <w:r w:rsidRPr="00C009D6">
        <w:t>.</w:t>
      </w:r>
    </w:p>
    <w:p w14:paraId="0D5F645E" w14:textId="77777777" w:rsidR="004A6839" w:rsidRPr="00C009D6" w:rsidRDefault="004A6839" w:rsidP="00144C34">
      <w:pPr>
        <w:numPr>
          <w:ilvl w:val="0"/>
          <w:numId w:val="8"/>
        </w:numPr>
        <w:spacing w:after="0" w:line="240" w:lineRule="auto"/>
        <w:ind w:left="1276" w:hanging="567"/>
      </w:pPr>
      <w:r>
        <w:t>Als de Potentiële Opdrachtnemer een rechtspersoon is, e</w:t>
      </w:r>
      <w:r w:rsidRPr="00C009D6">
        <w:t>en actuele Verklaring Omtrent het Gedrag voor rechtspersonen.</w:t>
      </w:r>
    </w:p>
    <w:p w14:paraId="1F9A245F" w14:textId="77777777" w:rsidR="004A6839" w:rsidRPr="00573D0A" w:rsidRDefault="004A6839" w:rsidP="004A6839"/>
    <w:p w14:paraId="77720928" w14:textId="0F5C86E5" w:rsidR="004A6839" w:rsidRPr="00573D0A" w:rsidRDefault="00AB00EF" w:rsidP="00AB00EF">
      <w:pPr>
        <w:pStyle w:val="Onderkop1"/>
      </w:pPr>
      <w:bookmarkStart w:id="129" w:name="_Geschiktheidseisen"/>
      <w:bookmarkStart w:id="130" w:name="_Toc150863972"/>
      <w:bookmarkStart w:id="131" w:name="_Toc163123567"/>
      <w:bookmarkStart w:id="132" w:name="_Toc165276584"/>
      <w:bookmarkStart w:id="133" w:name="_Toc199795966"/>
      <w:bookmarkStart w:id="134" w:name="_Toc227858567"/>
      <w:bookmarkEnd w:id="129"/>
      <w:r>
        <w:lastRenderedPageBreak/>
        <w:t xml:space="preserve">3.4 </w:t>
      </w:r>
      <w:r w:rsidR="007B6867">
        <w:tab/>
      </w:r>
      <w:r w:rsidR="004A6839">
        <w:t>Toelatingscriteria</w:t>
      </w:r>
      <w:bookmarkEnd w:id="130"/>
      <w:bookmarkEnd w:id="131"/>
      <w:bookmarkEnd w:id="132"/>
      <w:bookmarkEnd w:id="133"/>
      <w:bookmarkEnd w:id="134"/>
    </w:p>
    <w:p w14:paraId="6F09020C" w14:textId="798D2DCF" w:rsidR="004A6839" w:rsidRDefault="004A6839" w:rsidP="004A6839">
      <w:pPr>
        <w:ind w:left="708"/>
      </w:pPr>
      <w:r>
        <w:t xml:space="preserve">De toelatingscriteria die gelden voor deze inkoopprocedure staan in </w:t>
      </w:r>
      <w:r w:rsidRPr="00FB5E5F">
        <w:t xml:space="preserve">Bijlage </w:t>
      </w:r>
      <w:r w:rsidR="00FB5E5F" w:rsidRPr="00FB5E5F">
        <w:t>1</w:t>
      </w:r>
      <w:r w:rsidRPr="00FB5E5F">
        <w:t>.</w:t>
      </w:r>
      <w:r>
        <w:t xml:space="preserve"> Bij elke eis staat welk bewijs de Potentiële Opdrachtnemer moet aanleveren. De Potentiële Opdrachtnemer voegt dit bewijs toe aan zijn verzoek tot deelname. De eisen waarvoor alleen een verklaring (</w:t>
      </w:r>
      <w:r w:rsidR="00FB5E5F" w:rsidRPr="001330E2">
        <w:t>B</w:t>
      </w:r>
      <w:r w:rsidRPr="001330E2">
        <w:t xml:space="preserve">ijlage </w:t>
      </w:r>
      <w:r w:rsidR="001330E2" w:rsidRPr="001330E2">
        <w:t>H</w:t>
      </w:r>
      <w:r w:rsidRPr="001330E2">
        <w:t>) moet</w:t>
      </w:r>
      <w:r>
        <w:t xml:space="preserve"> worden ingevuld </w:t>
      </w:r>
      <w:r w:rsidRPr="73D7A601">
        <w:t xml:space="preserve">dat de Potentiële </w:t>
      </w:r>
      <w:r>
        <w:t>O</w:t>
      </w:r>
      <w:r w:rsidRPr="73D7A601">
        <w:t xml:space="preserve">pdrachtnemer met die eisen instemt </w:t>
      </w:r>
      <w:r>
        <w:t>c.q. akkoord gaat moet eveneens toegevoegd worden aan het verzoek tot deelname.</w:t>
      </w:r>
    </w:p>
    <w:p w14:paraId="71C7B18B" w14:textId="3F363FA6" w:rsidR="004A6839" w:rsidRPr="00C009D6" w:rsidRDefault="004A6839" w:rsidP="004A6839">
      <w:pPr>
        <w:spacing w:line="259" w:lineRule="auto"/>
        <w:ind w:left="708"/>
      </w:pPr>
      <w:r>
        <w:t xml:space="preserve">Levert de Potentiële Opdrachtnemer dit bewijs niet, te laat, onvolledig of fout aan, dan kan de inkopende organisatie het verzoek </w:t>
      </w:r>
      <w:r w:rsidR="001330E2">
        <w:t>tot deelname</w:t>
      </w:r>
      <w:r>
        <w:t xml:space="preserve"> terzijde leggen. De inkopende organisatie kan ook extra bewijs opvragen of onderzoek doen. De Potentiële Opdrachtnemer moet dat extra bewijs binnen 7 kalenderdagen aanleveren, Doet hij dat niet op tijd? Dan kan de inkopende organisatie de Potentiële Opdrachtnemer uitsluiten van de procedure.</w:t>
      </w:r>
    </w:p>
    <w:p w14:paraId="4C6F5839" w14:textId="77777777" w:rsidR="004A6839" w:rsidRPr="00C009D6" w:rsidRDefault="004A6839" w:rsidP="004A6839">
      <w:pPr>
        <w:ind w:left="708"/>
      </w:pPr>
      <w:r w:rsidRPr="00C009D6">
        <w:t xml:space="preserve">De </w:t>
      </w:r>
      <w:r>
        <w:t>Potentiële O</w:t>
      </w:r>
      <w:r w:rsidRPr="00C009D6">
        <w:t>pdrachtnemer werkt kosteloos mee aan deze controle.</w:t>
      </w:r>
    </w:p>
    <w:p w14:paraId="66985A12" w14:textId="77777777" w:rsidR="004A6839" w:rsidRPr="00573D0A" w:rsidRDefault="004A6839" w:rsidP="004A6839"/>
    <w:p w14:paraId="7DC45CCC" w14:textId="77777777" w:rsidR="004A6839" w:rsidRPr="00573D0A" w:rsidRDefault="004A6839" w:rsidP="004A6839">
      <w:pPr>
        <w:ind w:left="708"/>
        <w:rPr>
          <w:i/>
          <w:iCs/>
        </w:rPr>
      </w:pPr>
    </w:p>
    <w:p w14:paraId="7128EC67" w14:textId="77777777" w:rsidR="004A6839" w:rsidRPr="00573D0A" w:rsidRDefault="004A6839" w:rsidP="004A6839">
      <w:pPr>
        <w:sectPr w:rsidR="004A6839" w:rsidRPr="00573D0A" w:rsidSect="004A6839">
          <w:pgSz w:w="11906" w:h="16838"/>
          <w:pgMar w:top="1417" w:right="1417" w:bottom="1417" w:left="1417" w:header="708" w:footer="708" w:gutter="0"/>
          <w:cols w:space="708"/>
          <w:docGrid w:linePitch="360"/>
        </w:sectPr>
      </w:pPr>
      <w:bookmarkStart w:id="135" w:name="_[Optioneel:]_Selectiecriteria"/>
      <w:bookmarkEnd w:id="135"/>
    </w:p>
    <w:p w14:paraId="4A0213A5" w14:textId="77777777" w:rsidR="004A6839" w:rsidRPr="00573D0A" w:rsidRDefault="004A6839" w:rsidP="001330E2">
      <w:pPr>
        <w:pStyle w:val="Hoofdkop"/>
        <w:spacing w:before="0" w:after="0"/>
        <w:contextualSpacing/>
      </w:pPr>
      <w:bookmarkStart w:id="136" w:name="_Toc150863975"/>
      <w:bookmarkStart w:id="137" w:name="_Toc163123570"/>
      <w:bookmarkStart w:id="138" w:name="_Toc165276587"/>
      <w:bookmarkStart w:id="139" w:name="_Toc199795967"/>
      <w:bookmarkStart w:id="140" w:name="_Toc227858568"/>
      <w:r w:rsidRPr="00573D0A">
        <w:lastRenderedPageBreak/>
        <w:t xml:space="preserve">Procedure voor </w:t>
      </w:r>
      <w:r>
        <w:t xml:space="preserve">deelneming en/of inschrijving </w:t>
      </w:r>
      <w:r w:rsidRPr="00573D0A">
        <w:t>en beoordeling</w:t>
      </w:r>
      <w:bookmarkEnd w:id="136"/>
      <w:bookmarkEnd w:id="137"/>
      <w:bookmarkEnd w:id="138"/>
      <w:bookmarkEnd w:id="139"/>
      <w:bookmarkEnd w:id="140"/>
    </w:p>
    <w:p w14:paraId="4CB86DE4" w14:textId="77777777" w:rsidR="004A6839" w:rsidRPr="00573D0A" w:rsidRDefault="004A6839" w:rsidP="001330E2">
      <w:pPr>
        <w:spacing w:after="0"/>
        <w:contextualSpacing/>
      </w:pPr>
    </w:p>
    <w:p w14:paraId="5A5CB292" w14:textId="58BF1B66" w:rsidR="004A6839" w:rsidRPr="00573D0A" w:rsidRDefault="002F5E29" w:rsidP="001330E2">
      <w:pPr>
        <w:pStyle w:val="Onderkop1"/>
        <w:spacing w:before="0" w:after="0"/>
        <w:contextualSpacing/>
      </w:pPr>
      <w:bookmarkStart w:id="141" w:name="_Toc150863976"/>
      <w:bookmarkStart w:id="142" w:name="_Toc163123571"/>
      <w:bookmarkStart w:id="143" w:name="_Toc165276588"/>
      <w:bookmarkStart w:id="144" w:name="_Toc199795968"/>
      <w:bookmarkStart w:id="145" w:name="_Toc227858569"/>
      <w:r>
        <w:t xml:space="preserve">4.1 </w:t>
      </w:r>
      <w:r w:rsidR="001330E2">
        <w:tab/>
      </w:r>
      <w:r w:rsidR="004A6839" w:rsidRPr="00573D0A">
        <w:t>Procedure</w:t>
      </w:r>
      <w:bookmarkEnd w:id="141"/>
      <w:bookmarkEnd w:id="142"/>
      <w:bookmarkEnd w:id="143"/>
      <w:bookmarkEnd w:id="144"/>
      <w:bookmarkEnd w:id="145"/>
    </w:p>
    <w:p w14:paraId="0D295BF3" w14:textId="77777777" w:rsidR="001330E2" w:rsidRDefault="001330E2" w:rsidP="001330E2">
      <w:pPr>
        <w:spacing w:after="0"/>
        <w:ind w:left="720"/>
        <w:contextualSpacing/>
      </w:pPr>
    </w:p>
    <w:p w14:paraId="5145FEA1" w14:textId="368AFD6F" w:rsidR="004A6839" w:rsidRPr="001F3281" w:rsidRDefault="004A6839" w:rsidP="001330E2">
      <w:pPr>
        <w:spacing w:after="0"/>
        <w:ind w:left="720"/>
        <w:contextualSpacing/>
      </w:pPr>
      <w:r w:rsidRPr="00C009D6">
        <w:t xml:space="preserve">De inkopende organisatie koopt </w:t>
      </w:r>
      <w:r>
        <w:t>maatschappelijke ondersteuning</w:t>
      </w:r>
      <w:r w:rsidRPr="00C009D6">
        <w:t xml:space="preserve"> in </w:t>
      </w:r>
      <w:r>
        <w:t xml:space="preserve">op grond van </w:t>
      </w:r>
      <w:r w:rsidRPr="00C009D6">
        <w:t xml:space="preserve">de </w:t>
      </w:r>
      <w:r>
        <w:t>Wmo 2015</w:t>
      </w:r>
      <w:r w:rsidRPr="00C009D6">
        <w:t xml:space="preserve">. </w:t>
      </w:r>
      <w:r w:rsidRPr="001F3281">
        <w:t xml:space="preserve">De </w:t>
      </w:r>
      <w:r>
        <w:t>Opdrachtgever</w:t>
      </w:r>
      <w:r w:rsidRPr="001F3281">
        <w:t xml:space="preserve"> organiseert daarvoor deze toelatingsprocedure.</w:t>
      </w:r>
    </w:p>
    <w:p w14:paraId="05465084" w14:textId="77777777" w:rsidR="004A6839" w:rsidRPr="001F3281" w:rsidRDefault="004A6839" w:rsidP="001330E2">
      <w:pPr>
        <w:spacing w:after="0"/>
        <w:ind w:left="567"/>
        <w:contextualSpacing/>
      </w:pPr>
    </w:p>
    <w:p w14:paraId="758B8C40" w14:textId="77777777" w:rsidR="004A6839" w:rsidRPr="001F3281" w:rsidRDefault="004A6839" w:rsidP="001330E2">
      <w:pPr>
        <w:spacing w:after="0"/>
        <w:ind w:left="708"/>
        <w:contextualSpacing/>
        <w:rPr>
          <w:color w:val="000000" w:themeColor="text1"/>
        </w:rPr>
      </w:pPr>
      <w:r w:rsidRPr="13C7ED9A">
        <w:rPr>
          <w:color w:val="000000" w:themeColor="text1"/>
        </w:rPr>
        <w:t xml:space="preserve">Met het doorlopen van de toelatingsprocedure sluit de </w:t>
      </w:r>
      <w:r>
        <w:rPr>
          <w:color w:val="000000" w:themeColor="text1"/>
        </w:rPr>
        <w:t>O</w:t>
      </w:r>
      <w:r w:rsidRPr="13C7ED9A">
        <w:rPr>
          <w:color w:val="000000" w:themeColor="text1"/>
        </w:rPr>
        <w:t xml:space="preserve">pdrachtgever een raamovereenkomst/overeenkomst van opdracht met elke </w:t>
      </w:r>
      <w:r>
        <w:rPr>
          <w:color w:val="000000" w:themeColor="text1"/>
        </w:rPr>
        <w:t>P</w:t>
      </w:r>
      <w:r w:rsidRPr="13C7ED9A">
        <w:rPr>
          <w:color w:val="000000" w:themeColor="text1"/>
        </w:rPr>
        <w:t xml:space="preserve">otentiële </w:t>
      </w:r>
      <w:r>
        <w:rPr>
          <w:color w:val="000000" w:themeColor="text1"/>
        </w:rPr>
        <w:t>O</w:t>
      </w:r>
      <w:r w:rsidRPr="13C7ED9A">
        <w:rPr>
          <w:color w:val="000000" w:themeColor="text1"/>
        </w:rPr>
        <w:t>pdrachtnemer:</w:t>
      </w:r>
    </w:p>
    <w:p w14:paraId="05906B37" w14:textId="77777777" w:rsidR="004A6839" w:rsidRPr="001F3281" w:rsidRDefault="004A6839" w:rsidP="001330E2">
      <w:pPr>
        <w:pStyle w:val="Lijstalinea"/>
        <w:numPr>
          <w:ilvl w:val="0"/>
          <w:numId w:val="1"/>
        </w:numPr>
        <w:spacing w:after="0"/>
        <w:ind w:left="1276" w:hanging="567"/>
        <w:rPr>
          <w:color w:val="000000" w:themeColor="text1"/>
        </w:rPr>
      </w:pPr>
      <w:r w:rsidRPr="001F3281">
        <w:rPr>
          <w:color w:val="000000" w:themeColor="text1"/>
        </w:rPr>
        <w:t>die voldoet aan de procedurevoorschriften;</w:t>
      </w:r>
    </w:p>
    <w:p w14:paraId="106DC91E" w14:textId="77777777" w:rsidR="004A6839" w:rsidRPr="001F3281" w:rsidRDefault="004A6839" w:rsidP="001330E2">
      <w:pPr>
        <w:pStyle w:val="Lijstalinea"/>
        <w:numPr>
          <w:ilvl w:val="0"/>
          <w:numId w:val="1"/>
        </w:numPr>
        <w:spacing w:after="0"/>
        <w:ind w:left="1276" w:hanging="567"/>
        <w:rPr>
          <w:color w:val="000000" w:themeColor="text1"/>
        </w:rPr>
      </w:pPr>
      <w:r w:rsidRPr="001F3281">
        <w:rPr>
          <w:color w:val="000000" w:themeColor="text1"/>
        </w:rPr>
        <w:t>op wie geen uitsluitingsgronden van toepassing zijn;</w:t>
      </w:r>
    </w:p>
    <w:p w14:paraId="5EC936D9" w14:textId="77777777" w:rsidR="004A6839" w:rsidRPr="001F3281" w:rsidRDefault="004A6839" w:rsidP="001330E2">
      <w:pPr>
        <w:pStyle w:val="Lijstalinea"/>
        <w:numPr>
          <w:ilvl w:val="0"/>
          <w:numId w:val="1"/>
        </w:numPr>
        <w:spacing w:after="0"/>
        <w:ind w:left="1276" w:hanging="567"/>
        <w:rPr>
          <w:color w:val="000000" w:themeColor="text1"/>
        </w:rPr>
      </w:pPr>
      <w:r w:rsidRPr="13C7ED9A">
        <w:rPr>
          <w:color w:val="000000" w:themeColor="text1"/>
        </w:rPr>
        <w:t>die voldoet aan de toelatingscriteria; en</w:t>
      </w:r>
    </w:p>
    <w:p w14:paraId="684A1073" w14:textId="77777777" w:rsidR="004A6839" w:rsidRPr="001F3281" w:rsidRDefault="004A6839" w:rsidP="001330E2">
      <w:pPr>
        <w:pStyle w:val="Lijstalinea"/>
        <w:numPr>
          <w:ilvl w:val="0"/>
          <w:numId w:val="1"/>
        </w:numPr>
        <w:spacing w:after="0"/>
        <w:ind w:left="1276" w:hanging="567"/>
        <w:rPr>
          <w:color w:val="000000" w:themeColor="text1"/>
        </w:rPr>
      </w:pPr>
      <w:r w:rsidRPr="3A600064">
        <w:rPr>
          <w:color w:val="000000" w:themeColor="text1"/>
        </w:rPr>
        <w:t xml:space="preserve">die akkoord gaat met de uitvoeringseisen. </w:t>
      </w:r>
    </w:p>
    <w:p w14:paraId="7C660203" w14:textId="77777777" w:rsidR="004A6839" w:rsidRDefault="004A6839" w:rsidP="001330E2">
      <w:pPr>
        <w:spacing w:after="0"/>
        <w:contextualSpacing/>
        <w:rPr>
          <w:color w:val="000000" w:themeColor="text1"/>
        </w:rPr>
      </w:pPr>
    </w:p>
    <w:p w14:paraId="70681F0E" w14:textId="77777777" w:rsidR="004A6839" w:rsidRDefault="004A6839" w:rsidP="001330E2">
      <w:pPr>
        <w:spacing w:after="0"/>
        <w:ind w:left="709"/>
        <w:contextualSpacing/>
        <w:rPr>
          <w:color w:val="000000" w:themeColor="text1"/>
        </w:rPr>
      </w:pPr>
      <w:r w:rsidRPr="3A600064">
        <w:rPr>
          <w:color w:val="000000" w:themeColor="text1"/>
        </w:rPr>
        <w:t xml:space="preserve">De toelatingsprocedure blijft open staan zolang de inkooporganisatie behoefte heeft </w:t>
      </w:r>
      <w:r>
        <w:tab/>
      </w:r>
      <w:r w:rsidRPr="3A600064">
        <w:rPr>
          <w:color w:val="000000" w:themeColor="text1"/>
        </w:rPr>
        <w:t xml:space="preserve">aan het product Safehouse. De procedure is daarom in 2 fasen. </w:t>
      </w:r>
    </w:p>
    <w:p w14:paraId="657C4090" w14:textId="77777777" w:rsidR="004A6839" w:rsidRDefault="004A6839" w:rsidP="001330E2">
      <w:pPr>
        <w:spacing w:after="0"/>
        <w:ind w:left="709"/>
        <w:contextualSpacing/>
        <w:rPr>
          <w:b/>
          <w:bCs/>
          <w:color w:val="000000" w:themeColor="text1"/>
        </w:rPr>
      </w:pPr>
    </w:p>
    <w:p w14:paraId="6AC5C47A" w14:textId="77777777" w:rsidR="004A6839" w:rsidRDefault="004A6839" w:rsidP="001330E2">
      <w:pPr>
        <w:spacing w:after="0"/>
        <w:ind w:left="709"/>
        <w:contextualSpacing/>
        <w:rPr>
          <w:color w:val="000000" w:themeColor="text1"/>
        </w:rPr>
      </w:pPr>
      <w:r w:rsidRPr="00A84342">
        <w:rPr>
          <w:b/>
          <w:bCs/>
          <w:color w:val="000000" w:themeColor="text1"/>
        </w:rPr>
        <w:t>Fase 1</w:t>
      </w:r>
      <w:r w:rsidRPr="3A600064">
        <w:rPr>
          <w:color w:val="000000" w:themeColor="text1"/>
        </w:rPr>
        <w:t xml:space="preserve">: </w:t>
      </w:r>
      <w:r>
        <w:rPr>
          <w:color w:val="000000" w:themeColor="text1"/>
        </w:rPr>
        <w:t>Deze fase loopt va</w:t>
      </w:r>
      <w:r w:rsidRPr="3A600064">
        <w:rPr>
          <w:color w:val="000000" w:themeColor="text1"/>
        </w:rPr>
        <w:t>n datum publicatie tot inschrijfdatum. In deze fase wil de inkopende</w:t>
      </w:r>
      <w:r>
        <w:rPr>
          <w:color w:val="000000" w:themeColor="text1"/>
        </w:rPr>
        <w:t xml:space="preserve"> </w:t>
      </w:r>
      <w:r w:rsidRPr="3A600064">
        <w:rPr>
          <w:color w:val="000000" w:themeColor="text1"/>
        </w:rPr>
        <w:t xml:space="preserve">organisatie zoveel mogelijk Potentiële </w:t>
      </w:r>
      <w:r>
        <w:rPr>
          <w:color w:val="000000" w:themeColor="text1"/>
        </w:rPr>
        <w:t>O</w:t>
      </w:r>
      <w:r w:rsidRPr="3A600064">
        <w:rPr>
          <w:color w:val="000000" w:themeColor="text1"/>
        </w:rPr>
        <w:t>pdrachtnemers van het product Safehouse</w:t>
      </w:r>
      <w:r>
        <w:rPr>
          <w:color w:val="000000" w:themeColor="text1"/>
        </w:rPr>
        <w:t xml:space="preserve"> </w:t>
      </w:r>
      <w:r w:rsidRPr="3A600064">
        <w:rPr>
          <w:color w:val="000000" w:themeColor="text1"/>
        </w:rPr>
        <w:t xml:space="preserve">contracteren die aan de eisen uit dit document (incl. Bijlagen) voldoen. </w:t>
      </w:r>
    </w:p>
    <w:p w14:paraId="400F794D" w14:textId="77777777" w:rsidR="004A6839" w:rsidRDefault="004A6839" w:rsidP="001330E2">
      <w:pPr>
        <w:spacing w:after="0"/>
        <w:ind w:left="709"/>
        <w:contextualSpacing/>
        <w:rPr>
          <w:b/>
          <w:bCs/>
          <w:color w:val="000000" w:themeColor="text1"/>
        </w:rPr>
      </w:pPr>
    </w:p>
    <w:p w14:paraId="2CAD57EA" w14:textId="77777777" w:rsidR="004A6839" w:rsidRDefault="004A6839" w:rsidP="001330E2">
      <w:pPr>
        <w:spacing w:after="0"/>
        <w:ind w:left="709"/>
        <w:contextualSpacing/>
        <w:rPr>
          <w:color w:val="000000" w:themeColor="text1"/>
        </w:rPr>
      </w:pPr>
      <w:r w:rsidRPr="00A84342">
        <w:rPr>
          <w:b/>
          <w:bCs/>
          <w:color w:val="000000" w:themeColor="text1"/>
        </w:rPr>
        <w:t>Fase 2</w:t>
      </w:r>
      <w:r w:rsidRPr="3A600064">
        <w:rPr>
          <w:color w:val="000000" w:themeColor="text1"/>
        </w:rPr>
        <w:t xml:space="preserve">: </w:t>
      </w:r>
      <w:r>
        <w:rPr>
          <w:color w:val="000000" w:themeColor="text1"/>
        </w:rPr>
        <w:t>Deze fase g</w:t>
      </w:r>
      <w:r w:rsidRPr="3A600064">
        <w:rPr>
          <w:color w:val="000000" w:themeColor="text1"/>
        </w:rPr>
        <w:t xml:space="preserve">eldt voor Potentiële </w:t>
      </w:r>
      <w:r>
        <w:rPr>
          <w:color w:val="000000" w:themeColor="text1"/>
        </w:rPr>
        <w:t>O</w:t>
      </w:r>
      <w:r w:rsidRPr="3A600064">
        <w:rPr>
          <w:color w:val="000000" w:themeColor="text1"/>
        </w:rPr>
        <w:t xml:space="preserve">pdrachtnemers die niet aan Fase 1 hebben deelgenomen of daarin niet zijn toegelaten en die op een later tijdstip alsnog een verzoek tot toelating aan de procedure doen. In deze fase is </w:t>
      </w:r>
      <w:r>
        <w:rPr>
          <w:color w:val="000000" w:themeColor="text1"/>
        </w:rPr>
        <w:t xml:space="preserve">er </w:t>
      </w:r>
      <w:r w:rsidRPr="3A600064">
        <w:rPr>
          <w:color w:val="000000" w:themeColor="text1"/>
        </w:rPr>
        <w:t xml:space="preserve">geen formele vragenronde. </w:t>
      </w:r>
      <w:r>
        <w:rPr>
          <w:color w:val="000000" w:themeColor="text1"/>
        </w:rPr>
        <w:t xml:space="preserve">Dit betekent dat deze </w:t>
      </w:r>
      <w:r w:rsidRPr="3A600064">
        <w:rPr>
          <w:color w:val="000000" w:themeColor="text1"/>
        </w:rPr>
        <w:t xml:space="preserve">Potentiële opdrachtnemers de inkoopdocumenten zoals deze in Fase 1definitief zijn vastgesteld onverkort </w:t>
      </w:r>
      <w:r>
        <w:rPr>
          <w:color w:val="000000" w:themeColor="text1"/>
        </w:rPr>
        <w:t xml:space="preserve">moeten </w:t>
      </w:r>
      <w:r w:rsidRPr="3A600064">
        <w:rPr>
          <w:color w:val="000000" w:themeColor="text1"/>
        </w:rPr>
        <w:t>accepteren. Onderhandelen o</w:t>
      </w:r>
      <w:r>
        <w:rPr>
          <w:color w:val="000000" w:themeColor="text1"/>
        </w:rPr>
        <w:t>f iets dergelijks</w:t>
      </w:r>
      <w:r w:rsidRPr="3A600064">
        <w:rPr>
          <w:color w:val="000000" w:themeColor="text1"/>
        </w:rPr>
        <w:t xml:space="preserve"> is niet mogelijk.</w:t>
      </w:r>
      <w:r>
        <w:rPr>
          <w:color w:val="000000" w:themeColor="text1"/>
        </w:rPr>
        <w:t xml:space="preserve"> </w:t>
      </w:r>
      <w:r w:rsidRPr="3A600064">
        <w:rPr>
          <w:color w:val="000000" w:themeColor="text1"/>
        </w:rPr>
        <w:t xml:space="preserve">Fase 2 is dus niet van toepassing voor die aanbieders die in Fase 1 hebben deelgenomen en zijn toegelaten </w:t>
      </w:r>
      <w:r w:rsidRPr="3A600064">
        <w:rPr>
          <w:b/>
          <w:bCs/>
          <w:color w:val="000000" w:themeColor="text1"/>
        </w:rPr>
        <w:t>é</w:t>
      </w:r>
      <w:r w:rsidRPr="3A600064">
        <w:rPr>
          <w:color w:val="000000" w:themeColor="text1"/>
        </w:rPr>
        <w:t>n waarmee de inkopende organisatie een overeenkomst</w:t>
      </w:r>
      <w:r>
        <w:rPr>
          <w:color w:val="000000" w:themeColor="text1"/>
        </w:rPr>
        <w:t xml:space="preserve"> </w:t>
      </w:r>
      <w:r w:rsidRPr="3A600064">
        <w:rPr>
          <w:color w:val="000000" w:themeColor="text1"/>
        </w:rPr>
        <w:t>heeft gesloten.</w:t>
      </w:r>
    </w:p>
    <w:p w14:paraId="111276CA" w14:textId="77777777" w:rsidR="004A6839" w:rsidRDefault="004A6839" w:rsidP="004A6839">
      <w:pPr>
        <w:ind w:left="708"/>
      </w:pPr>
    </w:p>
    <w:p w14:paraId="0C63E180" w14:textId="596683BA" w:rsidR="004A6839" w:rsidRPr="00573D0A" w:rsidRDefault="002F5E29" w:rsidP="001330E2">
      <w:pPr>
        <w:pStyle w:val="Onderkop1"/>
        <w:spacing w:before="0" w:after="0"/>
        <w:contextualSpacing/>
        <w:rPr>
          <w:b/>
        </w:rPr>
      </w:pPr>
      <w:bookmarkStart w:id="146" w:name="_Toc150863977"/>
      <w:bookmarkStart w:id="147" w:name="_Toc163123572"/>
      <w:bookmarkStart w:id="148" w:name="_Toc165276589"/>
      <w:bookmarkStart w:id="149" w:name="_Toc199795969"/>
      <w:bookmarkStart w:id="150" w:name="_Toc227858570"/>
      <w:r>
        <w:t xml:space="preserve">4.2 </w:t>
      </w:r>
      <w:r w:rsidR="001330E2">
        <w:tab/>
      </w:r>
      <w:r w:rsidR="004A6839">
        <w:t>Procedurevoorschriften</w:t>
      </w:r>
      <w:bookmarkEnd w:id="150"/>
      <w:r w:rsidR="004A6839">
        <w:t xml:space="preserve"> </w:t>
      </w:r>
      <w:bookmarkEnd w:id="146"/>
      <w:bookmarkEnd w:id="147"/>
      <w:bookmarkEnd w:id="148"/>
      <w:bookmarkEnd w:id="149"/>
    </w:p>
    <w:p w14:paraId="6ECEB53A" w14:textId="77777777" w:rsidR="004A6839" w:rsidRDefault="004A6839" w:rsidP="001330E2">
      <w:pPr>
        <w:spacing w:after="0"/>
        <w:ind w:hanging="720"/>
        <w:contextualSpacing/>
      </w:pPr>
    </w:p>
    <w:p w14:paraId="0B0B6816" w14:textId="01713564" w:rsidR="004A6839" w:rsidRPr="001330E2" w:rsidRDefault="0008597B" w:rsidP="001330E2">
      <w:pPr>
        <w:pStyle w:val="Onderkop2"/>
        <w:spacing w:before="0" w:after="0"/>
        <w:contextualSpacing/>
        <w:rPr>
          <w:sz w:val="26"/>
          <w:szCs w:val="26"/>
        </w:rPr>
      </w:pPr>
      <w:bookmarkStart w:id="151" w:name="_Toc227858571"/>
      <w:r w:rsidRPr="001330E2">
        <w:rPr>
          <w:sz w:val="26"/>
          <w:szCs w:val="26"/>
        </w:rPr>
        <w:t xml:space="preserve">4.2.1 </w:t>
      </w:r>
      <w:r w:rsidR="004A6839" w:rsidRPr="001330E2">
        <w:rPr>
          <w:sz w:val="26"/>
          <w:szCs w:val="26"/>
        </w:rPr>
        <w:t>Procedurevoorschriften (</w:t>
      </w:r>
      <w:r w:rsidR="004A6839" w:rsidRPr="001330E2">
        <w:rPr>
          <w:b/>
          <w:bCs w:val="0"/>
          <w:sz w:val="26"/>
          <w:szCs w:val="26"/>
        </w:rPr>
        <w:t>Fase 1</w:t>
      </w:r>
      <w:r w:rsidR="004A6839" w:rsidRPr="001330E2">
        <w:rPr>
          <w:sz w:val="26"/>
          <w:szCs w:val="26"/>
        </w:rPr>
        <w:t>)</w:t>
      </w:r>
      <w:bookmarkEnd w:id="151"/>
    </w:p>
    <w:p w14:paraId="4FA4CAC4" w14:textId="77777777" w:rsidR="004A6839" w:rsidRDefault="004A6839" w:rsidP="001330E2">
      <w:pPr>
        <w:spacing w:after="0"/>
        <w:ind w:left="708"/>
        <w:contextualSpacing/>
      </w:pPr>
    </w:p>
    <w:p w14:paraId="00039294" w14:textId="77777777" w:rsidR="004A6839" w:rsidRPr="001F3281" w:rsidRDefault="004A6839" w:rsidP="001330E2">
      <w:pPr>
        <w:spacing w:after="0"/>
        <w:ind w:left="708"/>
        <w:contextualSpacing/>
      </w:pPr>
      <w:r>
        <w:t xml:space="preserve">De Potentiële Opdrachtnemer moet zijn verzoek tot deelname uiterlijk op </w:t>
      </w:r>
      <w:r w:rsidRPr="00A14D44">
        <w:rPr>
          <w:b/>
          <w:bCs/>
        </w:rPr>
        <w:t>8 juni 2026 vóór 12.00</w:t>
      </w:r>
      <w:r>
        <w:t xml:space="preserve"> uur indienen. Na dit tijdstip neemt de inkopende organisatie de verzoeken tot deelneming niet meer in behandeling in Fase 1.</w:t>
      </w:r>
    </w:p>
    <w:p w14:paraId="241AF549" w14:textId="77777777" w:rsidR="004A6839" w:rsidRPr="001F3281" w:rsidRDefault="004A6839" w:rsidP="001330E2">
      <w:pPr>
        <w:spacing w:after="0"/>
        <w:ind w:left="709"/>
        <w:contextualSpacing/>
      </w:pPr>
    </w:p>
    <w:p w14:paraId="3940A9DE" w14:textId="77777777" w:rsidR="004A6839" w:rsidRPr="001F3281" w:rsidRDefault="004A6839" w:rsidP="001330E2">
      <w:pPr>
        <w:spacing w:after="0"/>
        <w:ind w:left="709"/>
        <w:contextualSpacing/>
      </w:pPr>
      <w:r>
        <w:t xml:space="preserve">De Potentiële Opdrachtnemer moet de volgende regels volgen. Doet hij dat niet, dan wijst de inkopende organisatie zijn verzoek tot deelname af. </w:t>
      </w:r>
    </w:p>
    <w:p w14:paraId="00C181BB" w14:textId="77777777" w:rsidR="004A6839" w:rsidRPr="006652C7" w:rsidRDefault="004A6839" w:rsidP="001330E2">
      <w:pPr>
        <w:spacing w:after="0"/>
        <w:ind w:left="708"/>
        <w:contextualSpacing/>
        <w:rPr>
          <w:kern w:val="2"/>
          <w14:ligatures w14:val="standardContextual"/>
        </w:rPr>
      </w:pPr>
    </w:p>
    <w:p w14:paraId="1A9A9716" w14:textId="77777777" w:rsidR="004A6839" w:rsidRPr="006652C7" w:rsidRDefault="004A6839" w:rsidP="001330E2">
      <w:pPr>
        <w:numPr>
          <w:ilvl w:val="0"/>
          <w:numId w:val="9"/>
        </w:numPr>
        <w:spacing w:after="0"/>
        <w:contextualSpacing/>
        <w:rPr>
          <w:rFonts w:eastAsiaTheme="minorEastAsia"/>
        </w:rPr>
      </w:pPr>
      <w:r w:rsidRPr="73D7A601">
        <w:rPr>
          <w:rFonts w:eastAsiaTheme="minorEastAsia"/>
          <w:b/>
          <w:bCs/>
          <w:kern w:val="2"/>
          <w14:ligatures w14:val="standardContextual"/>
        </w:rPr>
        <w:t>Indienen via het juiste platform</w:t>
      </w:r>
      <w:r w:rsidRPr="006652C7">
        <w:rPr>
          <w:kern w:val="2"/>
          <w14:ligatures w14:val="standardContextual"/>
        </w:rPr>
        <w:br/>
      </w:r>
      <w:r w:rsidRPr="73D7A601">
        <w:rPr>
          <w:rFonts w:eastAsiaTheme="minorEastAsia"/>
          <w:kern w:val="2"/>
          <w14:ligatures w14:val="standardContextual"/>
        </w:rPr>
        <w:t xml:space="preserve">De Potentiële Opdrachtnemer moet </w:t>
      </w:r>
      <w:r w:rsidRPr="00A14D44">
        <w:rPr>
          <w:rFonts w:eastAsiaTheme="minorEastAsia"/>
          <w:kern w:val="2"/>
          <w14:ligatures w14:val="standardContextual"/>
        </w:rPr>
        <w:t>het verzoek tot deelname</w:t>
      </w:r>
      <w:r w:rsidRPr="73D7A601">
        <w:rPr>
          <w:rFonts w:eastAsiaTheme="minorEastAsia"/>
          <w:kern w:val="2"/>
          <w14:ligatures w14:val="standardContextual"/>
        </w:rPr>
        <w:t xml:space="preserve"> indienen via het </w:t>
      </w:r>
      <w:r w:rsidRPr="73D7A601">
        <w:rPr>
          <w:rFonts w:eastAsiaTheme="minorEastAsia"/>
          <w:kern w:val="2"/>
          <w14:ligatures w14:val="standardContextual"/>
        </w:rPr>
        <w:lastRenderedPageBreak/>
        <w:t>aangegeven elektronische aanbestedingsplatform, te weten TenderNed. Andere manieren, zoals post of e-mail, zijn niet toegestaan.</w:t>
      </w:r>
    </w:p>
    <w:p w14:paraId="37A2EAA8" w14:textId="77777777" w:rsidR="004A6839" w:rsidRPr="006652C7" w:rsidRDefault="004A6839" w:rsidP="00144C34">
      <w:pPr>
        <w:numPr>
          <w:ilvl w:val="0"/>
          <w:numId w:val="9"/>
        </w:numPr>
        <w:spacing w:after="0" w:line="240" w:lineRule="auto"/>
        <w:rPr>
          <w:rFonts w:eastAsiaTheme="minorEastAsia"/>
          <w:kern w:val="2"/>
          <w14:ligatures w14:val="standardContextual"/>
        </w:rPr>
      </w:pPr>
      <w:r w:rsidRPr="3A600064">
        <w:rPr>
          <w:rFonts w:eastAsiaTheme="minorEastAsia"/>
          <w:b/>
          <w:bCs/>
          <w:kern w:val="2"/>
          <w14:ligatures w14:val="standardContextual"/>
        </w:rPr>
        <w:t>Op tijd indienen</w:t>
      </w:r>
      <w:r w:rsidRPr="006652C7">
        <w:rPr>
          <w:kern w:val="2"/>
          <w14:ligatures w14:val="standardContextual"/>
        </w:rPr>
        <w:br/>
      </w:r>
      <w:r w:rsidRPr="3A600064">
        <w:rPr>
          <w:rFonts w:eastAsiaTheme="minorEastAsia"/>
          <w:kern w:val="2"/>
          <w14:ligatures w14:val="standardContextual"/>
        </w:rPr>
        <w:t xml:space="preserve">De Potentiële Opdrachtnemer is zelf verantwoordelijk voor tijdige en volledige indiening. Dien niet op het laatste moment in. Technische storingen zijn het risico van de Potentiële </w:t>
      </w:r>
      <w:r w:rsidRPr="3A600064">
        <w:rPr>
          <w:rFonts w:eastAsiaTheme="minorEastAsia"/>
        </w:rPr>
        <w:t>Opdrachtnemer. Bij problemen moet hij deze direct melden bij het platform én de contactpersoon van de inkopende organisatie.</w:t>
      </w:r>
    </w:p>
    <w:p w14:paraId="0010EED6" w14:textId="138855D4" w:rsidR="004A6839" w:rsidRPr="006652C7" w:rsidRDefault="004A6839" w:rsidP="00144C34">
      <w:pPr>
        <w:numPr>
          <w:ilvl w:val="0"/>
          <w:numId w:val="9"/>
        </w:numPr>
        <w:spacing w:after="0" w:line="240" w:lineRule="auto"/>
        <w:rPr>
          <w:rFonts w:eastAsiaTheme="minorEastAsia"/>
          <w:kern w:val="2"/>
          <w14:ligatures w14:val="standardContextual"/>
        </w:rPr>
      </w:pPr>
      <w:r w:rsidRPr="13C7ED9A">
        <w:rPr>
          <w:rFonts w:eastAsiaTheme="minorEastAsia"/>
          <w:b/>
          <w:bCs/>
          <w:kern w:val="2"/>
          <w14:ligatures w14:val="standardContextual"/>
        </w:rPr>
        <w:t>Volledig indienen</w:t>
      </w:r>
      <w:r w:rsidRPr="006652C7">
        <w:rPr>
          <w:kern w:val="2"/>
          <w14:ligatures w14:val="standardContextual"/>
        </w:rPr>
        <w:br/>
      </w:r>
      <w:r w:rsidRPr="13C7ED9A">
        <w:rPr>
          <w:rFonts w:eastAsiaTheme="minorEastAsia"/>
          <w:kern w:val="2"/>
          <w14:ligatures w14:val="standardContextual"/>
        </w:rPr>
        <w:t xml:space="preserve">Alle verplichte documenten en bewijsstukken moeten zijn bijgevoegd zoals aangegeven in dit inkoopdocument. In </w:t>
      </w:r>
      <w:r w:rsidR="003B0E36">
        <w:rPr>
          <w:rFonts w:eastAsiaTheme="minorEastAsia"/>
          <w:kern w:val="2"/>
          <w14:ligatures w14:val="standardContextual"/>
        </w:rPr>
        <w:t xml:space="preserve">dit </w:t>
      </w:r>
      <w:proofErr w:type="spellStart"/>
      <w:r w:rsidR="003B0E36">
        <w:rPr>
          <w:rFonts w:eastAsiaTheme="minorEastAsia"/>
          <w:kern w:val="2"/>
          <w14:ligatures w14:val="standardContextual"/>
        </w:rPr>
        <w:t>inkoopdocumentt</w:t>
      </w:r>
      <w:proofErr w:type="spellEnd"/>
      <w:r w:rsidR="003B0E36">
        <w:rPr>
          <w:rFonts w:eastAsiaTheme="minorEastAsia"/>
          <w:kern w:val="2"/>
          <w14:ligatures w14:val="standardContextual"/>
        </w:rPr>
        <w:t xml:space="preserve"> </w:t>
      </w:r>
      <w:r w:rsidRPr="13C7ED9A">
        <w:rPr>
          <w:rFonts w:eastAsiaTheme="minorEastAsia"/>
          <w:kern w:val="2"/>
          <w14:ligatures w14:val="standardContextual"/>
        </w:rPr>
        <w:t xml:space="preserve">staat een </w:t>
      </w:r>
      <w:r w:rsidRPr="003B0E36">
        <w:rPr>
          <w:rFonts w:eastAsiaTheme="minorEastAsia"/>
          <w:kern w:val="2"/>
          <w14:ligatures w14:val="standardContextual"/>
        </w:rPr>
        <w:t>checklist.</w:t>
      </w:r>
    </w:p>
    <w:p w14:paraId="24A74197" w14:textId="77777777" w:rsidR="004A6839" w:rsidRPr="006652C7" w:rsidRDefault="004A6839" w:rsidP="00144C34">
      <w:pPr>
        <w:numPr>
          <w:ilvl w:val="0"/>
          <w:numId w:val="9"/>
        </w:numPr>
        <w:spacing w:after="0" w:line="259" w:lineRule="auto"/>
        <w:rPr>
          <w:rFonts w:eastAsiaTheme="minorEastAsia"/>
        </w:rPr>
      </w:pPr>
      <w:r w:rsidRPr="3A600064">
        <w:rPr>
          <w:rFonts w:eastAsiaTheme="minorEastAsia"/>
          <w:b/>
          <w:bCs/>
          <w:kern w:val="2"/>
          <w14:ligatures w14:val="standardContextual"/>
        </w:rPr>
        <w:t>Termijn</w:t>
      </w:r>
      <w:r w:rsidRPr="006652C7">
        <w:rPr>
          <w:kern w:val="2"/>
          <w14:ligatures w14:val="standardContextual"/>
        </w:rPr>
        <w:br/>
      </w:r>
      <w:r w:rsidRPr="3A600064">
        <w:rPr>
          <w:rFonts w:eastAsiaTheme="minorEastAsia"/>
          <w:kern w:val="2"/>
          <w14:ligatures w14:val="standardContextual"/>
        </w:rPr>
        <w:t xml:space="preserve"> Verzoeken tot deelname moeten uiterlijk op </w:t>
      </w:r>
      <w:r w:rsidRPr="3A600064">
        <w:rPr>
          <w:rFonts w:eastAsiaTheme="minorEastAsia"/>
          <w:kern w:val="2"/>
          <w:shd w:val="clear" w:color="auto" w:fill="BFBFBF" w:themeFill="background1" w:themeFillShade="BF"/>
          <w14:ligatures w14:val="standardContextual"/>
        </w:rPr>
        <w:t xml:space="preserve">8 juni 2026 </w:t>
      </w:r>
      <w:r w:rsidRPr="3A600064">
        <w:rPr>
          <w:rFonts w:eastAsiaTheme="minorEastAsia"/>
          <w:kern w:val="2"/>
          <w14:ligatures w14:val="standardContextual"/>
        </w:rPr>
        <w:t>om 12.</w:t>
      </w:r>
      <w:r w:rsidRPr="3A600064">
        <w:rPr>
          <w:rFonts w:eastAsiaTheme="minorEastAsia"/>
          <w:kern w:val="2"/>
          <w:shd w:val="clear" w:color="auto" w:fill="BFBFBF" w:themeFill="background1" w:themeFillShade="BF"/>
          <w14:ligatures w14:val="standardContextual"/>
        </w:rPr>
        <w:t>00</w:t>
      </w:r>
      <w:r w:rsidRPr="3A600064">
        <w:rPr>
          <w:rFonts w:eastAsiaTheme="minorEastAsia"/>
          <w:kern w:val="2"/>
          <w14:ligatures w14:val="standardContextual"/>
        </w:rPr>
        <w:t xml:space="preserve"> binnen zijn.</w:t>
      </w:r>
    </w:p>
    <w:p w14:paraId="3F8BFA06" w14:textId="77777777" w:rsidR="004A6839" w:rsidRDefault="004A6839" w:rsidP="00144C34">
      <w:pPr>
        <w:numPr>
          <w:ilvl w:val="0"/>
          <w:numId w:val="9"/>
        </w:numPr>
        <w:spacing w:after="0" w:line="259" w:lineRule="auto"/>
        <w:rPr>
          <w:rFonts w:eastAsiaTheme="minorEastAsia"/>
          <w:b/>
          <w:bCs/>
        </w:rPr>
      </w:pPr>
      <w:r w:rsidRPr="22D49323">
        <w:rPr>
          <w:rFonts w:eastAsiaTheme="minorEastAsia"/>
          <w:b/>
          <w:bCs/>
        </w:rPr>
        <w:t>Planning</w:t>
      </w:r>
    </w:p>
    <w:p w14:paraId="78039A2F" w14:textId="77777777" w:rsidR="004A6839" w:rsidRDefault="004A6839" w:rsidP="004A6839">
      <w:pPr>
        <w:spacing w:line="259" w:lineRule="auto"/>
      </w:pPr>
      <w:r>
        <w:tab/>
      </w:r>
    </w:p>
    <w:tbl>
      <w:tblPr>
        <w:tblStyle w:val="Tabelraster"/>
        <w:tblW w:w="0" w:type="auto"/>
        <w:tblInd w:w="699" w:type="dxa"/>
        <w:tblLook w:val="04A0" w:firstRow="1" w:lastRow="0" w:firstColumn="1" w:lastColumn="0" w:noHBand="0" w:noVBand="1"/>
      </w:tblPr>
      <w:tblGrid>
        <w:gridCol w:w="3809"/>
        <w:gridCol w:w="4498"/>
      </w:tblGrid>
      <w:tr w:rsidR="004A6839" w14:paraId="75F303AB" w14:textId="77777777" w:rsidTr="008C09C5">
        <w:trPr>
          <w:trHeight w:val="300"/>
        </w:trPr>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3D3EED64" w14:textId="77777777" w:rsidR="004A6839" w:rsidRPr="00CE297E" w:rsidRDefault="004A6839" w:rsidP="008C09C5">
            <w:pPr>
              <w:rPr>
                <w:rFonts w:eastAsia="Aptos"/>
              </w:rPr>
            </w:pPr>
            <w:r w:rsidRPr="00CE297E">
              <w:rPr>
                <w:rFonts w:eastAsia="Aptos"/>
              </w:rPr>
              <w:t>Publiceren</w:t>
            </w:r>
          </w:p>
        </w:tc>
        <w:tc>
          <w:tcPr>
            <w:tcW w:w="4526" w:type="dxa"/>
            <w:tcBorders>
              <w:top w:val="single" w:sz="8" w:space="0" w:color="auto"/>
              <w:left w:val="single" w:sz="8" w:space="0" w:color="auto"/>
              <w:bottom w:val="single" w:sz="8" w:space="0" w:color="auto"/>
              <w:right w:val="single" w:sz="8" w:space="0" w:color="auto"/>
            </w:tcBorders>
            <w:tcMar>
              <w:left w:w="108" w:type="dxa"/>
              <w:right w:w="108" w:type="dxa"/>
            </w:tcMar>
          </w:tcPr>
          <w:p w14:paraId="3225F9F5" w14:textId="77777777" w:rsidR="004A6839" w:rsidRPr="00CE297E" w:rsidRDefault="004A6839" w:rsidP="008C09C5">
            <w:pPr>
              <w:rPr>
                <w:rFonts w:eastAsia="Aptos"/>
              </w:rPr>
            </w:pPr>
            <w:r w:rsidRPr="00CE297E">
              <w:rPr>
                <w:rFonts w:eastAsia="Aptos"/>
              </w:rPr>
              <w:t>1 mei 2026</w:t>
            </w:r>
          </w:p>
        </w:tc>
      </w:tr>
      <w:tr w:rsidR="004A6839" w14:paraId="11E2E2D0" w14:textId="77777777" w:rsidTr="008C09C5">
        <w:trPr>
          <w:trHeight w:val="300"/>
        </w:trPr>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06E0A4E5" w14:textId="77777777" w:rsidR="004A6839" w:rsidRPr="00CE297E" w:rsidRDefault="004A6839" w:rsidP="008C09C5">
            <w:pPr>
              <w:rPr>
                <w:rFonts w:eastAsia="Aptos"/>
              </w:rPr>
            </w:pPr>
            <w:r w:rsidRPr="00CE297E">
              <w:rPr>
                <w:rFonts w:eastAsia="Aptos"/>
              </w:rPr>
              <w:t xml:space="preserve">Stellen vragen (via </w:t>
            </w:r>
            <w:proofErr w:type="spellStart"/>
            <w:r w:rsidRPr="00CE297E">
              <w:rPr>
                <w:rFonts w:eastAsia="Aptos"/>
              </w:rPr>
              <w:t>Tenderned</w:t>
            </w:r>
            <w:proofErr w:type="spellEnd"/>
            <w:r w:rsidRPr="00CE297E">
              <w:rPr>
                <w:rFonts w:eastAsia="Aptos"/>
              </w:rPr>
              <w:t xml:space="preserve">) tot </w:t>
            </w:r>
          </w:p>
        </w:tc>
        <w:tc>
          <w:tcPr>
            <w:tcW w:w="4526" w:type="dxa"/>
            <w:tcBorders>
              <w:top w:val="single" w:sz="8" w:space="0" w:color="auto"/>
              <w:left w:val="single" w:sz="8" w:space="0" w:color="auto"/>
              <w:bottom w:val="single" w:sz="8" w:space="0" w:color="auto"/>
              <w:right w:val="single" w:sz="8" w:space="0" w:color="auto"/>
            </w:tcBorders>
            <w:tcMar>
              <w:left w:w="108" w:type="dxa"/>
              <w:right w:w="108" w:type="dxa"/>
            </w:tcMar>
          </w:tcPr>
          <w:p w14:paraId="73229CB6" w14:textId="77777777" w:rsidR="004A6839" w:rsidRPr="00CE297E" w:rsidRDefault="004A6839" w:rsidP="008C09C5">
            <w:pPr>
              <w:rPr>
                <w:rFonts w:eastAsia="Aptos"/>
              </w:rPr>
            </w:pPr>
            <w:r w:rsidRPr="00CE297E">
              <w:rPr>
                <w:rFonts w:eastAsia="Aptos"/>
              </w:rPr>
              <w:t>21 mei 2026</w:t>
            </w:r>
          </w:p>
        </w:tc>
      </w:tr>
      <w:tr w:rsidR="004A6839" w14:paraId="63CD2D3A" w14:textId="77777777" w:rsidTr="008C09C5">
        <w:trPr>
          <w:trHeight w:val="300"/>
        </w:trPr>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4824003B" w14:textId="77777777" w:rsidR="004A6839" w:rsidRPr="00CE297E" w:rsidRDefault="004A6839" w:rsidP="008C09C5">
            <w:pPr>
              <w:rPr>
                <w:rFonts w:eastAsia="Aptos"/>
              </w:rPr>
            </w:pPr>
            <w:r w:rsidRPr="00CE297E">
              <w:rPr>
                <w:rFonts w:eastAsia="Aptos"/>
              </w:rPr>
              <w:t>Nota van inlichtingen</w:t>
            </w:r>
          </w:p>
        </w:tc>
        <w:tc>
          <w:tcPr>
            <w:tcW w:w="4526" w:type="dxa"/>
            <w:tcBorders>
              <w:top w:val="single" w:sz="8" w:space="0" w:color="auto"/>
              <w:left w:val="single" w:sz="8" w:space="0" w:color="auto"/>
              <w:bottom w:val="single" w:sz="8" w:space="0" w:color="auto"/>
              <w:right w:val="single" w:sz="8" w:space="0" w:color="auto"/>
            </w:tcBorders>
            <w:tcMar>
              <w:left w:w="108" w:type="dxa"/>
              <w:right w:w="108" w:type="dxa"/>
            </w:tcMar>
          </w:tcPr>
          <w:p w14:paraId="2829B9E4" w14:textId="77777777" w:rsidR="004A6839" w:rsidRPr="00CE297E" w:rsidRDefault="004A6839" w:rsidP="008C09C5">
            <w:pPr>
              <w:rPr>
                <w:rFonts w:eastAsia="Aptos"/>
              </w:rPr>
            </w:pPr>
            <w:r w:rsidRPr="00CE297E">
              <w:rPr>
                <w:rFonts w:eastAsia="Aptos"/>
              </w:rPr>
              <w:t>28 mei 2026</w:t>
            </w:r>
          </w:p>
        </w:tc>
      </w:tr>
      <w:tr w:rsidR="004A6839" w14:paraId="06B1F249" w14:textId="77777777" w:rsidTr="008C09C5">
        <w:trPr>
          <w:trHeight w:val="300"/>
        </w:trPr>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514CFC43" w14:textId="77777777" w:rsidR="004A6839" w:rsidRPr="00CE297E" w:rsidRDefault="004A6839" w:rsidP="008C09C5">
            <w:pPr>
              <w:rPr>
                <w:rFonts w:eastAsia="Aptos"/>
              </w:rPr>
            </w:pPr>
            <w:r w:rsidRPr="00CE297E">
              <w:rPr>
                <w:rFonts w:eastAsia="Aptos"/>
              </w:rPr>
              <w:t>Verzoek tot deelname (inschrijving)</w:t>
            </w:r>
          </w:p>
        </w:tc>
        <w:tc>
          <w:tcPr>
            <w:tcW w:w="4526" w:type="dxa"/>
            <w:tcBorders>
              <w:top w:val="single" w:sz="8" w:space="0" w:color="auto"/>
              <w:left w:val="single" w:sz="8" w:space="0" w:color="auto"/>
              <w:bottom w:val="single" w:sz="8" w:space="0" w:color="auto"/>
              <w:right w:val="single" w:sz="8" w:space="0" w:color="auto"/>
            </w:tcBorders>
            <w:tcMar>
              <w:left w:w="108" w:type="dxa"/>
              <w:right w:w="108" w:type="dxa"/>
            </w:tcMar>
          </w:tcPr>
          <w:p w14:paraId="1176694A" w14:textId="77777777" w:rsidR="004A6839" w:rsidRPr="00CE297E" w:rsidRDefault="004A6839" w:rsidP="008C09C5">
            <w:pPr>
              <w:rPr>
                <w:rFonts w:eastAsia="Aptos"/>
              </w:rPr>
            </w:pPr>
            <w:r w:rsidRPr="00CE297E">
              <w:rPr>
                <w:rFonts w:eastAsia="Aptos"/>
              </w:rPr>
              <w:t>vóór 8 juni 12.00 uur</w:t>
            </w:r>
          </w:p>
        </w:tc>
      </w:tr>
      <w:tr w:rsidR="004A6839" w14:paraId="141B004F" w14:textId="77777777" w:rsidTr="008C09C5">
        <w:trPr>
          <w:trHeight w:val="300"/>
        </w:trPr>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73A8890C" w14:textId="77777777" w:rsidR="004A6839" w:rsidRPr="00CE297E" w:rsidRDefault="004A6839" w:rsidP="008C09C5">
            <w:pPr>
              <w:rPr>
                <w:rFonts w:eastAsia="Aptos"/>
              </w:rPr>
            </w:pPr>
            <w:r w:rsidRPr="00CE297E">
              <w:rPr>
                <w:rFonts w:eastAsia="Aptos"/>
              </w:rPr>
              <w:t xml:space="preserve">Besluit toelating </w:t>
            </w:r>
          </w:p>
        </w:tc>
        <w:tc>
          <w:tcPr>
            <w:tcW w:w="4526" w:type="dxa"/>
            <w:tcBorders>
              <w:top w:val="single" w:sz="8" w:space="0" w:color="auto"/>
              <w:left w:val="single" w:sz="8" w:space="0" w:color="auto"/>
              <w:bottom w:val="single" w:sz="8" w:space="0" w:color="auto"/>
              <w:right w:val="single" w:sz="8" w:space="0" w:color="auto"/>
            </w:tcBorders>
            <w:tcMar>
              <w:left w:w="108" w:type="dxa"/>
              <w:right w:w="108" w:type="dxa"/>
            </w:tcMar>
          </w:tcPr>
          <w:p w14:paraId="239E89D9" w14:textId="77777777" w:rsidR="004A6839" w:rsidRPr="00CE297E" w:rsidRDefault="004A6839" w:rsidP="008C09C5">
            <w:pPr>
              <w:rPr>
                <w:rFonts w:eastAsia="Aptos"/>
              </w:rPr>
            </w:pPr>
            <w:r w:rsidRPr="00CE297E">
              <w:rPr>
                <w:rFonts w:eastAsia="Aptos"/>
              </w:rPr>
              <w:t>12 juni</w:t>
            </w:r>
          </w:p>
        </w:tc>
      </w:tr>
    </w:tbl>
    <w:p w14:paraId="6AE78C32" w14:textId="77777777" w:rsidR="004A6839" w:rsidRDefault="004A6839" w:rsidP="004A6839">
      <w:pPr>
        <w:spacing w:line="259" w:lineRule="auto"/>
        <w:rPr>
          <w:rFonts w:eastAsiaTheme="minorEastAsia"/>
        </w:rPr>
      </w:pPr>
    </w:p>
    <w:p w14:paraId="4FFA4E87" w14:textId="77777777" w:rsidR="004A6839" w:rsidRDefault="004A6839" w:rsidP="002C0DF8">
      <w:pPr>
        <w:spacing w:after="0"/>
        <w:ind w:left="709"/>
        <w:contextualSpacing/>
        <w:rPr>
          <w:rFonts w:eastAsiaTheme="minorEastAsia"/>
        </w:rPr>
      </w:pPr>
      <w:r w:rsidRPr="73D7A601">
        <w:rPr>
          <w:rFonts w:eastAsiaTheme="minorEastAsia"/>
        </w:rPr>
        <w:t xml:space="preserve">De Potentiële </w:t>
      </w:r>
      <w:r>
        <w:rPr>
          <w:rFonts w:eastAsiaTheme="minorEastAsia"/>
        </w:rPr>
        <w:t>O</w:t>
      </w:r>
      <w:r w:rsidRPr="73D7A601">
        <w:rPr>
          <w:rFonts w:eastAsiaTheme="minorEastAsia"/>
        </w:rPr>
        <w:t>pdrachtnemer kan vanaf publicatie en tot 21 mei vragen stellen via TenderNed. Deze vragen worden z</w:t>
      </w:r>
      <w:r>
        <w:rPr>
          <w:rFonts w:eastAsiaTheme="minorEastAsia"/>
        </w:rPr>
        <w:t>o spoedig mogelijk</w:t>
      </w:r>
      <w:r w:rsidRPr="73D7A601">
        <w:rPr>
          <w:rFonts w:eastAsiaTheme="minorEastAsia"/>
        </w:rPr>
        <w:t xml:space="preserve"> beantwoord. Deze antwoorden zijn nog niet definitief, maar maken duidelijk hoe de inkopende organisatie denkt over de vraag en het antwoord. Dat kan aanleiding zijn voor vervolgvragen die de Potentiële </w:t>
      </w:r>
      <w:r>
        <w:rPr>
          <w:rFonts w:eastAsiaTheme="minorEastAsia"/>
        </w:rPr>
        <w:t>O</w:t>
      </w:r>
      <w:r w:rsidRPr="73D7A601">
        <w:rPr>
          <w:rFonts w:eastAsiaTheme="minorEastAsia"/>
        </w:rPr>
        <w:t xml:space="preserve">pdrachtnemer tot 21 mei kan stellen. Met het uitbrengen van de Nota van </w:t>
      </w:r>
      <w:r>
        <w:rPr>
          <w:rFonts w:eastAsiaTheme="minorEastAsia"/>
        </w:rPr>
        <w:t>I</w:t>
      </w:r>
      <w:r w:rsidRPr="73D7A601">
        <w:rPr>
          <w:rFonts w:eastAsiaTheme="minorEastAsia"/>
        </w:rPr>
        <w:t>nlichtingen worden de antwoorden definitief.</w:t>
      </w:r>
    </w:p>
    <w:p w14:paraId="50A36E54" w14:textId="77777777" w:rsidR="004A6839" w:rsidRDefault="004A6839" w:rsidP="002C0DF8">
      <w:pPr>
        <w:spacing w:after="0"/>
        <w:ind w:left="709"/>
        <w:contextualSpacing/>
        <w:rPr>
          <w:rFonts w:eastAsiaTheme="minorEastAsia"/>
        </w:rPr>
      </w:pPr>
    </w:p>
    <w:p w14:paraId="28CC6BD3" w14:textId="59BAD3B3" w:rsidR="004A6839" w:rsidRPr="002C0DF8" w:rsidRDefault="0008597B" w:rsidP="002C0DF8">
      <w:pPr>
        <w:pStyle w:val="Onderkop2"/>
        <w:spacing w:before="0" w:after="0"/>
        <w:contextualSpacing/>
        <w:rPr>
          <w:b/>
          <w:sz w:val="26"/>
          <w:szCs w:val="26"/>
        </w:rPr>
      </w:pPr>
      <w:bookmarkStart w:id="152" w:name="_Toc227858572"/>
      <w:r w:rsidRPr="002C0DF8">
        <w:rPr>
          <w:sz w:val="26"/>
          <w:szCs w:val="26"/>
        </w:rPr>
        <w:t xml:space="preserve">4.2.2 </w:t>
      </w:r>
      <w:r w:rsidR="004A6839" w:rsidRPr="002C0DF8">
        <w:rPr>
          <w:sz w:val="26"/>
          <w:szCs w:val="26"/>
        </w:rPr>
        <w:t>Procedurevoorschriften (</w:t>
      </w:r>
      <w:r w:rsidR="004A6839" w:rsidRPr="002C0DF8">
        <w:rPr>
          <w:b/>
          <w:sz w:val="26"/>
          <w:szCs w:val="26"/>
        </w:rPr>
        <w:t>Fase 2)</w:t>
      </w:r>
      <w:bookmarkEnd w:id="152"/>
      <w:r w:rsidR="004A6839" w:rsidRPr="002C0DF8">
        <w:rPr>
          <w:b/>
          <w:sz w:val="26"/>
          <w:szCs w:val="26"/>
        </w:rPr>
        <w:t xml:space="preserve"> </w:t>
      </w:r>
    </w:p>
    <w:p w14:paraId="793B9532" w14:textId="77777777" w:rsidR="002C0DF8" w:rsidRDefault="002C0DF8" w:rsidP="002C0DF8">
      <w:pPr>
        <w:pStyle w:val="Geenafstand"/>
        <w:spacing w:after="0" w:line="276" w:lineRule="auto"/>
        <w:ind w:left="708"/>
        <w:contextualSpacing/>
        <w:rPr>
          <w:b/>
          <w:bCs/>
          <w:u w:val="single"/>
        </w:rPr>
      </w:pPr>
    </w:p>
    <w:p w14:paraId="5CDB4B57" w14:textId="628DE94A" w:rsidR="004A6839" w:rsidRPr="007223E2" w:rsidRDefault="004A6839" w:rsidP="002C0DF8">
      <w:pPr>
        <w:pStyle w:val="Geenafstand"/>
        <w:spacing w:after="0" w:line="276" w:lineRule="auto"/>
        <w:ind w:left="708"/>
        <w:contextualSpacing/>
        <w:rPr>
          <w:b/>
          <w:bCs/>
          <w:u w:val="single"/>
        </w:rPr>
      </w:pPr>
      <w:r w:rsidRPr="007223E2">
        <w:rPr>
          <w:b/>
          <w:bCs/>
          <w:u w:val="single"/>
        </w:rPr>
        <w:t>Fase 2 is alleen voor Potentiële Opdrachtnemers die na Fase 1 (nog) geen overeenkomst met de inkopende organisatie hebben.</w:t>
      </w:r>
    </w:p>
    <w:p w14:paraId="111FE5EE" w14:textId="77777777" w:rsidR="004A6839" w:rsidRDefault="004A6839" w:rsidP="004A6839">
      <w:pPr>
        <w:spacing w:line="259" w:lineRule="auto"/>
        <w:ind w:left="708"/>
      </w:pPr>
      <w:r>
        <w:t xml:space="preserve">De Potentiële opdrachtnemer moet zijn verzoek tot deelname via TenderNed indienen. </w:t>
      </w:r>
    </w:p>
    <w:p w14:paraId="0FC49F6D" w14:textId="77777777" w:rsidR="004A6839" w:rsidRDefault="004A6839" w:rsidP="002C0DF8">
      <w:pPr>
        <w:spacing w:after="0"/>
        <w:ind w:left="709"/>
        <w:contextualSpacing/>
      </w:pPr>
      <w:r>
        <w:t xml:space="preserve">De Potentiële Opdrachtnemer moet de volgende regels volgen. Doet hij dat niet, dan wijst de inkopende organisatie zijn verzoek tot deelname af. </w:t>
      </w:r>
    </w:p>
    <w:p w14:paraId="0524C269" w14:textId="77777777" w:rsidR="004A6839" w:rsidRDefault="004A6839" w:rsidP="002C0DF8">
      <w:pPr>
        <w:spacing w:after="0"/>
        <w:ind w:left="708"/>
        <w:contextualSpacing/>
        <w:rPr>
          <w:rFonts w:eastAsiaTheme="minorEastAsia"/>
        </w:rPr>
      </w:pPr>
    </w:p>
    <w:p w14:paraId="6E42F741" w14:textId="77777777" w:rsidR="004A6839" w:rsidRDefault="004A6839" w:rsidP="00144C34">
      <w:pPr>
        <w:numPr>
          <w:ilvl w:val="0"/>
          <w:numId w:val="9"/>
        </w:numPr>
        <w:spacing w:after="0" w:line="259" w:lineRule="auto"/>
        <w:rPr>
          <w:rFonts w:eastAsiaTheme="minorEastAsia"/>
        </w:rPr>
      </w:pPr>
      <w:r w:rsidRPr="73D7A601">
        <w:rPr>
          <w:rFonts w:eastAsiaTheme="minorEastAsia"/>
          <w:b/>
          <w:bCs/>
        </w:rPr>
        <w:t>Indienen via het juiste platform</w:t>
      </w:r>
      <w:r>
        <w:br/>
      </w:r>
      <w:r w:rsidRPr="73D7A601">
        <w:rPr>
          <w:rFonts w:eastAsiaTheme="minorEastAsia"/>
        </w:rPr>
        <w:t>De Potentiële Opdrachtnemer moet het verzoek tot deelname indienen via het aangegeven elektronische aanbestedingsplatform, te weten TenderNed. Andere manieren, zoals post of e-mail, zijn niet toegestaan.</w:t>
      </w:r>
    </w:p>
    <w:p w14:paraId="1A1472E6" w14:textId="786F3974" w:rsidR="004A6839" w:rsidRDefault="004A6839" w:rsidP="00144C34">
      <w:pPr>
        <w:numPr>
          <w:ilvl w:val="0"/>
          <w:numId w:val="9"/>
        </w:numPr>
        <w:spacing w:after="0" w:line="240" w:lineRule="auto"/>
        <w:rPr>
          <w:rFonts w:eastAsiaTheme="minorEastAsia"/>
        </w:rPr>
      </w:pPr>
      <w:r w:rsidRPr="73D7A601">
        <w:rPr>
          <w:rFonts w:eastAsiaTheme="minorEastAsia"/>
          <w:b/>
          <w:bCs/>
        </w:rPr>
        <w:t>Volledig indienen</w:t>
      </w:r>
      <w:r>
        <w:br/>
      </w:r>
      <w:r w:rsidRPr="73D7A601">
        <w:rPr>
          <w:rFonts w:eastAsiaTheme="minorEastAsia"/>
        </w:rPr>
        <w:t xml:space="preserve">Alle verplichte documenten en bewijsstukken moeten zijn bijgevoegd zoals aangegeven in dit inkoopdocument. </w:t>
      </w:r>
    </w:p>
    <w:p w14:paraId="1D88A5D1" w14:textId="77777777" w:rsidR="004A6839" w:rsidRDefault="004A6839" w:rsidP="00ED5474">
      <w:pPr>
        <w:numPr>
          <w:ilvl w:val="0"/>
          <w:numId w:val="9"/>
        </w:numPr>
        <w:spacing w:after="0"/>
        <w:contextualSpacing/>
        <w:rPr>
          <w:rFonts w:eastAsiaTheme="minorEastAsia"/>
        </w:rPr>
      </w:pPr>
      <w:r w:rsidRPr="73D7A601">
        <w:rPr>
          <w:rFonts w:eastAsiaTheme="minorEastAsia"/>
          <w:b/>
          <w:bCs/>
        </w:rPr>
        <w:lastRenderedPageBreak/>
        <w:t>Termijn</w:t>
      </w:r>
      <w:r>
        <w:br/>
        <w:t>Verzoeken tot deelname</w:t>
      </w:r>
      <w:r w:rsidRPr="73D7A601">
        <w:rPr>
          <w:rFonts w:eastAsiaTheme="minorEastAsia"/>
        </w:rPr>
        <w:t xml:space="preserve"> kunnen op elk moment</w:t>
      </w:r>
      <w:r>
        <w:rPr>
          <w:rFonts w:eastAsiaTheme="minorEastAsia"/>
        </w:rPr>
        <w:t xml:space="preserve"> worden ingediend</w:t>
      </w:r>
      <w:r w:rsidRPr="73D7A601">
        <w:rPr>
          <w:rFonts w:eastAsiaTheme="minorEastAsia"/>
        </w:rPr>
        <w:t>. Als alle gevraagde/ingediende stukken volledig en juist zijn, is het streven van de inkopende organisatie om binnen 14 dagen een besluit te nemen op het verzoek tot deelname.</w:t>
      </w:r>
    </w:p>
    <w:p w14:paraId="1E4E089D" w14:textId="77777777" w:rsidR="004A6839" w:rsidRDefault="004A6839" w:rsidP="00ED5474">
      <w:pPr>
        <w:spacing w:after="0"/>
        <w:ind w:left="708"/>
        <w:contextualSpacing/>
      </w:pPr>
    </w:p>
    <w:p w14:paraId="36A4922D" w14:textId="2380D683" w:rsidR="004A6839" w:rsidRPr="00573D0A" w:rsidRDefault="0008597B" w:rsidP="00ED5474">
      <w:pPr>
        <w:pStyle w:val="Onderkop1"/>
        <w:spacing w:before="0" w:after="0"/>
        <w:contextualSpacing/>
      </w:pPr>
      <w:bookmarkStart w:id="153" w:name="_Toc150863978"/>
      <w:bookmarkStart w:id="154" w:name="_Toc163123573"/>
      <w:bookmarkStart w:id="155" w:name="_Toc165276590"/>
      <w:bookmarkStart w:id="156" w:name="_Toc199795970"/>
      <w:bookmarkStart w:id="157" w:name="_Toc227858573"/>
      <w:r>
        <w:t xml:space="preserve">4.3 </w:t>
      </w:r>
      <w:r w:rsidR="00ED5474">
        <w:tab/>
      </w:r>
      <w:r w:rsidR="004A6839" w:rsidRPr="00AE2822">
        <w:t>Beoordeling van verzoeken tot deelneming</w:t>
      </w:r>
      <w:bookmarkEnd w:id="157"/>
      <w:r w:rsidR="004A6839" w:rsidRPr="00AE2822">
        <w:t xml:space="preserve"> </w:t>
      </w:r>
      <w:bookmarkEnd w:id="153"/>
      <w:bookmarkEnd w:id="154"/>
      <w:bookmarkEnd w:id="155"/>
      <w:bookmarkEnd w:id="156"/>
    </w:p>
    <w:p w14:paraId="72F39428" w14:textId="77777777" w:rsidR="00ED5474" w:rsidRDefault="00ED5474" w:rsidP="00ED5474">
      <w:pPr>
        <w:spacing w:after="0"/>
        <w:ind w:left="708"/>
        <w:contextualSpacing/>
      </w:pPr>
    </w:p>
    <w:p w14:paraId="2F2A5874" w14:textId="6CF7A14A" w:rsidR="004A6839" w:rsidRPr="006652C7" w:rsidRDefault="004A6839" w:rsidP="00ED5474">
      <w:pPr>
        <w:spacing w:after="0"/>
        <w:ind w:left="708"/>
        <w:contextualSpacing/>
      </w:pPr>
      <w:r>
        <w:t>De inkopende organisatie beoordeelt alleen inschrijvingen die op tijd (geldt alleen voor fase 1), volledig en correct zijn ingediend.</w:t>
      </w:r>
    </w:p>
    <w:p w14:paraId="65D92DD6" w14:textId="77777777" w:rsidR="004A6839" w:rsidRPr="006652C7" w:rsidRDefault="004A6839" w:rsidP="00ED5474">
      <w:pPr>
        <w:spacing w:after="0"/>
        <w:ind w:left="708"/>
        <w:contextualSpacing/>
      </w:pPr>
      <w:r w:rsidRPr="006652C7">
        <w:t>Een verzoek moet:</w:t>
      </w:r>
    </w:p>
    <w:p w14:paraId="57C0512B" w14:textId="77777777" w:rsidR="004A6839" w:rsidRPr="006652C7" w:rsidRDefault="004A6839" w:rsidP="00ED5474">
      <w:pPr>
        <w:numPr>
          <w:ilvl w:val="0"/>
          <w:numId w:val="10"/>
        </w:numPr>
        <w:spacing w:after="0"/>
        <w:contextualSpacing/>
      </w:pPr>
      <w:r w:rsidRPr="006652C7">
        <w:t>volledig zijn: alle documenten zijn aanwezig;</w:t>
      </w:r>
    </w:p>
    <w:p w14:paraId="07F6C414" w14:textId="77777777" w:rsidR="004A6839" w:rsidRPr="006652C7" w:rsidRDefault="004A6839" w:rsidP="00ED5474">
      <w:pPr>
        <w:numPr>
          <w:ilvl w:val="0"/>
          <w:numId w:val="10"/>
        </w:numPr>
        <w:spacing w:after="0"/>
        <w:contextualSpacing/>
      </w:pPr>
      <w:r w:rsidRPr="006652C7">
        <w:t>rechtsgeldig zijn: ondertekend door een bevoegde persoon;</w:t>
      </w:r>
    </w:p>
    <w:p w14:paraId="20CCE47F" w14:textId="77777777" w:rsidR="004A6839" w:rsidRPr="006652C7" w:rsidRDefault="004A6839" w:rsidP="00ED5474">
      <w:pPr>
        <w:numPr>
          <w:ilvl w:val="0"/>
          <w:numId w:val="10"/>
        </w:numPr>
        <w:spacing w:after="0"/>
        <w:contextualSpacing/>
      </w:pPr>
      <w:r w:rsidRPr="006652C7">
        <w:t>ondertekend zijn met een echte (“natte”) handtekening;</w:t>
      </w:r>
    </w:p>
    <w:p w14:paraId="6F669C93" w14:textId="77777777" w:rsidR="004A6839" w:rsidRPr="006652C7" w:rsidRDefault="004A6839" w:rsidP="00ED5474">
      <w:pPr>
        <w:numPr>
          <w:ilvl w:val="0"/>
          <w:numId w:val="10"/>
        </w:numPr>
        <w:spacing w:after="0"/>
        <w:contextualSpacing/>
      </w:pPr>
      <w:r w:rsidRPr="006652C7">
        <w:t>digitaal als scan zijn ingediend;</w:t>
      </w:r>
    </w:p>
    <w:p w14:paraId="4E919555" w14:textId="77777777" w:rsidR="004A6839" w:rsidRPr="006652C7" w:rsidRDefault="004A6839" w:rsidP="00ED5474">
      <w:pPr>
        <w:numPr>
          <w:ilvl w:val="0"/>
          <w:numId w:val="10"/>
        </w:numPr>
        <w:spacing w:after="0"/>
        <w:contextualSpacing/>
      </w:pPr>
      <w:r w:rsidRPr="006652C7">
        <w:t>bij controle als origineel getoond kunnen worden;</w:t>
      </w:r>
    </w:p>
    <w:p w14:paraId="421AC74E" w14:textId="77777777" w:rsidR="004A6839" w:rsidRPr="006652C7" w:rsidRDefault="004A6839" w:rsidP="00ED5474">
      <w:pPr>
        <w:numPr>
          <w:ilvl w:val="0"/>
          <w:numId w:val="10"/>
        </w:numPr>
        <w:spacing w:after="0"/>
        <w:contextualSpacing/>
      </w:pPr>
      <w:r w:rsidRPr="006652C7">
        <w:t>eventueel digitaal ondertekend zijn met geschikte software.</w:t>
      </w:r>
    </w:p>
    <w:p w14:paraId="185CC49E" w14:textId="77777777" w:rsidR="004A6839" w:rsidRPr="006652C7" w:rsidRDefault="004A6839" w:rsidP="00ED5474">
      <w:pPr>
        <w:spacing w:after="0"/>
        <w:ind w:left="708"/>
        <w:contextualSpacing/>
      </w:pPr>
    </w:p>
    <w:p w14:paraId="39EFAD9A" w14:textId="77777777" w:rsidR="004A6839" w:rsidRPr="006652C7" w:rsidRDefault="004A6839" w:rsidP="00ED5474">
      <w:pPr>
        <w:spacing w:after="0"/>
        <w:ind w:left="708"/>
        <w:contextualSpacing/>
      </w:pPr>
      <w:r w:rsidRPr="006652C7">
        <w:t>Daarna volgt de beoordeling in stappen:</w:t>
      </w:r>
    </w:p>
    <w:p w14:paraId="3AE3BC5F" w14:textId="77777777" w:rsidR="004A6839" w:rsidRPr="006652C7" w:rsidRDefault="004A6839" w:rsidP="00ED5474">
      <w:pPr>
        <w:spacing w:after="0"/>
        <w:ind w:left="708"/>
        <w:contextualSpacing/>
        <w:rPr>
          <w:b/>
          <w:bCs/>
        </w:rPr>
      </w:pPr>
    </w:p>
    <w:p w14:paraId="4DBE50AB" w14:textId="77777777" w:rsidR="004A6839" w:rsidRPr="006652C7" w:rsidRDefault="004A6839" w:rsidP="00ED5474">
      <w:pPr>
        <w:spacing w:after="0"/>
        <w:ind w:left="708"/>
        <w:contextualSpacing/>
        <w:rPr>
          <w:b/>
          <w:bCs/>
        </w:rPr>
      </w:pPr>
      <w:r w:rsidRPr="006652C7">
        <w:rPr>
          <w:b/>
          <w:bCs/>
        </w:rPr>
        <w:t>Stap 1: Controle op uitsluitingsgronden</w:t>
      </w:r>
    </w:p>
    <w:p w14:paraId="192986E4" w14:textId="3DE32B57" w:rsidR="004A6839" w:rsidRPr="006652C7" w:rsidRDefault="004A6839" w:rsidP="00ED5474">
      <w:pPr>
        <w:spacing w:after="0"/>
        <w:ind w:left="708"/>
        <w:contextualSpacing/>
      </w:pPr>
      <w:r>
        <w:t xml:space="preserve">De inkopende organisatie controleert of uitsluitingsgronden gelden. Is dat zo, of is bewijs onjuist of onvolledig? Dan legt de inkopende organisatie </w:t>
      </w:r>
      <w:r w:rsidR="00DE2506">
        <w:t>het verzoek tot deelname</w:t>
      </w:r>
      <w:r>
        <w:t xml:space="preserve"> terzijde als sprake is van een verplichte uitsluitingsgrond. Als sprake is van een facultatieve uitsluitingsgrond kan de inkopende organisatie </w:t>
      </w:r>
      <w:r w:rsidR="001256D4">
        <w:t>het verzoek tot deelname</w:t>
      </w:r>
      <w:r>
        <w:t xml:space="preserve"> terzijde leggen.</w:t>
      </w:r>
    </w:p>
    <w:p w14:paraId="69289957" w14:textId="77777777" w:rsidR="004A6839" w:rsidRPr="006652C7" w:rsidRDefault="004A6839" w:rsidP="00ED5474">
      <w:pPr>
        <w:spacing w:after="0"/>
        <w:ind w:left="708"/>
        <w:contextualSpacing/>
        <w:rPr>
          <w:b/>
          <w:bCs/>
        </w:rPr>
      </w:pPr>
    </w:p>
    <w:p w14:paraId="558F8781" w14:textId="77777777" w:rsidR="004A6839" w:rsidRPr="006652C7" w:rsidRDefault="004A6839" w:rsidP="00ED5474">
      <w:pPr>
        <w:spacing w:after="0"/>
        <w:ind w:left="708"/>
        <w:contextualSpacing/>
        <w:rPr>
          <w:b/>
        </w:rPr>
      </w:pPr>
      <w:r w:rsidRPr="13C7ED9A">
        <w:rPr>
          <w:b/>
          <w:bCs/>
        </w:rPr>
        <w:t>Stap 2: Controle op t</w:t>
      </w:r>
      <w:r w:rsidRPr="7594F64C">
        <w:rPr>
          <w:b/>
        </w:rPr>
        <w:t>oelatingscriteria</w:t>
      </w:r>
    </w:p>
    <w:p w14:paraId="7E4E4517" w14:textId="77777777" w:rsidR="004A6839" w:rsidRPr="006652C7" w:rsidRDefault="004A6839" w:rsidP="00280F4B">
      <w:pPr>
        <w:spacing w:after="0"/>
        <w:ind w:left="708"/>
        <w:contextualSpacing/>
      </w:pPr>
      <w:r>
        <w:t>De inkopende organisatie controleert of de Potentiële Opdrachtnemer voldoet aan alle toelatingscriteria. Bij twijfel of onvolledigheid kan afwijzing volgen.</w:t>
      </w:r>
    </w:p>
    <w:p w14:paraId="1BBD6C68" w14:textId="77777777" w:rsidR="004A6839" w:rsidRPr="006652C7" w:rsidRDefault="004A6839" w:rsidP="00280F4B">
      <w:pPr>
        <w:spacing w:after="0"/>
        <w:ind w:left="708"/>
        <w:contextualSpacing/>
        <w:rPr>
          <w:b/>
          <w:bCs/>
        </w:rPr>
      </w:pPr>
    </w:p>
    <w:p w14:paraId="4CF49EBB" w14:textId="77777777" w:rsidR="004A6839" w:rsidRPr="006652C7" w:rsidRDefault="004A6839" w:rsidP="00280F4B">
      <w:pPr>
        <w:spacing w:after="0"/>
        <w:ind w:left="708"/>
        <w:contextualSpacing/>
        <w:rPr>
          <w:b/>
          <w:bCs/>
        </w:rPr>
      </w:pPr>
      <w:r w:rsidRPr="006652C7">
        <w:rPr>
          <w:b/>
          <w:bCs/>
        </w:rPr>
        <w:t>Stap 3: Controle op uitvoeringseisen</w:t>
      </w:r>
    </w:p>
    <w:p w14:paraId="5F7A5AAD" w14:textId="77777777" w:rsidR="004A6839" w:rsidRPr="006652C7" w:rsidRDefault="004A6839" w:rsidP="00280F4B">
      <w:pPr>
        <w:spacing w:after="0"/>
        <w:ind w:left="708"/>
        <w:contextualSpacing/>
      </w:pPr>
      <w:r w:rsidRPr="006652C7">
        <w:t xml:space="preserve">De </w:t>
      </w:r>
      <w:r>
        <w:t>P</w:t>
      </w:r>
      <w:r w:rsidRPr="006652C7">
        <w:t xml:space="preserve">otentiële </w:t>
      </w:r>
      <w:r>
        <w:t>O</w:t>
      </w:r>
      <w:r w:rsidRPr="006652C7">
        <w:t xml:space="preserve">pdrachtnemer moet akkoord gaan met de uitvoeringseisen uit de overeenkomst. De inkopende organisatie kan controleren of hij ze echt kan uitvoeren. De </w:t>
      </w:r>
      <w:r>
        <w:t>P</w:t>
      </w:r>
      <w:r w:rsidRPr="006652C7">
        <w:t xml:space="preserve">otentiële </w:t>
      </w:r>
      <w:r>
        <w:t>O</w:t>
      </w:r>
      <w:r w:rsidRPr="006652C7">
        <w:t>pdrachtnemer moet aan die controle meewerken. Voldoet hij niet of werkt hij niet mee? Dan kan afwijzing volgen.</w:t>
      </w:r>
    </w:p>
    <w:p w14:paraId="73F58A84" w14:textId="77777777" w:rsidR="004A6839" w:rsidRPr="00CE7D12" w:rsidRDefault="004A6839" w:rsidP="00280F4B">
      <w:pPr>
        <w:spacing w:after="0"/>
        <w:ind w:left="708"/>
        <w:contextualSpacing/>
        <w:rPr>
          <w:highlight w:val="yellow"/>
        </w:rPr>
      </w:pPr>
    </w:p>
    <w:p w14:paraId="2DCFEAD5" w14:textId="77777777" w:rsidR="004A6839" w:rsidRPr="001F3281" w:rsidRDefault="004A6839" w:rsidP="00280F4B">
      <w:pPr>
        <w:spacing w:after="0"/>
        <w:ind w:left="708"/>
        <w:contextualSpacing/>
      </w:pPr>
      <w:r w:rsidRPr="001F3281">
        <w:t xml:space="preserve">Als de </w:t>
      </w:r>
      <w:r>
        <w:t>P</w:t>
      </w:r>
      <w:r w:rsidRPr="001F3281">
        <w:t xml:space="preserve">otentiële </w:t>
      </w:r>
      <w:r>
        <w:t>Opdrachtnemer</w:t>
      </w:r>
      <w:r w:rsidRPr="001F3281">
        <w:t xml:space="preserve"> akkoord is gegaan en geen bezwaren blijken uit een mogelijke verificatie door de </w:t>
      </w:r>
      <w:r>
        <w:t>Opdrachtgever</w:t>
      </w:r>
      <w:r w:rsidRPr="001F3281">
        <w:t xml:space="preserve">, dan sluit de </w:t>
      </w:r>
      <w:r>
        <w:t>Opdrachtgever</w:t>
      </w:r>
      <w:r w:rsidRPr="001F3281">
        <w:t xml:space="preserve"> met de </w:t>
      </w:r>
      <w:r>
        <w:t>P</w:t>
      </w:r>
      <w:r w:rsidRPr="001F3281">
        <w:t xml:space="preserve">otentiële </w:t>
      </w:r>
      <w:r>
        <w:t>Opdrachtnemer</w:t>
      </w:r>
      <w:r w:rsidRPr="001F3281">
        <w:t xml:space="preserve"> een overeenkomst.</w:t>
      </w:r>
    </w:p>
    <w:p w14:paraId="1C70B10B" w14:textId="77777777" w:rsidR="004A6839" w:rsidRPr="001F3281" w:rsidRDefault="004A6839" w:rsidP="00280F4B">
      <w:pPr>
        <w:spacing w:after="0"/>
        <w:contextualSpacing/>
      </w:pPr>
    </w:p>
    <w:p w14:paraId="2A44A74C" w14:textId="77777777" w:rsidR="004A6839" w:rsidRDefault="004A6839" w:rsidP="00280F4B">
      <w:pPr>
        <w:spacing w:after="0"/>
        <w:ind w:left="709"/>
        <w:contextualSpacing/>
      </w:pPr>
      <w:r>
        <w:t>Als de Potentiële Opdrachtnemer niet expliciet akkoord is gegaan met de uitvoeringseisen genoemd in de overeenkomst, of als uit een verificatie blijkt dat hij deze niet kan uitvoeren, dan legt de Opdrachtgever het verzoek tot deelneming terzijde.</w:t>
      </w:r>
    </w:p>
    <w:p w14:paraId="26D2E035" w14:textId="77777777" w:rsidR="004A6839" w:rsidRDefault="004A6839" w:rsidP="00280F4B">
      <w:pPr>
        <w:spacing w:after="0"/>
        <w:ind w:left="709"/>
        <w:contextualSpacing/>
      </w:pPr>
    </w:p>
    <w:p w14:paraId="02F023AE" w14:textId="77777777" w:rsidR="004A6839" w:rsidRPr="001F3281" w:rsidRDefault="004A6839" w:rsidP="00280F4B">
      <w:pPr>
        <w:spacing w:after="0"/>
        <w:ind w:left="709"/>
        <w:contextualSpacing/>
        <w:rPr>
          <w:rStyle w:val="Hyperlink"/>
        </w:rPr>
      </w:pPr>
      <w:r>
        <w:t xml:space="preserve">Tegen het besluit tot voorgenomen afwijzing staat vervolgens een rechtsgang open volgens </w:t>
      </w:r>
      <w:hyperlink w:anchor="_Rechtsgang" w:history="1">
        <w:r w:rsidRPr="3A600064">
          <w:rPr>
            <w:rStyle w:val="Hyperlink"/>
          </w:rPr>
          <w:t>paragraaf 4.8.2.</w:t>
        </w:r>
      </w:hyperlink>
    </w:p>
    <w:p w14:paraId="51957631" w14:textId="77777777" w:rsidR="004A6839" w:rsidRPr="001F3281" w:rsidRDefault="004A6839" w:rsidP="004A6839">
      <w:pPr>
        <w:ind w:left="709"/>
      </w:pPr>
    </w:p>
    <w:p w14:paraId="6DE4278B" w14:textId="0B268B84" w:rsidR="004A6839" w:rsidRPr="00804A93" w:rsidRDefault="00AB7D51" w:rsidP="006E29D2">
      <w:pPr>
        <w:pStyle w:val="Onderkop2"/>
        <w:spacing w:before="0" w:after="0"/>
        <w:contextualSpacing/>
        <w:rPr>
          <w:sz w:val="26"/>
          <w:szCs w:val="26"/>
        </w:rPr>
      </w:pPr>
      <w:bookmarkStart w:id="158" w:name="_Toc150863985"/>
      <w:bookmarkStart w:id="159" w:name="_Toc163123580"/>
      <w:bookmarkStart w:id="160" w:name="_Toc165276597"/>
      <w:bookmarkStart w:id="161" w:name="_Toc199795971"/>
      <w:bookmarkStart w:id="162" w:name="_Toc227858574"/>
      <w:r w:rsidRPr="00804A93">
        <w:rPr>
          <w:sz w:val="26"/>
          <w:szCs w:val="26"/>
        </w:rPr>
        <w:t xml:space="preserve">4.3.1 </w:t>
      </w:r>
      <w:r w:rsidR="004A6839" w:rsidRPr="00804A93">
        <w:rPr>
          <w:sz w:val="26"/>
          <w:szCs w:val="26"/>
        </w:rPr>
        <w:t>Beoordelingscommissie</w:t>
      </w:r>
      <w:bookmarkEnd w:id="158"/>
      <w:bookmarkEnd w:id="159"/>
      <w:bookmarkEnd w:id="160"/>
      <w:bookmarkEnd w:id="161"/>
      <w:bookmarkEnd w:id="162"/>
    </w:p>
    <w:p w14:paraId="30C4AFB4" w14:textId="77777777" w:rsidR="006E29D2" w:rsidRDefault="006E29D2" w:rsidP="006E29D2">
      <w:pPr>
        <w:spacing w:after="0"/>
        <w:ind w:left="708"/>
        <w:contextualSpacing/>
      </w:pPr>
    </w:p>
    <w:p w14:paraId="49FD540F" w14:textId="63EDB1A3" w:rsidR="004A6839" w:rsidRPr="00EF4483" w:rsidRDefault="004A6839" w:rsidP="006E29D2">
      <w:pPr>
        <w:spacing w:after="0"/>
        <w:ind w:left="708"/>
        <w:contextualSpacing/>
      </w:pPr>
      <w:r>
        <w:t>De inkopende organisatie stelt een beoordelingscommissie samen. Deze commissie voert alle stappen uit die hierboven zijn beschreven.</w:t>
      </w:r>
    </w:p>
    <w:p w14:paraId="77409C8B" w14:textId="77777777" w:rsidR="004A6839" w:rsidRPr="00EF4483" w:rsidRDefault="004A6839" w:rsidP="006E29D2">
      <w:pPr>
        <w:spacing w:after="0"/>
        <w:ind w:left="708"/>
        <w:contextualSpacing/>
      </w:pPr>
      <w:r>
        <w:t>De commissie bestaat uit mensen met kennis van de Wmo, inkoop en bijbehorende regels.</w:t>
      </w:r>
    </w:p>
    <w:p w14:paraId="357F7CD0" w14:textId="77777777" w:rsidR="004A6839" w:rsidRPr="00EF4483" w:rsidRDefault="004A6839" w:rsidP="006E29D2">
      <w:pPr>
        <w:spacing w:after="0"/>
        <w:ind w:left="708"/>
        <w:contextualSpacing/>
      </w:pPr>
      <w:r w:rsidRPr="00EF4483">
        <w:t xml:space="preserve">De </w:t>
      </w:r>
      <w:r>
        <w:t xml:space="preserve">inkopende </w:t>
      </w:r>
      <w:r w:rsidRPr="00EF4483">
        <w:t>organisatie kan ook externe deskundigen toevoegen als dat nodig is.</w:t>
      </w:r>
    </w:p>
    <w:p w14:paraId="76E3FBBF" w14:textId="77777777" w:rsidR="004A6839" w:rsidRPr="00573D0A" w:rsidRDefault="004A6839" w:rsidP="006E29D2">
      <w:pPr>
        <w:spacing w:after="0"/>
        <w:contextualSpacing/>
      </w:pPr>
    </w:p>
    <w:p w14:paraId="233DB378" w14:textId="08B09862" w:rsidR="004A6839" w:rsidRPr="00804A93" w:rsidRDefault="00AB7D51" w:rsidP="006E29D2">
      <w:pPr>
        <w:pStyle w:val="Onderkop2"/>
        <w:spacing w:before="0" w:after="0"/>
        <w:contextualSpacing/>
        <w:rPr>
          <w:sz w:val="26"/>
          <w:szCs w:val="26"/>
        </w:rPr>
      </w:pPr>
      <w:bookmarkStart w:id="163" w:name="_Toc150863986"/>
      <w:bookmarkStart w:id="164" w:name="_Toc163123581"/>
      <w:bookmarkStart w:id="165" w:name="_Toc165276598"/>
      <w:bookmarkStart w:id="166" w:name="_Toc199795972"/>
      <w:bookmarkStart w:id="167" w:name="_Toc227858575"/>
      <w:r w:rsidRPr="00804A93">
        <w:rPr>
          <w:sz w:val="26"/>
          <w:szCs w:val="26"/>
        </w:rPr>
        <w:t>4.3.2</w:t>
      </w:r>
      <w:r w:rsidR="00C25AF4" w:rsidRPr="00804A93">
        <w:rPr>
          <w:sz w:val="26"/>
          <w:szCs w:val="26"/>
        </w:rPr>
        <w:t xml:space="preserve"> </w:t>
      </w:r>
      <w:r w:rsidR="004A6839" w:rsidRPr="00804A93">
        <w:rPr>
          <w:sz w:val="26"/>
          <w:szCs w:val="26"/>
        </w:rPr>
        <w:t>Planning</w:t>
      </w:r>
      <w:bookmarkEnd w:id="163"/>
      <w:bookmarkEnd w:id="164"/>
      <w:bookmarkEnd w:id="165"/>
      <w:bookmarkEnd w:id="166"/>
      <w:bookmarkEnd w:id="167"/>
    </w:p>
    <w:p w14:paraId="111AB76C" w14:textId="77777777" w:rsidR="004A6839" w:rsidRPr="00573D0A" w:rsidRDefault="004A6839" w:rsidP="006E29D2">
      <w:pPr>
        <w:pStyle w:val="Plattetekst"/>
        <w:spacing w:line="276" w:lineRule="auto"/>
        <w:contextualSpacing/>
      </w:pPr>
    </w:p>
    <w:p w14:paraId="48FB5FE2" w14:textId="77777777" w:rsidR="004A6839" w:rsidRPr="00F538CD" w:rsidRDefault="004A6839" w:rsidP="006E29D2">
      <w:pPr>
        <w:spacing w:after="0"/>
        <w:ind w:left="708"/>
        <w:contextualSpacing/>
      </w:pPr>
      <w:r>
        <w:t>De planning van deze toelatingsprocedure staat op TenderNed.</w:t>
      </w:r>
    </w:p>
    <w:p w14:paraId="6E9A3D09" w14:textId="04955F0A" w:rsidR="004A6839" w:rsidRDefault="004A6839" w:rsidP="006E29D2">
      <w:pPr>
        <w:spacing w:after="0"/>
        <w:ind w:left="708"/>
        <w:contextualSpacing/>
      </w:pPr>
      <w:r w:rsidRPr="00F538CD">
        <w:t xml:space="preserve">Let op: de planning kan nog veranderen. Potentiële </w:t>
      </w:r>
      <w:r>
        <w:t>O</w:t>
      </w:r>
      <w:r w:rsidRPr="00F538CD">
        <w:t>pdrachtnemers kunnen hier geen rechten aan ontlenen</w:t>
      </w:r>
      <w:r w:rsidR="006E29D2">
        <w:t>.</w:t>
      </w:r>
    </w:p>
    <w:p w14:paraId="4E38AAB2" w14:textId="77777777" w:rsidR="006E29D2" w:rsidRDefault="006E29D2" w:rsidP="006E29D2">
      <w:pPr>
        <w:spacing w:after="0"/>
        <w:ind w:left="708"/>
        <w:contextualSpacing/>
      </w:pPr>
    </w:p>
    <w:p w14:paraId="79AEAAEA" w14:textId="527A233A" w:rsidR="009C223C" w:rsidRPr="006E29D2" w:rsidRDefault="009C223C" w:rsidP="006E29D2">
      <w:pPr>
        <w:pStyle w:val="Onderkop2"/>
        <w:spacing w:before="0" w:after="0"/>
        <w:contextualSpacing/>
        <w:rPr>
          <w:sz w:val="26"/>
          <w:szCs w:val="26"/>
        </w:rPr>
      </w:pPr>
      <w:bookmarkStart w:id="168" w:name="_Toc227858576"/>
      <w:r w:rsidRPr="006E29D2">
        <w:rPr>
          <w:sz w:val="26"/>
          <w:szCs w:val="26"/>
        </w:rPr>
        <w:t>4.3.3 Checklist in te leveren documenten</w:t>
      </w:r>
      <w:bookmarkEnd w:id="168"/>
    </w:p>
    <w:p w14:paraId="4E977640" w14:textId="77777777" w:rsidR="00377FA4" w:rsidRDefault="00377FA4" w:rsidP="006E29D2">
      <w:pPr>
        <w:spacing w:after="0"/>
        <w:contextualSpacing/>
      </w:pPr>
      <w:bookmarkStart w:id="169" w:name="_Toc150863987"/>
      <w:bookmarkStart w:id="170" w:name="_Toc163123582"/>
      <w:bookmarkStart w:id="171" w:name="_Toc165276599"/>
    </w:p>
    <w:p w14:paraId="5B043471" w14:textId="1FB0B151" w:rsidR="00C4285C" w:rsidRPr="00C4285C" w:rsidRDefault="00C4285C" w:rsidP="00377FA4">
      <w:pPr>
        <w:spacing w:after="0"/>
        <w:ind w:left="709"/>
        <w:contextualSpacing/>
      </w:pPr>
      <w:r w:rsidRPr="00C4285C">
        <w:t xml:space="preserve">De </w:t>
      </w:r>
      <w:r w:rsidR="00377FA4">
        <w:t>Potentiële O</w:t>
      </w:r>
      <w:r>
        <w:t>pdrachtnemer</w:t>
      </w:r>
      <w:r w:rsidRPr="00C4285C">
        <w:t xml:space="preserve"> dient de hieronder genoemde documenten volledig en tijdig via TenderNed aan te leveren. De checklist is bedoeld als hulpmiddel voor de </w:t>
      </w:r>
      <w:r w:rsidR="00377FA4">
        <w:t>Potentiële Opdrachtnemer</w:t>
      </w:r>
      <w:r w:rsidRPr="00C4285C">
        <w:t xml:space="preserve">. Aan deze checklist kunnen geen rechten worden ontleend. De </w:t>
      </w:r>
      <w:r w:rsidR="00377FA4">
        <w:t>P:otentiële Opdrachtnemer</w:t>
      </w:r>
      <w:r w:rsidRPr="00C4285C">
        <w:t xml:space="preserve"> blijft te allen tijde zelf verantwoordelijk voor een volledige en correcte indiening.</w:t>
      </w:r>
      <w:r w:rsidR="00377FA4">
        <w:t xml:space="preserve"> </w:t>
      </w:r>
      <w:r w:rsidRPr="00C4285C">
        <w:t>Het niet</w:t>
      </w:r>
      <w:r w:rsidR="00AB22E2">
        <w:t xml:space="preserve"> of</w:t>
      </w:r>
      <w:r w:rsidRPr="00C4285C">
        <w:t xml:space="preserve"> niet volledig aanleveren van de vereiste documenten kan aanleiding zijn voor uitsluiting van verdere deelname aan de procedure dan wel voor het niet aangaan van de overeenkomst.</w:t>
      </w:r>
    </w:p>
    <w:p w14:paraId="2E247D9A" w14:textId="77777777" w:rsidR="004A6839" w:rsidRDefault="004A6839" w:rsidP="004A6839"/>
    <w:p w14:paraId="37F6FDAB" w14:textId="77777777" w:rsidR="00906BF5" w:rsidRPr="002B59C9" w:rsidRDefault="00906BF5" w:rsidP="00906BF5">
      <w:r w:rsidRPr="002B59C9">
        <w:rPr>
          <w:b/>
          <w:bCs/>
        </w:rPr>
        <w:t>Checklist aan te leveren documenten</w:t>
      </w:r>
    </w:p>
    <w:tbl>
      <w:tblPr>
        <w:tblStyle w:val="Rastertabel4-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1378"/>
        <w:gridCol w:w="1843"/>
        <w:gridCol w:w="1791"/>
      </w:tblGrid>
      <w:tr w:rsidR="005206CC" w:rsidRPr="006A02DA" w14:paraId="18DDE902" w14:textId="3ABEDFF8" w:rsidTr="71B7053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96E685C" w14:textId="77777777" w:rsidR="005206CC" w:rsidRPr="006A02DA" w:rsidRDefault="005206CC" w:rsidP="006A02DA">
            <w:pPr>
              <w:jc w:val="center"/>
              <w:rPr>
                <w:lang w:val="nl-NL"/>
              </w:rPr>
            </w:pPr>
            <w:r w:rsidRPr="006A02DA">
              <w:rPr>
                <w:lang w:val="nl-NL"/>
              </w:rPr>
              <w:t>Document</w:t>
            </w:r>
          </w:p>
        </w:tc>
        <w:tc>
          <w:tcPr>
            <w:tcW w:w="13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BA63FBA" w14:textId="77777777" w:rsidR="005206CC" w:rsidRPr="006A02DA" w:rsidRDefault="005206CC" w:rsidP="006A02DA">
            <w:pPr>
              <w:jc w:val="center"/>
              <w:cnfStyle w:val="100000000000" w:firstRow="1" w:lastRow="0" w:firstColumn="0" w:lastColumn="0" w:oddVBand="0" w:evenVBand="0" w:oddHBand="0" w:evenHBand="0" w:firstRowFirstColumn="0" w:firstRowLastColumn="0" w:lastRowFirstColumn="0" w:lastRowLastColumn="0"/>
              <w:rPr>
                <w:lang w:val="nl-NL"/>
              </w:rPr>
            </w:pPr>
            <w:r w:rsidRPr="006A02DA">
              <w:rPr>
                <w:lang w:val="nl-NL"/>
              </w:rPr>
              <w:t>Aan te leveren bij inschrijving</w:t>
            </w:r>
          </w:p>
        </w:tc>
        <w:tc>
          <w:tcPr>
            <w:tcW w:w="18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3E7A626" w14:textId="77777777" w:rsidR="005206CC" w:rsidRPr="006A02DA" w:rsidRDefault="005206CC" w:rsidP="006A02DA">
            <w:pPr>
              <w:jc w:val="center"/>
              <w:cnfStyle w:val="100000000000" w:firstRow="1" w:lastRow="0" w:firstColumn="0" w:lastColumn="0" w:oddVBand="0" w:evenVBand="0" w:oddHBand="0" w:evenHBand="0" w:firstRowFirstColumn="0" w:firstRowLastColumn="0" w:lastRowFirstColumn="0" w:lastRowLastColumn="0"/>
              <w:rPr>
                <w:lang w:val="nl-NL"/>
              </w:rPr>
            </w:pPr>
            <w:r w:rsidRPr="006A02DA">
              <w:rPr>
                <w:lang w:val="nl-NL"/>
              </w:rPr>
              <w:t>Aan te leveren bij ondertekening van de overeenkomst</w:t>
            </w:r>
          </w:p>
        </w:tc>
        <w:tc>
          <w:tcPr>
            <w:tcW w:w="1791" w:type="dxa"/>
            <w:shd w:val="clear" w:color="auto" w:fill="8DB3E2" w:themeFill="text2" w:themeFillTint="66"/>
          </w:tcPr>
          <w:p w14:paraId="47A30270" w14:textId="2A11D39B" w:rsidR="005206CC" w:rsidRPr="006A02DA" w:rsidRDefault="00D91492" w:rsidP="006A02DA">
            <w:pPr>
              <w:jc w:val="center"/>
              <w:cnfStyle w:val="100000000000" w:firstRow="1" w:lastRow="0" w:firstColumn="0" w:lastColumn="0" w:oddVBand="0" w:evenVBand="0" w:oddHBand="0" w:evenHBand="0" w:firstRowFirstColumn="0" w:firstRowLastColumn="0" w:lastRowFirstColumn="0" w:lastRowLastColumn="0"/>
            </w:pPr>
            <w:r w:rsidRPr="00D458B9">
              <w:rPr>
                <w:lang w:val="nl-NL"/>
              </w:rPr>
              <w:t>Aanleveren  op aanvraag</w:t>
            </w:r>
          </w:p>
        </w:tc>
      </w:tr>
      <w:tr w:rsidR="00D91492" w:rsidRPr="002B59C9" w14:paraId="7DF0D80C" w14:textId="3EE14A1A" w:rsidTr="71B705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bottom"/>
          </w:tcPr>
          <w:p w14:paraId="1440A61B" w14:textId="05A0FDB1" w:rsidR="00D91492" w:rsidRPr="006A02DA" w:rsidRDefault="00D91492" w:rsidP="00D91492">
            <w:pPr>
              <w:rPr>
                <w:b w:val="0"/>
                <w:bCs w:val="0"/>
                <w:lang w:val="nl-NL"/>
              </w:rPr>
            </w:pPr>
            <w:r w:rsidRPr="006A02DA">
              <w:rPr>
                <w:b w:val="0"/>
                <w:bCs w:val="0"/>
                <w:lang w:val="nl-NL"/>
              </w:rPr>
              <w:t>Uniform Europees Aanbestedingsdocument (UEA)</w:t>
            </w:r>
            <w:r w:rsidR="6744E808" w:rsidRPr="67D74804">
              <w:rPr>
                <w:b w:val="0"/>
                <w:bCs w:val="0"/>
                <w:lang w:val="nl-NL"/>
              </w:rPr>
              <w:t xml:space="preserve"> (zie TenderNed)</w:t>
            </w:r>
          </w:p>
        </w:tc>
        <w:tc>
          <w:tcPr>
            <w:tcW w:w="1378" w:type="dxa"/>
            <w:tcBorders>
              <w:top w:val="single" w:sz="4" w:space="0" w:color="auto"/>
            </w:tcBorders>
            <w:vAlign w:val="center"/>
          </w:tcPr>
          <w:sdt>
            <w:sdtPr>
              <w:id w:val="-1325966730"/>
              <w14:checkbox>
                <w14:checked w14:val="1"/>
                <w14:checkedState w14:val="2612" w14:font="MS Gothic"/>
                <w14:uncheckedState w14:val="2610" w14:font="MS Gothic"/>
              </w14:checkbox>
            </w:sdtPr>
            <w:sdtContent>
              <w:p w14:paraId="0F310C04" w14:textId="700AC557" w:rsidR="00D91492" w:rsidRPr="002B59C9" w:rsidRDefault="6744E808" w:rsidP="00D91492">
                <w:pPr>
                  <w:jc w:val="center"/>
                  <w:cnfStyle w:val="000000100000" w:firstRow="0" w:lastRow="0" w:firstColumn="0" w:lastColumn="0" w:oddVBand="0" w:evenVBand="0" w:oddHBand="1" w:evenHBand="0" w:firstRowFirstColumn="0" w:firstRowLastColumn="0" w:lastRowFirstColumn="0" w:lastRowLastColumn="0"/>
                </w:pPr>
                <w:r w:rsidRPr="67D74804">
                  <w:rPr>
                    <w:rFonts w:ascii="MS Gothic" w:eastAsia="MS Gothic" w:hAnsi="MS Gothic" w:cs="MS Gothic"/>
                  </w:rPr>
                  <w:t>☒</w:t>
                </w:r>
              </w:p>
            </w:sdtContent>
          </w:sdt>
        </w:tc>
        <w:tc>
          <w:tcPr>
            <w:tcW w:w="1843" w:type="dxa"/>
            <w:tcBorders>
              <w:top w:val="single" w:sz="4" w:space="0" w:color="auto"/>
            </w:tcBorders>
            <w:vAlign w:val="center"/>
          </w:tcPr>
          <w:sdt>
            <w:sdtPr>
              <w:id w:val="-1958860712"/>
              <w14:checkbox>
                <w14:checked w14:val="0"/>
                <w14:checkedState w14:val="2612" w14:font="MS Gothic"/>
                <w14:uncheckedState w14:val="2610" w14:font="MS Gothic"/>
              </w14:checkbox>
            </w:sdtPr>
            <w:sdtContent>
              <w:p w14:paraId="67A69D63" w14:textId="5EAF3F9D" w:rsidR="00D91492" w:rsidRPr="002B59C9" w:rsidRDefault="005935D4" w:rsidP="00D91492">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c>
          <w:tcPr>
            <w:tcW w:w="1791" w:type="dxa"/>
            <w:vAlign w:val="center"/>
          </w:tcPr>
          <w:sdt>
            <w:sdtPr>
              <w:id w:val="-474220524"/>
              <w14:checkbox>
                <w14:checked w14:val="0"/>
                <w14:checkedState w14:val="2612" w14:font="MS Gothic"/>
                <w14:uncheckedState w14:val="2610" w14:font="MS Gothic"/>
              </w14:checkbox>
            </w:sdtPr>
            <w:sdtContent>
              <w:p w14:paraId="63E4A6AD" w14:textId="371AD4F6" w:rsidR="00D91492" w:rsidRDefault="00D458B9" w:rsidP="00D91492">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r>
      <w:tr w:rsidR="00D91492" w:rsidRPr="002B59C9" w14:paraId="573B4BCA" w14:textId="3046F8A0" w:rsidTr="71B7053F">
        <w:trPr>
          <w:jc w:val="center"/>
        </w:trPr>
        <w:tc>
          <w:tcPr>
            <w:cnfStyle w:val="001000000000" w:firstRow="0" w:lastRow="0" w:firstColumn="1" w:lastColumn="0" w:oddVBand="0" w:evenVBand="0" w:oddHBand="0" w:evenHBand="0" w:firstRowFirstColumn="0" w:firstRowLastColumn="0" w:lastRowFirstColumn="0" w:lastRowLastColumn="0"/>
            <w:tcW w:w="0" w:type="auto"/>
            <w:vAlign w:val="bottom"/>
          </w:tcPr>
          <w:p w14:paraId="1B9D3295" w14:textId="77777777" w:rsidR="00D91492" w:rsidRPr="006A02DA" w:rsidRDefault="00D91492" w:rsidP="00D91492">
            <w:pPr>
              <w:rPr>
                <w:b w:val="0"/>
                <w:bCs w:val="0"/>
                <w:lang w:val="nl-NL"/>
              </w:rPr>
            </w:pPr>
            <w:r w:rsidRPr="006A02DA">
              <w:rPr>
                <w:b w:val="0"/>
                <w:bCs w:val="0"/>
                <w:lang w:val="nl-NL"/>
              </w:rPr>
              <w:t>Uittreksel Kamer van Koophandel (niet ouder dan zes maanden)</w:t>
            </w:r>
          </w:p>
        </w:tc>
        <w:tc>
          <w:tcPr>
            <w:tcW w:w="1378" w:type="dxa"/>
            <w:vAlign w:val="center"/>
          </w:tcPr>
          <w:sdt>
            <w:sdtPr>
              <w:id w:val="-2030478598"/>
              <w14:checkbox>
                <w14:checked w14:val="1"/>
                <w14:checkedState w14:val="2612" w14:font="MS Gothic"/>
                <w14:uncheckedState w14:val="2610" w14:font="MS Gothic"/>
              </w14:checkbox>
            </w:sdtPr>
            <w:sdtContent>
              <w:p w14:paraId="78AA3918" w14:textId="0032A532" w:rsidR="00D91492" w:rsidRPr="002B59C9" w:rsidRDefault="00D91492" w:rsidP="00D91492">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843" w:type="dxa"/>
            <w:vAlign w:val="center"/>
          </w:tcPr>
          <w:sdt>
            <w:sdtPr>
              <w:id w:val="824866986"/>
              <w14:checkbox>
                <w14:checked w14:val="0"/>
                <w14:checkedState w14:val="2612" w14:font="MS Gothic"/>
                <w14:uncheckedState w14:val="2610" w14:font="MS Gothic"/>
              </w14:checkbox>
            </w:sdtPr>
            <w:sdtContent>
              <w:p w14:paraId="355D4C0D" w14:textId="2A04DF58" w:rsidR="00D91492" w:rsidRPr="002B59C9" w:rsidRDefault="00D91492" w:rsidP="00D91492">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791" w:type="dxa"/>
            <w:vAlign w:val="center"/>
          </w:tcPr>
          <w:sdt>
            <w:sdtPr>
              <w:id w:val="2089495101"/>
              <w14:checkbox>
                <w14:checked w14:val="0"/>
                <w14:checkedState w14:val="2612" w14:font="MS Gothic"/>
                <w14:uncheckedState w14:val="2610" w14:font="MS Gothic"/>
              </w14:checkbox>
            </w:sdtPr>
            <w:sdtContent>
              <w:p w14:paraId="2DBCECDD" w14:textId="0E148849" w:rsidR="00D91492" w:rsidRDefault="00D91492" w:rsidP="00D91492">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r w:rsidR="00D91492" w:rsidRPr="002B59C9" w14:paraId="27A38E91" w14:textId="0B5F91DC" w:rsidTr="71B705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bottom"/>
          </w:tcPr>
          <w:p w14:paraId="18D75FA6" w14:textId="77777777" w:rsidR="00D91492" w:rsidRPr="006A02DA" w:rsidRDefault="00D91492" w:rsidP="00D91492">
            <w:pPr>
              <w:rPr>
                <w:b w:val="0"/>
                <w:bCs w:val="0"/>
                <w:lang w:val="nl-NL"/>
              </w:rPr>
            </w:pPr>
            <w:r w:rsidRPr="006A02DA">
              <w:rPr>
                <w:b w:val="0"/>
                <w:bCs w:val="0"/>
                <w:lang w:val="nl-NL"/>
              </w:rPr>
              <w:t>Verklaring Belastingdienst</w:t>
            </w:r>
          </w:p>
        </w:tc>
        <w:tc>
          <w:tcPr>
            <w:tcW w:w="1378" w:type="dxa"/>
            <w:vAlign w:val="center"/>
          </w:tcPr>
          <w:sdt>
            <w:sdtPr>
              <w:id w:val="-347250064"/>
              <w14:checkbox>
                <w14:checked w14:val="1"/>
                <w14:checkedState w14:val="2612" w14:font="MS Gothic"/>
                <w14:uncheckedState w14:val="2610" w14:font="MS Gothic"/>
              </w14:checkbox>
            </w:sdtPr>
            <w:sdtContent>
              <w:p w14:paraId="197D1FED" w14:textId="0C79689C" w:rsidR="00D91492" w:rsidRPr="002B59C9" w:rsidRDefault="1F01DF3F" w:rsidP="00D91492">
                <w:pPr>
                  <w:jc w:val="center"/>
                  <w:cnfStyle w:val="000000100000" w:firstRow="0" w:lastRow="0" w:firstColumn="0" w:lastColumn="0" w:oddVBand="0" w:evenVBand="0" w:oddHBand="1" w:evenHBand="0" w:firstRowFirstColumn="0" w:firstRowLastColumn="0" w:lastRowFirstColumn="0" w:lastRowLastColumn="0"/>
                </w:pPr>
                <w:r w:rsidRPr="71B7053F">
                  <w:rPr>
                    <w:rFonts w:ascii="MS Gothic" w:eastAsia="MS Gothic" w:hAnsi="MS Gothic" w:cs="MS Gothic"/>
                  </w:rPr>
                  <w:t>☒</w:t>
                </w:r>
              </w:p>
            </w:sdtContent>
          </w:sdt>
        </w:tc>
        <w:tc>
          <w:tcPr>
            <w:tcW w:w="1843" w:type="dxa"/>
            <w:vAlign w:val="center"/>
          </w:tcPr>
          <w:sdt>
            <w:sdtPr>
              <w:id w:val="-864513672"/>
              <w14:checkbox>
                <w14:checked w14:val="0"/>
                <w14:checkedState w14:val="2612" w14:font="MS Gothic"/>
                <w14:uncheckedState w14:val="2610" w14:font="MS Gothic"/>
              </w14:checkbox>
            </w:sdtPr>
            <w:sdtContent>
              <w:p w14:paraId="703E788C" w14:textId="06D73ECC" w:rsidR="00D91492" w:rsidRPr="002B59C9" w:rsidRDefault="1F01DF3F" w:rsidP="00D91492">
                <w:pPr>
                  <w:jc w:val="center"/>
                  <w:cnfStyle w:val="000000100000" w:firstRow="0" w:lastRow="0" w:firstColumn="0" w:lastColumn="0" w:oddVBand="0" w:evenVBand="0" w:oddHBand="1" w:evenHBand="0" w:firstRowFirstColumn="0" w:firstRowLastColumn="0" w:lastRowFirstColumn="0" w:lastRowLastColumn="0"/>
                </w:pPr>
                <w:r w:rsidRPr="71B7053F">
                  <w:rPr>
                    <w:rFonts w:ascii="MS Gothic" w:eastAsia="MS Gothic" w:hAnsi="MS Gothic" w:cs="MS Gothic"/>
                  </w:rPr>
                  <w:t>☐</w:t>
                </w:r>
              </w:p>
            </w:sdtContent>
          </w:sdt>
        </w:tc>
        <w:tc>
          <w:tcPr>
            <w:tcW w:w="1791" w:type="dxa"/>
            <w:vAlign w:val="center"/>
          </w:tcPr>
          <w:sdt>
            <w:sdtPr>
              <w:id w:val="1211685190"/>
              <w14:checkbox>
                <w14:checked w14:val="0"/>
                <w14:checkedState w14:val="2612" w14:font="MS Gothic"/>
                <w14:uncheckedState w14:val="2610" w14:font="MS Gothic"/>
              </w14:checkbox>
            </w:sdtPr>
            <w:sdtContent>
              <w:p w14:paraId="6C6B6CC7" w14:textId="0BE9738E" w:rsidR="00D91492" w:rsidRDefault="00D91492" w:rsidP="00D91492">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r>
      <w:tr w:rsidR="00D91492" w:rsidRPr="002B59C9" w14:paraId="2CA4A4D3" w14:textId="76829C8F" w:rsidTr="71B7053F">
        <w:trPr>
          <w:jc w:val="center"/>
        </w:trPr>
        <w:tc>
          <w:tcPr>
            <w:cnfStyle w:val="001000000000" w:firstRow="0" w:lastRow="0" w:firstColumn="1" w:lastColumn="0" w:oddVBand="0" w:evenVBand="0" w:oddHBand="0" w:evenHBand="0" w:firstRowFirstColumn="0" w:firstRowLastColumn="0" w:lastRowFirstColumn="0" w:lastRowLastColumn="0"/>
            <w:tcW w:w="0" w:type="auto"/>
            <w:vAlign w:val="bottom"/>
          </w:tcPr>
          <w:p w14:paraId="48A12652" w14:textId="77777777" w:rsidR="00D91492" w:rsidRPr="006A02DA" w:rsidRDefault="00D91492" w:rsidP="00D91492">
            <w:pPr>
              <w:rPr>
                <w:b w:val="0"/>
                <w:bCs w:val="0"/>
                <w:lang w:val="nl-NL"/>
              </w:rPr>
            </w:pPr>
            <w:r w:rsidRPr="006A02DA">
              <w:rPr>
                <w:b w:val="0"/>
                <w:bCs w:val="0"/>
                <w:lang w:val="nl-NL"/>
              </w:rPr>
              <w:t>Gedragsverklaring aanbesteden (GVA)</w:t>
            </w:r>
          </w:p>
        </w:tc>
        <w:tc>
          <w:tcPr>
            <w:tcW w:w="1378" w:type="dxa"/>
            <w:vAlign w:val="center"/>
          </w:tcPr>
          <w:sdt>
            <w:sdtPr>
              <w:id w:val="-9385883"/>
              <w14:checkbox>
                <w14:checked w14:val="1"/>
                <w14:checkedState w14:val="2612" w14:font="MS Gothic"/>
                <w14:uncheckedState w14:val="2610" w14:font="MS Gothic"/>
              </w14:checkbox>
            </w:sdtPr>
            <w:sdtContent>
              <w:p w14:paraId="6947E2DD" w14:textId="6F0BAA0B" w:rsidR="00D91492" w:rsidRPr="002B59C9" w:rsidRDefault="00D91492" w:rsidP="00D91492">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843" w:type="dxa"/>
            <w:vAlign w:val="center"/>
          </w:tcPr>
          <w:sdt>
            <w:sdtPr>
              <w:id w:val="-556479833"/>
              <w14:checkbox>
                <w14:checked w14:val="0"/>
                <w14:checkedState w14:val="2612" w14:font="MS Gothic"/>
                <w14:uncheckedState w14:val="2610" w14:font="MS Gothic"/>
              </w14:checkbox>
            </w:sdtPr>
            <w:sdtContent>
              <w:p w14:paraId="05D738A4" w14:textId="77777777" w:rsidR="00D91492" w:rsidRPr="002B59C9" w:rsidRDefault="00D91492" w:rsidP="00D91492">
                <w:pPr>
                  <w:jc w:val="center"/>
                  <w:cnfStyle w:val="000000000000" w:firstRow="0" w:lastRow="0" w:firstColumn="0" w:lastColumn="0" w:oddVBand="0" w:evenVBand="0" w:oddHBand="0" w:evenHBand="0" w:firstRowFirstColumn="0" w:firstRowLastColumn="0" w:lastRowFirstColumn="0" w:lastRowLastColumn="0"/>
                </w:pPr>
                <w:r w:rsidRPr="003524B9">
                  <w:rPr>
                    <w:rFonts w:ascii="MS Gothic" w:eastAsia="MS Gothic" w:hAnsi="MS Gothic" w:hint="eastAsia"/>
                  </w:rPr>
                  <w:t>☐</w:t>
                </w:r>
              </w:p>
            </w:sdtContent>
          </w:sdt>
        </w:tc>
        <w:tc>
          <w:tcPr>
            <w:tcW w:w="1791" w:type="dxa"/>
            <w:vAlign w:val="center"/>
          </w:tcPr>
          <w:sdt>
            <w:sdtPr>
              <w:id w:val="-137340795"/>
              <w14:checkbox>
                <w14:checked w14:val="0"/>
                <w14:checkedState w14:val="2612" w14:font="MS Gothic"/>
                <w14:uncheckedState w14:val="2610" w14:font="MS Gothic"/>
              </w14:checkbox>
            </w:sdtPr>
            <w:sdtContent>
              <w:p w14:paraId="0BBD0BFE" w14:textId="02407879" w:rsidR="00D91492" w:rsidRDefault="00D91492" w:rsidP="00D91492">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r w:rsidR="00D91492" w:rsidRPr="002B59C9" w14:paraId="05D9928B" w14:textId="1CA7D3F9" w:rsidTr="71B705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bottom"/>
          </w:tcPr>
          <w:p w14:paraId="435403CD" w14:textId="77777777" w:rsidR="00D91492" w:rsidRPr="006A02DA" w:rsidRDefault="00D91492" w:rsidP="00D91492">
            <w:pPr>
              <w:rPr>
                <w:b w:val="0"/>
                <w:bCs w:val="0"/>
                <w:lang w:val="nl-NL"/>
              </w:rPr>
            </w:pPr>
            <w:r w:rsidRPr="006A02DA">
              <w:rPr>
                <w:b w:val="0"/>
                <w:bCs w:val="0"/>
                <w:lang w:val="nl-NL"/>
              </w:rPr>
              <w:lastRenderedPageBreak/>
              <w:t>Verklaring inzake naleving sanctieregelgeving (Russische betrokkenheid)</w:t>
            </w:r>
          </w:p>
        </w:tc>
        <w:tc>
          <w:tcPr>
            <w:tcW w:w="1378" w:type="dxa"/>
            <w:vAlign w:val="center"/>
          </w:tcPr>
          <w:sdt>
            <w:sdtPr>
              <w:id w:val="827411722"/>
              <w14:checkbox>
                <w14:checked w14:val="1"/>
                <w14:checkedState w14:val="2612" w14:font="MS Gothic"/>
                <w14:uncheckedState w14:val="2610" w14:font="MS Gothic"/>
              </w14:checkbox>
            </w:sdtPr>
            <w:sdtContent>
              <w:p w14:paraId="09229E73" w14:textId="512AF4DE" w:rsidR="00D91492" w:rsidRPr="002B59C9" w:rsidRDefault="00D91492" w:rsidP="00D91492">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c>
          <w:tcPr>
            <w:tcW w:w="1843" w:type="dxa"/>
            <w:vAlign w:val="center"/>
          </w:tcPr>
          <w:sdt>
            <w:sdtPr>
              <w:id w:val="849373939"/>
              <w14:checkbox>
                <w14:checked w14:val="0"/>
                <w14:checkedState w14:val="2612" w14:font="MS Gothic"/>
                <w14:uncheckedState w14:val="2610" w14:font="MS Gothic"/>
              </w14:checkbox>
            </w:sdtPr>
            <w:sdtContent>
              <w:p w14:paraId="1025667D" w14:textId="77777777" w:rsidR="00D91492" w:rsidRPr="002B59C9" w:rsidRDefault="00D91492" w:rsidP="00D91492">
                <w:pPr>
                  <w:jc w:val="center"/>
                  <w:cnfStyle w:val="000000100000" w:firstRow="0" w:lastRow="0" w:firstColumn="0" w:lastColumn="0" w:oddVBand="0" w:evenVBand="0" w:oddHBand="1" w:evenHBand="0" w:firstRowFirstColumn="0" w:firstRowLastColumn="0" w:lastRowFirstColumn="0" w:lastRowLastColumn="0"/>
                </w:pPr>
                <w:r w:rsidRPr="003524B9">
                  <w:rPr>
                    <w:rFonts w:ascii="MS Gothic" w:eastAsia="MS Gothic" w:hAnsi="MS Gothic" w:hint="eastAsia"/>
                  </w:rPr>
                  <w:t>☐</w:t>
                </w:r>
              </w:p>
            </w:sdtContent>
          </w:sdt>
        </w:tc>
        <w:tc>
          <w:tcPr>
            <w:tcW w:w="1791" w:type="dxa"/>
            <w:vAlign w:val="center"/>
          </w:tcPr>
          <w:sdt>
            <w:sdtPr>
              <w:id w:val="1645240541"/>
              <w14:checkbox>
                <w14:checked w14:val="0"/>
                <w14:checkedState w14:val="2612" w14:font="MS Gothic"/>
                <w14:uncheckedState w14:val="2610" w14:font="MS Gothic"/>
              </w14:checkbox>
            </w:sdtPr>
            <w:sdtContent>
              <w:p w14:paraId="6D7BB8F1" w14:textId="6CEE9AF7" w:rsidR="00D91492" w:rsidRDefault="00D91492" w:rsidP="00D91492">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r>
      <w:tr w:rsidR="00D91492" w:rsidRPr="002B59C9" w14:paraId="3995BAAA" w14:textId="16E0C00F" w:rsidTr="71B7053F">
        <w:trPr>
          <w:jc w:val="center"/>
        </w:trPr>
        <w:tc>
          <w:tcPr>
            <w:cnfStyle w:val="001000000000" w:firstRow="0" w:lastRow="0" w:firstColumn="1" w:lastColumn="0" w:oddVBand="0" w:evenVBand="0" w:oddHBand="0" w:evenHBand="0" w:firstRowFirstColumn="0" w:firstRowLastColumn="0" w:lastRowFirstColumn="0" w:lastRowLastColumn="0"/>
            <w:tcW w:w="0" w:type="auto"/>
            <w:vAlign w:val="bottom"/>
          </w:tcPr>
          <w:p w14:paraId="06D79CC4" w14:textId="77777777" w:rsidR="00D91492" w:rsidRPr="006A02DA" w:rsidRDefault="00D91492" w:rsidP="00D91492">
            <w:pPr>
              <w:rPr>
                <w:b w:val="0"/>
                <w:bCs w:val="0"/>
                <w:lang w:val="nl-NL"/>
              </w:rPr>
            </w:pPr>
            <w:r w:rsidRPr="006A02DA">
              <w:rPr>
                <w:b w:val="0"/>
                <w:bCs w:val="0"/>
                <w:lang w:val="nl-NL"/>
              </w:rPr>
              <w:t xml:space="preserve">Holdingverklaring </w:t>
            </w:r>
          </w:p>
        </w:tc>
        <w:tc>
          <w:tcPr>
            <w:tcW w:w="1378" w:type="dxa"/>
            <w:vAlign w:val="center"/>
          </w:tcPr>
          <w:sdt>
            <w:sdtPr>
              <w:id w:val="1373970484"/>
              <w14:checkbox>
                <w14:checked w14:val="1"/>
                <w14:checkedState w14:val="2612" w14:font="MS Gothic"/>
                <w14:uncheckedState w14:val="2610" w14:font="MS Gothic"/>
              </w14:checkbox>
            </w:sdtPr>
            <w:sdtContent>
              <w:p w14:paraId="18A5BC82" w14:textId="6104A5DD" w:rsidR="00D91492" w:rsidRPr="002B59C9" w:rsidRDefault="00D91492" w:rsidP="00D91492">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843" w:type="dxa"/>
            <w:vAlign w:val="center"/>
          </w:tcPr>
          <w:sdt>
            <w:sdtPr>
              <w:id w:val="1332336031"/>
              <w14:checkbox>
                <w14:checked w14:val="0"/>
                <w14:checkedState w14:val="2612" w14:font="MS Gothic"/>
                <w14:uncheckedState w14:val="2610" w14:font="MS Gothic"/>
              </w14:checkbox>
            </w:sdtPr>
            <w:sdtContent>
              <w:p w14:paraId="293D8EA3" w14:textId="77777777" w:rsidR="00D91492" w:rsidRPr="002B59C9" w:rsidRDefault="00D91492" w:rsidP="00D91492">
                <w:pPr>
                  <w:jc w:val="center"/>
                  <w:cnfStyle w:val="000000000000" w:firstRow="0" w:lastRow="0" w:firstColumn="0" w:lastColumn="0" w:oddVBand="0" w:evenVBand="0" w:oddHBand="0" w:evenHBand="0" w:firstRowFirstColumn="0" w:firstRowLastColumn="0" w:lastRowFirstColumn="0" w:lastRowLastColumn="0"/>
                </w:pPr>
                <w:r w:rsidRPr="003524B9">
                  <w:rPr>
                    <w:rFonts w:ascii="MS Gothic" w:eastAsia="MS Gothic" w:hAnsi="MS Gothic" w:hint="eastAsia"/>
                  </w:rPr>
                  <w:t>☐</w:t>
                </w:r>
              </w:p>
            </w:sdtContent>
          </w:sdt>
        </w:tc>
        <w:tc>
          <w:tcPr>
            <w:tcW w:w="1791" w:type="dxa"/>
            <w:vAlign w:val="center"/>
          </w:tcPr>
          <w:sdt>
            <w:sdtPr>
              <w:id w:val="1116180689"/>
              <w14:checkbox>
                <w14:checked w14:val="0"/>
                <w14:checkedState w14:val="2612" w14:font="MS Gothic"/>
                <w14:uncheckedState w14:val="2610" w14:font="MS Gothic"/>
              </w14:checkbox>
            </w:sdtPr>
            <w:sdtContent>
              <w:p w14:paraId="4734C0B6" w14:textId="7930991C" w:rsidR="00D91492" w:rsidRDefault="00D91492" w:rsidP="00D91492">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r w:rsidR="00D91492" w:rsidRPr="002B59C9" w14:paraId="05FC42C3" w14:textId="5A2E8789" w:rsidTr="71B705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bottom"/>
          </w:tcPr>
          <w:p w14:paraId="4026CF1E" w14:textId="6292A6B6" w:rsidR="00D91492" w:rsidRPr="006A02DA" w:rsidRDefault="00F54616" w:rsidP="00D91492">
            <w:pPr>
              <w:rPr>
                <w:b w:val="0"/>
                <w:bCs w:val="0"/>
                <w:lang w:val="nl-NL"/>
              </w:rPr>
            </w:pPr>
            <w:r>
              <w:rPr>
                <w:b w:val="0"/>
                <w:bCs w:val="0"/>
                <w:lang w:val="nl-NL"/>
              </w:rPr>
              <w:t>Op</w:t>
            </w:r>
            <w:r w:rsidR="00F218F4">
              <w:rPr>
                <w:b w:val="0"/>
                <w:bCs w:val="0"/>
                <w:lang w:val="nl-NL"/>
              </w:rPr>
              <w:t>gave referentieopdracht</w:t>
            </w:r>
          </w:p>
        </w:tc>
        <w:tc>
          <w:tcPr>
            <w:tcW w:w="1378" w:type="dxa"/>
            <w:vAlign w:val="center"/>
          </w:tcPr>
          <w:sdt>
            <w:sdtPr>
              <w:id w:val="503708580"/>
              <w14:checkbox>
                <w14:checked w14:val="1"/>
                <w14:checkedState w14:val="2612" w14:font="MS Gothic"/>
                <w14:uncheckedState w14:val="2610" w14:font="MS Gothic"/>
              </w14:checkbox>
            </w:sdtPr>
            <w:sdtContent>
              <w:p w14:paraId="2BE4970E" w14:textId="2D3D095A" w:rsidR="00D91492" w:rsidRPr="002B59C9" w:rsidRDefault="00D91492" w:rsidP="00D91492">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c>
          <w:tcPr>
            <w:tcW w:w="1843" w:type="dxa"/>
            <w:vAlign w:val="center"/>
          </w:tcPr>
          <w:sdt>
            <w:sdtPr>
              <w:id w:val="692731004"/>
              <w14:checkbox>
                <w14:checked w14:val="0"/>
                <w14:checkedState w14:val="2612" w14:font="MS Gothic"/>
                <w14:uncheckedState w14:val="2610" w14:font="MS Gothic"/>
              </w14:checkbox>
            </w:sdtPr>
            <w:sdtContent>
              <w:p w14:paraId="7B83AFCD" w14:textId="4DD585F0" w:rsidR="00D91492" w:rsidRPr="002B59C9" w:rsidRDefault="00D91492" w:rsidP="00D91492">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c>
          <w:tcPr>
            <w:tcW w:w="1791" w:type="dxa"/>
            <w:vAlign w:val="center"/>
          </w:tcPr>
          <w:sdt>
            <w:sdtPr>
              <w:id w:val="909352587"/>
              <w14:checkbox>
                <w14:checked w14:val="0"/>
                <w14:checkedState w14:val="2612" w14:font="MS Gothic"/>
                <w14:uncheckedState w14:val="2610" w14:font="MS Gothic"/>
              </w14:checkbox>
            </w:sdtPr>
            <w:sdtContent>
              <w:p w14:paraId="46128915" w14:textId="2AD57737" w:rsidR="00D91492" w:rsidRDefault="00D91492" w:rsidP="00D91492">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r>
      <w:tr w:rsidR="00D91492" w:rsidRPr="002B59C9" w14:paraId="751C9506" w14:textId="533E47B3" w:rsidTr="71B7053F">
        <w:trPr>
          <w:jc w:val="center"/>
        </w:trPr>
        <w:tc>
          <w:tcPr>
            <w:cnfStyle w:val="001000000000" w:firstRow="0" w:lastRow="0" w:firstColumn="1" w:lastColumn="0" w:oddVBand="0" w:evenVBand="0" w:oddHBand="0" w:evenHBand="0" w:firstRowFirstColumn="0" w:firstRowLastColumn="0" w:lastRowFirstColumn="0" w:lastRowLastColumn="0"/>
            <w:tcW w:w="0" w:type="auto"/>
            <w:vAlign w:val="bottom"/>
          </w:tcPr>
          <w:p w14:paraId="3999ECE9" w14:textId="77777777" w:rsidR="00D91492" w:rsidRPr="006A02DA" w:rsidRDefault="00D91492" w:rsidP="00D91492">
            <w:pPr>
              <w:rPr>
                <w:b w:val="0"/>
                <w:bCs w:val="0"/>
                <w:lang w:val="nl-NL"/>
              </w:rPr>
            </w:pPr>
            <w:r w:rsidRPr="006A02DA">
              <w:rPr>
                <w:b w:val="0"/>
                <w:bCs w:val="0"/>
                <w:lang w:val="nl-NL"/>
              </w:rPr>
              <w:t>Bewijs van een adequate verzekering</w:t>
            </w:r>
          </w:p>
        </w:tc>
        <w:tc>
          <w:tcPr>
            <w:tcW w:w="1378" w:type="dxa"/>
            <w:vAlign w:val="center"/>
          </w:tcPr>
          <w:sdt>
            <w:sdtPr>
              <w:id w:val="777683762"/>
              <w14:checkbox>
                <w14:checked w14:val="1"/>
                <w14:checkedState w14:val="2612" w14:font="MS Gothic"/>
                <w14:uncheckedState w14:val="2610" w14:font="MS Gothic"/>
              </w14:checkbox>
            </w:sdtPr>
            <w:sdtContent>
              <w:p w14:paraId="612277B7" w14:textId="79D002EC" w:rsidR="00D91492" w:rsidRPr="002B59C9" w:rsidRDefault="008D669B" w:rsidP="00D91492">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843" w:type="dxa"/>
            <w:vAlign w:val="center"/>
          </w:tcPr>
          <w:sdt>
            <w:sdtPr>
              <w:id w:val="-1964418473"/>
              <w14:checkbox>
                <w14:checked w14:val="0"/>
                <w14:checkedState w14:val="2612" w14:font="MS Gothic"/>
                <w14:uncheckedState w14:val="2610" w14:font="MS Gothic"/>
              </w14:checkbox>
            </w:sdtPr>
            <w:sdtContent>
              <w:p w14:paraId="025795DB" w14:textId="5E089C2C" w:rsidR="00D91492" w:rsidRPr="002B59C9" w:rsidRDefault="008D669B" w:rsidP="00D91492">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791" w:type="dxa"/>
            <w:vAlign w:val="center"/>
          </w:tcPr>
          <w:sdt>
            <w:sdtPr>
              <w:id w:val="798190817"/>
              <w14:checkbox>
                <w14:checked w14:val="0"/>
                <w14:checkedState w14:val="2612" w14:font="MS Gothic"/>
                <w14:uncheckedState w14:val="2610" w14:font="MS Gothic"/>
              </w14:checkbox>
            </w:sdtPr>
            <w:sdtContent>
              <w:p w14:paraId="17516E47" w14:textId="14ACCB5F" w:rsidR="00D91492" w:rsidRDefault="00D91492" w:rsidP="00D91492">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r w:rsidR="00D91492" w:rsidRPr="002B59C9" w14:paraId="3EF77EB8" w14:textId="7E3BE8FA" w:rsidTr="71B705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bottom"/>
          </w:tcPr>
          <w:p w14:paraId="648DF64C" w14:textId="77777777" w:rsidR="00D91492" w:rsidRPr="006A02DA" w:rsidRDefault="00D91492" w:rsidP="00D91492">
            <w:pPr>
              <w:rPr>
                <w:b w:val="0"/>
                <w:bCs w:val="0"/>
                <w:lang w:val="nl-NL"/>
              </w:rPr>
            </w:pPr>
            <w:r w:rsidRPr="006A02DA">
              <w:rPr>
                <w:b w:val="0"/>
                <w:bCs w:val="0"/>
                <w:lang w:val="nl-NL"/>
              </w:rPr>
              <w:t>Kwaliteitscertificaat (HKZ of gelijkwaardig)</w:t>
            </w:r>
          </w:p>
        </w:tc>
        <w:tc>
          <w:tcPr>
            <w:tcW w:w="1378" w:type="dxa"/>
            <w:vAlign w:val="center"/>
          </w:tcPr>
          <w:sdt>
            <w:sdtPr>
              <w:id w:val="-338239040"/>
              <w14:checkbox>
                <w14:checked w14:val="1"/>
                <w14:checkedState w14:val="2612" w14:font="MS Gothic"/>
                <w14:uncheckedState w14:val="2610" w14:font="MS Gothic"/>
              </w14:checkbox>
            </w:sdtPr>
            <w:sdtContent>
              <w:p w14:paraId="352EC0C3" w14:textId="6449C999" w:rsidR="00D91492" w:rsidRPr="002B59C9" w:rsidRDefault="00D91492" w:rsidP="00D91492">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c>
          <w:tcPr>
            <w:tcW w:w="1843" w:type="dxa"/>
            <w:vAlign w:val="center"/>
          </w:tcPr>
          <w:sdt>
            <w:sdtPr>
              <w:id w:val="1703128906"/>
              <w14:checkbox>
                <w14:checked w14:val="0"/>
                <w14:checkedState w14:val="2612" w14:font="MS Gothic"/>
                <w14:uncheckedState w14:val="2610" w14:font="MS Gothic"/>
              </w14:checkbox>
            </w:sdtPr>
            <w:sdtContent>
              <w:p w14:paraId="5DA5DC0B" w14:textId="77777777" w:rsidR="00D91492" w:rsidRPr="002B59C9" w:rsidRDefault="00D91492" w:rsidP="00D91492">
                <w:pPr>
                  <w:jc w:val="center"/>
                  <w:cnfStyle w:val="000000100000" w:firstRow="0" w:lastRow="0" w:firstColumn="0" w:lastColumn="0" w:oddVBand="0" w:evenVBand="0" w:oddHBand="1" w:evenHBand="0" w:firstRowFirstColumn="0" w:firstRowLastColumn="0" w:lastRowFirstColumn="0" w:lastRowLastColumn="0"/>
                </w:pPr>
                <w:r w:rsidRPr="003524B9">
                  <w:rPr>
                    <w:rFonts w:ascii="MS Gothic" w:eastAsia="MS Gothic" w:hAnsi="MS Gothic" w:hint="eastAsia"/>
                  </w:rPr>
                  <w:t>☐</w:t>
                </w:r>
              </w:p>
            </w:sdtContent>
          </w:sdt>
        </w:tc>
        <w:tc>
          <w:tcPr>
            <w:tcW w:w="1791" w:type="dxa"/>
            <w:vAlign w:val="center"/>
          </w:tcPr>
          <w:sdt>
            <w:sdtPr>
              <w:id w:val="1289079486"/>
              <w14:checkbox>
                <w14:checked w14:val="0"/>
                <w14:checkedState w14:val="2612" w14:font="MS Gothic"/>
                <w14:uncheckedState w14:val="2610" w14:font="MS Gothic"/>
              </w14:checkbox>
            </w:sdtPr>
            <w:sdtContent>
              <w:p w14:paraId="5B65CDB5" w14:textId="387B3500" w:rsidR="00D91492" w:rsidRDefault="00D91492" w:rsidP="00D91492">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r>
      <w:tr w:rsidR="005935D4" w:rsidRPr="002B59C9" w14:paraId="17517982" w14:textId="77777777" w:rsidTr="71B7053F">
        <w:trPr>
          <w:jc w:val="center"/>
        </w:trPr>
        <w:tc>
          <w:tcPr>
            <w:cnfStyle w:val="001000000000" w:firstRow="0" w:lastRow="0" w:firstColumn="1" w:lastColumn="0" w:oddVBand="0" w:evenVBand="0" w:oddHBand="0" w:evenHBand="0" w:firstRowFirstColumn="0" w:firstRowLastColumn="0" w:lastRowFirstColumn="0" w:lastRowLastColumn="0"/>
            <w:tcW w:w="0" w:type="auto"/>
            <w:vAlign w:val="bottom"/>
          </w:tcPr>
          <w:p w14:paraId="788D6A99" w14:textId="1154F8FB" w:rsidR="005935D4" w:rsidRPr="00D458B9" w:rsidRDefault="00B43A46" w:rsidP="005935D4">
            <w:pPr>
              <w:rPr>
                <w:b w:val="0"/>
                <w:bCs w:val="0"/>
                <w:lang w:val="nl-NL"/>
              </w:rPr>
            </w:pPr>
            <w:r w:rsidRPr="00D458B9">
              <w:rPr>
                <w:rFonts w:ascii="Verdana" w:hAnsi="Verdana"/>
                <w:b w:val="0"/>
                <w:bCs w:val="0"/>
                <w:sz w:val="18"/>
                <w:szCs w:val="18"/>
                <w:lang w:val="nl-NL"/>
              </w:rPr>
              <w:t>Verklaring omtrent gedrag</w:t>
            </w:r>
            <w:r w:rsidR="00E67CED">
              <w:rPr>
                <w:rFonts w:ascii="Verdana" w:hAnsi="Verdana"/>
                <w:b w:val="0"/>
                <w:bCs w:val="0"/>
                <w:sz w:val="18"/>
                <w:szCs w:val="18"/>
                <w:lang w:val="nl-NL"/>
              </w:rPr>
              <w:t xml:space="preserve"> voor rechtspersonen</w:t>
            </w:r>
            <w:r w:rsidRPr="00D458B9">
              <w:rPr>
                <w:b w:val="0"/>
                <w:bCs w:val="0"/>
                <w:lang w:val="nl-NL"/>
              </w:rPr>
              <w:t xml:space="preserve">  (</w:t>
            </w:r>
            <w:r w:rsidR="005935D4" w:rsidRPr="00D458B9">
              <w:rPr>
                <w:b w:val="0"/>
                <w:bCs w:val="0"/>
                <w:lang w:val="nl-NL"/>
              </w:rPr>
              <w:t>VOG</w:t>
            </w:r>
            <w:r w:rsidRPr="00D458B9">
              <w:rPr>
                <w:b w:val="0"/>
                <w:bCs w:val="0"/>
                <w:lang w:val="nl-NL"/>
              </w:rPr>
              <w:t>)</w:t>
            </w:r>
          </w:p>
        </w:tc>
        <w:tc>
          <w:tcPr>
            <w:tcW w:w="1378" w:type="dxa"/>
            <w:vAlign w:val="center"/>
          </w:tcPr>
          <w:sdt>
            <w:sdtPr>
              <w:id w:val="-1037584300"/>
              <w14:checkbox>
                <w14:checked w14:val="1"/>
                <w14:checkedState w14:val="2612" w14:font="MS Gothic"/>
                <w14:uncheckedState w14:val="2610" w14:font="MS Gothic"/>
              </w14:checkbox>
            </w:sdtPr>
            <w:sdtContent>
              <w:p w14:paraId="643F570E" w14:textId="6AE3969B" w:rsidR="005935D4" w:rsidRDefault="00CA5D49" w:rsidP="005935D4">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843" w:type="dxa"/>
            <w:vAlign w:val="center"/>
          </w:tcPr>
          <w:sdt>
            <w:sdtPr>
              <w:id w:val="-1042362228"/>
              <w14:checkbox>
                <w14:checked w14:val="0"/>
                <w14:checkedState w14:val="2612" w14:font="MS Gothic"/>
                <w14:uncheckedState w14:val="2610" w14:font="MS Gothic"/>
              </w14:checkbox>
            </w:sdtPr>
            <w:sdtContent>
              <w:p w14:paraId="6CFBAE71" w14:textId="1C1C20EF" w:rsidR="005935D4" w:rsidRDefault="005935D4" w:rsidP="005935D4">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791" w:type="dxa"/>
            <w:vAlign w:val="center"/>
          </w:tcPr>
          <w:sdt>
            <w:sdtPr>
              <w:id w:val="1963836849"/>
              <w14:checkbox>
                <w14:checked w14:val="0"/>
                <w14:checkedState w14:val="2612" w14:font="MS Gothic"/>
                <w14:uncheckedState w14:val="2610" w14:font="MS Gothic"/>
              </w14:checkbox>
            </w:sdtPr>
            <w:sdtContent>
              <w:p w14:paraId="0E6016A5" w14:textId="31A82A1E" w:rsidR="005935D4" w:rsidRPr="0062414F" w:rsidRDefault="00CA5D49" w:rsidP="005935D4">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r w:rsidR="00944C0E" w:rsidRPr="002B59C9" w14:paraId="66D0BFCA" w14:textId="77777777" w:rsidTr="67D74804">
        <w:tblPrEx>
          <w:jc w:val="lef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CC2E5"/>
              <w:left w:val="single" w:sz="4" w:space="0" w:color="9CC2E5"/>
              <w:bottom w:val="single" w:sz="4" w:space="0" w:color="9CC2E5"/>
              <w:right w:val="single" w:sz="4" w:space="0" w:color="9CC2E5"/>
            </w:tcBorders>
          </w:tcPr>
          <w:p w14:paraId="02D48BD4" w14:textId="77777777" w:rsidR="00944C0E" w:rsidRPr="006A02DA" w:rsidRDefault="00944C0E" w:rsidP="008F755D">
            <w:pPr>
              <w:rPr>
                <w:b w:val="0"/>
                <w:bCs w:val="0"/>
                <w:lang w:val="nl-NL"/>
              </w:rPr>
            </w:pPr>
            <w:r w:rsidRPr="006A02DA">
              <w:rPr>
                <w:b w:val="0"/>
                <w:bCs w:val="0"/>
                <w:lang w:val="nl-NL"/>
              </w:rPr>
              <w:t>Verklaring akkoord met de toelatingseisen Safehouse</w:t>
            </w:r>
          </w:p>
        </w:tc>
        <w:tc>
          <w:tcPr>
            <w:tcW w:w="1378" w:type="dxa"/>
            <w:tcBorders>
              <w:top w:val="single" w:sz="4" w:space="0" w:color="9CC2E5"/>
              <w:left w:val="single" w:sz="4" w:space="0" w:color="9CC2E5"/>
              <w:bottom w:val="single" w:sz="4" w:space="0" w:color="9CC2E5"/>
              <w:right w:val="single" w:sz="4" w:space="0" w:color="9CC2E5"/>
            </w:tcBorders>
          </w:tcPr>
          <w:sdt>
            <w:sdtPr>
              <w:id w:val="-697389455"/>
              <w14:checkbox>
                <w14:checked w14:val="1"/>
                <w14:checkedState w14:val="2612" w14:font="MS Gothic"/>
                <w14:uncheckedState w14:val="2610" w14:font="MS Gothic"/>
              </w14:checkbox>
            </w:sdtPr>
            <w:sdtContent>
              <w:p w14:paraId="2F04E822" w14:textId="77777777" w:rsidR="00944C0E" w:rsidRPr="002B59C9" w:rsidRDefault="00944C0E" w:rsidP="008F755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c>
          <w:tcPr>
            <w:tcW w:w="1843" w:type="dxa"/>
            <w:tcBorders>
              <w:top w:val="single" w:sz="4" w:space="0" w:color="9CC2E5"/>
              <w:left w:val="single" w:sz="4" w:space="0" w:color="9CC2E5"/>
              <w:bottom w:val="single" w:sz="4" w:space="0" w:color="9CC2E5"/>
              <w:right w:val="single" w:sz="4" w:space="0" w:color="9CC2E5"/>
            </w:tcBorders>
          </w:tcPr>
          <w:sdt>
            <w:sdtPr>
              <w:id w:val="-1770999266"/>
              <w14:checkbox>
                <w14:checked w14:val="0"/>
                <w14:checkedState w14:val="2612" w14:font="MS Gothic"/>
                <w14:uncheckedState w14:val="2610" w14:font="MS Gothic"/>
              </w14:checkbox>
            </w:sdtPr>
            <w:sdtContent>
              <w:p w14:paraId="6A4A28F5" w14:textId="77777777" w:rsidR="00944C0E" w:rsidRPr="002B59C9" w:rsidRDefault="00944C0E" w:rsidP="008F755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c>
          <w:tcPr>
            <w:tcW w:w="1791" w:type="dxa"/>
            <w:tcBorders>
              <w:top w:val="single" w:sz="4" w:space="0" w:color="9CC2E5"/>
              <w:left w:val="single" w:sz="4" w:space="0" w:color="9CC2E5"/>
              <w:bottom w:val="single" w:sz="4" w:space="0" w:color="9CC2E5"/>
              <w:right w:val="single" w:sz="4" w:space="0" w:color="9CC2E5"/>
            </w:tcBorders>
          </w:tcPr>
          <w:sdt>
            <w:sdtPr>
              <w:id w:val="-1803070710"/>
              <w14:checkbox>
                <w14:checked w14:val="0"/>
                <w14:checkedState w14:val="2612" w14:font="MS Gothic"/>
                <w14:uncheckedState w14:val="2610" w14:font="MS Gothic"/>
              </w14:checkbox>
            </w:sdtPr>
            <w:sdtContent>
              <w:p w14:paraId="3A123039" w14:textId="77777777" w:rsidR="00944C0E" w:rsidRDefault="00944C0E" w:rsidP="008F755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tc>
      </w:tr>
    </w:tbl>
    <w:p w14:paraId="68DDFF09" w14:textId="77777777" w:rsidR="00C62AAC" w:rsidRDefault="00C62AAC" w:rsidP="004A6839"/>
    <w:p w14:paraId="48F3562F" w14:textId="331900C5" w:rsidR="004A6839" w:rsidRPr="00573D0A" w:rsidRDefault="00C25AF4" w:rsidP="00D9697C">
      <w:pPr>
        <w:pStyle w:val="Onderkop1"/>
      </w:pPr>
      <w:bookmarkStart w:id="172" w:name="_Toc199795973"/>
      <w:bookmarkStart w:id="173" w:name="_Toc227858577"/>
      <w:r>
        <w:t>4.</w:t>
      </w:r>
      <w:r w:rsidR="00D9697C">
        <w:t xml:space="preserve">4 </w:t>
      </w:r>
      <w:r w:rsidR="00BA3F11">
        <w:tab/>
      </w:r>
      <w:r w:rsidR="004A6839" w:rsidRPr="00573D0A">
        <w:t>Aanmelden als hoofdaannemer, combinatie of groepsonderneming</w:t>
      </w:r>
      <w:bookmarkEnd w:id="169"/>
      <w:bookmarkEnd w:id="170"/>
      <w:bookmarkEnd w:id="171"/>
      <w:bookmarkEnd w:id="172"/>
      <w:bookmarkEnd w:id="173"/>
    </w:p>
    <w:p w14:paraId="7EB9C690" w14:textId="233B098E" w:rsidR="004A6839" w:rsidRPr="00BA3F11" w:rsidRDefault="00D9697C" w:rsidP="00D9697C">
      <w:pPr>
        <w:pStyle w:val="Onderkop2"/>
        <w:rPr>
          <w:sz w:val="26"/>
          <w:szCs w:val="26"/>
        </w:rPr>
      </w:pPr>
      <w:bookmarkStart w:id="174" w:name="_Toc150863988"/>
      <w:bookmarkStart w:id="175" w:name="_Toc163123583"/>
      <w:bookmarkStart w:id="176" w:name="_Toc165276600"/>
      <w:bookmarkStart w:id="177" w:name="_Toc199795974"/>
      <w:bookmarkStart w:id="178" w:name="_Toc227858578"/>
      <w:r w:rsidRPr="00BA3F11">
        <w:rPr>
          <w:sz w:val="26"/>
          <w:szCs w:val="26"/>
        </w:rPr>
        <w:t>4.</w:t>
      </w:r>
      <w:r w:rsidR="00B237D1" w:rsidRPr="00BA3F11">
        <w:rPr>
          <w:sz w:val="26"/>
          <w:szCs w:val="26"/>
        </w:rPr>
        <w:t>4.</w:t>
      </w:r>
      <w:r w:rsidRPr="00BA3F11">
        <w:rPr>
          <w:sz w:val="26"/>
          <w:szCs w:val="26"/>
        </w:rPr>
        <w:t xml:space="preserve">1 </w:t>
      </w:r>
      <w:r w:rsidR="004A6839" w:rsidRPr="00BA3F11">
        <w:rPr>
          <w:sz w:val="26"/>
          <w:szCs w:val="26"/>
        </w:rPr>
        <w:t>Hoofdaannemer</w:t>
      </w:r>
      <w:bookmarkEnd w:id="174"/>
      <w:bookmarkEnd w:id="175"/>
      <w:bookmarkEnd w:id="176"/>
      <w:bookmarkEnd w:id="177"/>
      <w:bookmarkEnd w:id="178"/>
    </w:p>
    <w:p w14:paraId="77824CD7" w14:textId="77777777" w:rsidR="004A6839" w:rsidRPr="009E6180" w:rsidRDefault="004A6839" w:rsidP="009E6180">
      <w:pPr>
        <w:spacing w:after="0"/>
        <w:ind w:left="708"/>
        <w:contextualSpacing/>
      </w:pPr>
      <w:r w:rsidRPr="009E6180">
        <w:t>Een hoofdaannemer mag samen met onderaannemers een verzoek tot deelname doen. De hoofdaannemer vermeldt alle onderaannemers in het Uniform Europees Aanbestedingsdocument (UEA).</w:t>
      </w:r>
    </w:p>
    <w:p w14:paraId="6BE0D0C9" w14:textId="3EE644D6" w:rsidR="004A6839" w:rsidRPr="009E6180" w:rsidRDefault="004A6839" w:rsidP="009E6180">
      <w:pPr>
        <w:spacing w:after="0"/>
        <w:ind w:left="708"/>
        <w:contextualSpacing/>
      </w:pPr>
      <w:r w:rsidRPr="009E6180">
        <w:t>De hoofdaannemer is hoofdelijk aansprakelijk voor de uitvoering van de opdracht. Dat geldt ook voor de onderaannemers.</w:t>
      </w:r>
    </w:p>
    <w:p w14:paraId="3CD49662" w14:textId="77777777" w:rsidR="004A6839" w:rsidRPr="009E6180" w:rsidRDefault="004A6839" w:rsidP="009E6180">
      <w:pPr>
        <w:spacing w:after="0"/>
        <w:ind w:left="708"/>
        <w:contextualSpacing/>
      </w:pPr>
      <w:r w:rsidRPr="009E6180">
        <w:t>De hoofdaannemer kan in het UEA aangeven of hij onderaannemers nodig heeft om aan eisen te voldoen.</w:t>
      </w:r>
    </w:p>
    <w:p w14:paraId="2A5E68C0" w14:textId="77777777" w:rsidR="004A6839" w:rsidRPr="009E6180" w:rsidRDefault="004A6839" w:rsidP="009E6180">
      <w:pPr>
        <w:spacing w:after="0"/>
        <w:ind w:left="708"/>
        <w:contextualSpacing/>
      </w:pPr>
      <w:r w:rsidRPr="009E6180">
        <w:t>Voegt de hoofdaannemer later onderaannemers toe? Dan moet de inkopende organisatie dat schriftelijk goedkeuren. Dit mag alleen als wet- en regelgeving dit toestaan.</w:t>
      </w:r>
    </w:p>
    <w:p w14:paraId="32FDDD79" w14:textId="77777777" w:rsidR="004A6839" w:rsidRPr="009E6180" w:rsidRDefault="004A6839" w:rsidP="009E6180">
      <w:pPr>
        <w:spacing w:after="0"/>
        <w:ind w:left="708"/>
        <w:contextualSpacing/>
      </w:pPr>
      <w:r w:rsidRPr="009E6180">
        <w:t xml:space="preserve">De hoofdaannemer moet alle documenten en bewijsstukken kunnen aanleveren. </w:t>
      </w:r>
    </w:p>
    <w:p w14:paraId="6469EE78" w14:textId="77777777" w:rsidR="004A6839" w:rsidRPr="009E6180" w:rsidRDefault="004A6839" w:rsidP="009E6180">
      <w:pPr>
        <w:spacing w:after="0"/>
        <w:ind w:left="708"/>
        <w:contextualSpacing/>
      </w:pPr>
      <w:r w:rsidRPr="009E6180">
        <w:t xml:space="preserve">Onderaannemers moeten een geldige UEA hebben. De in paragraaf 3.3 </w:t>
      </w:r>
      <w:bookmarkStart w:id="179" w:name="_Int_MFbzS6Te"/>
      <w:r w:rsidRPr="009E6180">
        <w:t>genoemde</w:t>
      </w:r>
      <w:bookmarkEnd w:id="179"/>
      <w:r w:rsidRPr="009E6180">
        <w:t xml:space="preserve"> bewijsstukken moeten ook door de onderaannemer(s) ingeleverd worden. De inkopende organisatie weigert onderaannemers die geen geldige verklaring hebben en/of de gevraagde documenten na verzoek niet of niet volledig aanleveren.</w:t>
      </w:r>
    </w:p>
    <w:p w14:paraId="27382E58" w14:textId="77777777" w:rsidR="004A6839" w:rsidRDefault="004A6839" w:rsidP="009E6180">
      <w:pPr>
        <w:spacing w:after="0"/>
        <w:ind w:left="708"/>
        <w:contextualSpacing/>
      </w:pPr>
      <w:r w:rsidRPr="009E6180">
        <w:t>Voor zover de hoofdaannemer een onderaannemer inzet om daarmee aan de gevraagde toelatingscriteria of uitvoeringeisen te kunnen voldoen, kan ook de hoofdaannemer van de procedure uitgesloten worden.</w:t>
      </w:r>
    </w:p>
    <w:p w14:paraId="31569E17" w14:textId="77777777" w:rsidR="004A6839" w:rsidRPr="00573D0A" w:rsidRDefault="004A6839" w:rsidP="009E6180">
      <w:pPr>
        <w:spacing w:after="0"/>
        <w:contextualSpacing/>
      </w:pPr>
    </w:p>
    <w:p w14:paraId="62FBB411" w14:textId="5788B8ED" w:rsidR="004A6839" w:rsidRPr="000D7BB3" w:rsidRDefault="00B237D1" w:rsidP="00B237D1">
      <w:pPr>
        <w:pStyle w:val="Onderkop2"/>
        <w:rPr>
          <w:sz w:val="26"/>
          <w:szCs w:val="26"/>
        </w:rPr>
      </w:pPr>
      <w:bookmarkStart w:id="180" w:name="_Toc150863989"/>
      <w:bookmarkStart w:id="181" w:name="_Toc163123584"/>
      <w:bookmarkStart w:id="182" w:name="_Toc165276601"/>
      <w:bookmarkStart w:id="183" w:name="_Toc199795975"/>
      <w:bookmarkStart w:id="184" w:name="_Toc227858579"/>
      <w:r w:rsidRPr="000D7BB3">
        <w:rPr>
          <w:sz w:val="26"/>
          <w:szCs w:val="26"/>
        </w:rPr>
        <w:t xml:space="preserve">4.4.2 </w:t>
      </w:r>
      <w:r w:rsidR="004A6839" w:rsidRPr="000D7BB3">
        <w:rPr>
          <w:sz w:val="26"/>
          <w:szCs w:val="26"/>
        </w:rPr>
        <w:t>Combinatie</w:t>
      </w:r>
      <w:bookmarkEnd w:id="180"/>
      <w:bookmarkEnd w:id="181"/>
      <w:bookmarkEnd w:id="182"/>
      <w:bookmarkEnd w:id="183"/>
      <w:bookmarkEnd w:id="184"/>
    </w:p>
    <w:p w14:paraId="1230B767" w14:textId="77777777" w:rsidR="004A6839" w:rsidRPr="00F538CD" w:rsidRDefault="004A6839" w:rsidP="000D7BB3">
      <w:pPr>
        <w:spacing w:after="0"/>
        <w:ind w:left="709"/>
        <w:contextualSpacing/>
      </w:pPr>
      <w:r w:rsidRPr="00F538CD">
        <w:t>Soms kunnen opdrachtnemers samen meer dan alleen. Zij mogen zich als combinatie aanmelden.</w:t>
      </w:r>
    </w:p>
    <w:p w14:paraId="697DAF7B" w14:textId="77777777" w:rsidR="004A6839" w:rsidRPr="00F538CD" w:rsidRDefault="004A6839" w:rsidP="000D7BB3">
      <w:pPr>
        <w:spacing w:after="0"/>
        <w:ind w:left="709"/>
        <w:contextualSpacing/>
      </w:pPr>
      <w:r w:rsidRPr="00F538CD">
        <w:t>De combinatie wijst één penvoerder aan. Die vertegenwoordigt de hele combinatie. De anderen machtigen hem hiervoor.</w:t>
      </w:r>
    </w:p>
    <w:p w14:paraId="4ECF3323" w14:textId="77777777" w:rsidR="004A6839" w:rsidRPr="00F538CD" w:rsidRDefault="004A6839" w:rsidP="000D7BB3">
      <w:pPr>
        <w:spacing w:after="0"/>
        <w:ind w:left="709"/>
        <w:contextualSpacing/>
      </w:pPr>
      <w:r w:rsidRPr="00F538CD">
        <w:lastRenderedPageBreak/>
        <w:t xml:space="preserve">De combinatie moet bij het sluiten van </w:t>
      </w:r>
      <w:r>
        <w:t xml:space="preserve">de overeenkomst </w:t>
      </w:r>
      <w:r w:rsidRPr="00F538CD">
        <w:t>hoofdelijk aansprakelijk zijn. Dit kan bijvoorbeeld via een vennootschap onder firma (vof).</w:t>
      </w:r>
    </w:p>
    <w:p w14:paraId="06899D0A" w14:textId="3D393DA2" w:rsidR="004A6839" w:rsidRPr="00F538CD" w:rsidRDefault="004A6839" w:rsidP="000D7BB3">
      <w:pPr>
        <w:spacing w:after="0"/>
        <w:ind w:left="709"/>
        <w:contextualSpacing/>
      </w:pPr>
      <w:r w:rsidRPr="00F538CD">
        <w:t xml:space="preserve">Na </w:t>
      </w:r>
      <w:r>
        <w:t xml:space="preserve">het verzoek tot deelneming </w:t>
      </w:r>
      <w:r w:rsidRPr="00F538CD">
        <w:t>nog een combinatie vormen mag alleen met schriftelijke toestemming van de inkopende organisatie én als wet- en regelgeving dit toestaan.</w:t>
      </w:r>
    </w:p>
    <w:p w14:paraId="66A46828" w14:textId="77777777" w:rsidR="004A6839" w:rsidRPr="00573D0A" w:rsidRDefault="004A6839" w:rsidP="000D7BB3">
      <w:pPr>
        <w:spacing w:after="0"/>
        <w:ind w:left="709"/>
        <w:contextualSpacing/>
      </w:pPr>
      <w:r w:rsidRPr="00F538CD">
        <w:t>Alle leden van de combinatie leveren zelf bewijs over uitsluitingsgronden aan. Andere stukken mogen zij samen indienen</w:t>
      </w:r>
      <w:r w:rsidRPr="00573D0A">
        <w:t>.</w:t>
      </w:r>
    </w:p>
    <w:p w14:paraId="4C3CA76A" w14:textId="77777777" w:rsidR="004A6839" w:rsidRPr="00573D0A" w:rsidRDefault="004A6839" w:rsidP="004A6839"/>
    <w:p w14:paraId="4DEF6207" w14:textId="6BDB320C" w:rsidR="004A6839" w:rsidRPr="00573D0A" w:rsidRDefault="00A00B97" w:rsidP="00A00B97">
      <w:pPr>
        <w:pStyle w:val="Onderkop2"/>
      </w:pPr>
      <w:bookmarkStart w:id="185" w:name="_Toc150863990"/>
      <w:bookmarkStart w:id="186" w:name="_Toc163123585"/>
      <w:bookmarkStart w:id="187" w:name="_Toc165276602"/>
      <w:bookmarkStart w:id="188" w:name="_Toc199795976"/>
      <w:bookmarkStart w:id="189" w:name="_Toc227858580"/>
      <w:r w:rsidRPr="00954E7F">
        <w:rPr>
          <w:sz w:val="26"/>
          <w:szCs w:val="26"/>
        </w:rPr>
        <w:t>4</w:t>
      </w:r>
      <w:r w:rsidRPr="004C2EF2">
        <w:rPr>
          <w:sz w:val="26"/>
          <w:szCs w:val="26"/>
        </w:rPr>
        <w:t xml:space="preserve">.4.3 </w:t>
      </w:r>
      <w:r w:rsidR="004A6839" w:rsidRPr="004C2EF2">
        <w:rPr>
          <w:sz w:val="26"/>
          <w:szCs w:val="26"/>
        </w:rPr>
        <w:t>Groepsonderneming</w:t>
      </w:r>
      <w:bookmarkEnd w:id="185"/>
      <w:bookmarkEnd w:id="186"/>
      <w:bookmarkEnd w:id="187"/>
      <w:bookmarkEnd w:id="188"/>
      <w:bookmarkEnd w:id="189"/>
    </w:p>
    <w:p w14:paraId="08F90885" w14:textId="77777777" w:rsidR="004A6839" w:rsidRPr="00B80C36" w:rsidRDefault="004A6839" w:rsidP="004C2EF2">
      <w:pPr>
        <w:spacing w:after="0"/>
        <w:ind w:left="709"/>
        <w:contextualSpacing/>
        <w:rPr>
          <w:color w:val="000000" w:themeColor="text1"/>
        </w:rPr>
      </w:pPr>
      <w:r w:rsidRPr="00B80C36">
        <w:rPr>
          <w:color w:val="000000" w:themeColor="text1"/>
        </w:rPr>
        <w:t xml:space="preserve">Is de </w:t>
      </w:r>
      <w:r>
        <w:rPr>
          <w:color w:val="000000" w:themeColor="text1"/>
        </w:rPr>
        <w:t>P</w:t>
      </w:r>
      <w:r w:rsidRPr="00B80C36">
        <w:rPr>
          <w:color w:val="000000" w:themeColor="text1"/>
        </w:rPr>
        <w:t xml:space="preserve">otentiële </w:t>
      </w:r>
      <w:r>
        <w:rPr>
          <w:color w:val="000000" w:themeColor="text1"/>
        </w:rPr>
        <w:t>O</w:t>
      </w:r>
      <w:r w:rsidRPr="00B80C36">
        <w:rPr>
          <w:color w:val="000000" w:themeColor="text1"/>
        </w:rPr>
        <w:t>pdrachtnemer onderdeel van een groep? Dan moet de moedermaatschappij garanderen dat zij schulden betaalt bij problemen tijdens de opdracht.</w:t>
      </w:r>
    </w:p>
    <w:p w14:paraId="2C6681E7" w14:textId="7934D8DC" w:rsidR="004A6839" w:rsidRPr="00B80C36" w:rsidRDefault="004A6839" w:rsidP="00954E7F">
      <w:pPr>
        <w:spacing w:after="0"/>
        <w:ind w:left="709"/>
        <w:contextualSpacing/>
        <w:rPr>
          <w:color w:val="000000" w:themeColor="text1"/>
        </w:rPr>
      </w:pPr>
      <w:r w:rsidRPr="13C7ED9A">
        <w:rPr>
          <w:color w:val="000000" w:themeColor="text1"/>
        </w:rPr>
        <w:t xml:space="preserve">Die garantie moet schriftelijk zijn. Dit heet een verklaring van hoofdelijke aansprakelijkheid. Zie </w:t>
      </w:r>
      <w:r w:rsidR="004C2EF2">
        <w:rPr>
          <w:color w:val="000000" w:themeColor="text1"/>
        </w:rPr>
        <w:t>B</w:t>
      </w:r>
      <w:r w:rsidRPr="13C7ED9A">
        <w:rPr>
          <w:color w:val="000000" w:themeColor="text1"/>
        </w:rPr>
        <w:t>ijlage</w:t>
      </w:r>
      <w:r w:rsidR="00954E7F">
        <w:rPr>
          <w:color w:val="000000" w:themeColor="text1"/>
        </w:rPr>
        <w:t xml:space="preserve"> F</w:t>
      </w:r>
      <w:r w:rsidRPr="58067C6D">
        <w:rPr>
          <w:color w:val="000000" w:themeColor="text1"/>
        </w:rPr>
        <w:t xml:space="preserve"> H</w:t>
      </w:r>
      <w:r w:rsidRPr="13C7ED9A">
        <w:rPr>
          <w:color w:val="000000" w:themeColor="text1"/>
        </w:rPr>
        <w:t>oldingverklaring.</w:t>
      </w:r>
    </w:p>
    <w:p w14:paraId="4D40C560" w14:textId="77777777" w:rsidR="004A6839" w:rsidRPr="00573D0A" w:rsidRDefault="004A6839" w:rsidP="00954E7F">
      <w:pPr>
        <w:spacing w:after="0"/>
        <w:contextualSpacing/>
      </w:pPr>
    </w:p>
    <w:p w14:paraId="48E0D7E7" w14:textId="564F50D1" w:rsidR="004A6839" w:rsidRPr="00573D0A" w:rsidRDefault="00A00B97" w:rsidP="00954E7F">
      <w:pPr>
        <w:pStyle w:val="Onderkop1"/>
        <w:spacing w:before="0" w:after="0"/>
        <w:contextualSpacing/>
      </w:pPr>
      <w:bookmarkStart w:id="190" w:name="_Toc150863991"/>
      <w:bookmarkStart w:id="191" w:name="_Toc163123586"/>
      <w:bookmarkStart w:id="192" w:name="_Toc165276603"/>
      <w:bookmarkStart w:id="193" w:name="_Toc199795977"/>
      <w:bookmarkStart w:id="194" w:name="_Toc227858581"/>
      <w:r>
        <w:t xml:space="preserve">4.5 </w:t>
      </w:r>
      <w:r w:rsidR="00954E7F">
        <w:tab/>
      </w:r>
      <w:r w:rsidR="004A6839" w:rsidRPr="00573D0A">
        <w:t xml:space="preserve">Vragen over de procedure </w:t>
      </w:r>
      <w:r w:rsidR="004A6839">
        <w:t>en/</w:t>
      </w:r>
      <w:r w:rsidR="004A6839" w:rsidRPr="00573D0A">
        <w:t>of documenten</w:t>
      </w:r>
      <w:bookmarkEnd w:id="190"/>
      <w:bookmarkEnd w:id="191"/>
      <w:bookmarkEnd w:id="192"/>
      <w:bookmarkEnd w:id="193"/>
      <w:bookmarkEnd w:id="194"/>
    </w:p>
    <w:p w14:paraId="4BD33663" w14:textId="77777777" w:rsidR="00044FC6" w:rsidRDefault="00044FC6" w:rsidP="00954E7F">
      <w:pPr>
        <w:spacing w:after="0"/>
        <w:ind w:left="708"/>
        <w:contextualSpacing/>
      </w:pPr>
    </w:p>
    <w:p w14:paraId="2A276DB0" w14:textId="74285F0C" w:rsidR="004A6839" w:rsidRPr="00B80C36" w:rsidRDefault="004A6839" w:rsidP="00954E7F">
      <w:pPr>
        <w:spacing w:after="0"/>
        <w:ind w:left="708"/>
        <w:contextualSpacing/>
      </w:pPr>
      <w:r>
        <w:t>Potentiële Opdrachtnemers mogen vragen stellen over deze inkoopprocedure, het inkoopdocument en de bijlagen. Zij mogen ook voorstellen doen voor aanpassing van het inkoopdocument en de bijlagen. Dit mag tot de datum die in de planning op het aanbestedingsplatform staat. De Potentiële Opdrachtnemer mag vragen en voorstellen indienen via TenderNed. Vragen die de Potentiële Opdrachtnemer te laat of op een andere manier indient, neemt de inkopende organisatie niet in behandeling. Uitzondering: de inkopende organisatie vindt het antwoord toch belangrijk voor alle opdrachtnemers. Technische vragen over het platform moet de Potentiële Opdrachtnemer stellen aan de servicedesk van dat platform.</w:t>
      </w:r>
    </w:p>
    <w:p w14:paraId="45A7D3D3" w14:textId="77777777" w:rsidR="004A6839" w:rsidRPr="00573D0A" w:rsidRDefault="004A6839" w:rsidP="00954E7F">
      <w:pPr>
        <w:spacing w:after="0"/>
        <w:contextualSpacing/>
      </w:pPr>
    </w:p>
    <w:p w14:paraId="52762C27" w14:textId="308ECEAC" w:rsidR="004A6839" w:rsidRPr="00573D0A" w:rsidRDefault="00A00B97" w:rsidP="00954E7F">
      <w:pPr>
        <w:pStyle w:val="Onderkop1"/>
        <w:spacing w:before="0" w:after="0"/>
        <w:contextualSpacing/>
      </w:pPr>
      <w:bookmarkStart w:id="195" w:name="_Toc150863992"/>
      <w:bookmarkStart w:id="196" w:name="_Toc163123587"/>
      <w:bookmarkStart w:id="197" w:name="_Toc165276604"/>
      <w:bookmarkStart w:id="198" w:name="_Toc199795978"/>
      <w:bookmarkStart w:id="199" w:name="_Toc227858582"/>
      <w:r>
        <w:t xml:space="preserve">4.6 </w:t>
      </w:r>
      <w:r w:rsidR="00044FC6">
        <w:tab/>
      </w:r>
      <w:r w:rsidR="004A6839" w:rsidRPr="00573D0A">
        <w:t>Vertrouwelijkheid</w:t>
      </w:r>
      <w:bookmarkEnd w:id="195"/>
      <w:bookmarkEnd w:id="196"/>
      <w:bookmarkEnd w:id="197"/>
      <w:bookmarkEnd w:id="198"/>
      <w:bookmarkEnd w:id="199"/>
    </w:p>
    <w:p w14:paraId="5083398B" w14:textId="77777777" w:rsidR="00044FC6" w:rsidRDefault="00044FC6" w:rsidP="00954E7F">
      <w:pPr>
        <w:spacing w:after="0"/>
        <w:ind w:left="708"/>
        <w:contextualSpacing/>
        <w:rPr>
          <w:color w:val="000000" w:themeColor="text1"/>
        </w:rPr>
      </w:pPr>
    </w:p>
    <w:p w14:paraId="0B513454" w14:textId="00DA4484" w:rsidR="004A6839" w:rsidRPr="00573D0A" w:rsidRDefault="004A6839" w:rsidP="00954E7F">
      <w:pPr>
        <w:spacing w:after="0"/>
        <w:ind w:left="708"/>
        <w:contextualSpacing/>
        <w:rPr>
          <w:color w:val="000000" w:themeColor="text1"/>
        </w:rPr>
      </w:pPr>
      <w:r w:rsidRPr="00B80C36">
        <w:rPr>
          <w:color w:val="000000" w:themeColor="text1"/>
        </w:rPr>
        <w:t xml:space="preserve">Potentiële </w:t>
      </w:r>
      <w:r>
        <w:rPr>
          <w:color w:val="000000" w:themeColor="text1"/>
        </w:rPr>
        <w:t>O</w:t>
      </w:r>
      <w:r w:rsidRPr="00B80C36">
        <w:rPr>
          <w:color w:val="000000" w:themeColor="text1"/>
        </w:rPr>
        <w:t xml:space="preserve">pdrachtnemers mogen geen informatie over deze </w:t>
      </w:r>
      <w:r>
        <w:rPr>
          <w:color w:val="000000" w:themeColor="text1"/>
        </w:rPr>
        <w:t xml:space="preserve">inkoopprocedure </w:t>
      </w:r>
      <w:r w:rsidRPr="00B80C36">
        <w:rPr>
          <w:color w:val="000000" w:themeColor="text1"/>
        </w:rPr>
        <w:t>delen met anderen.</w:t>
      </w:r>
      <w:r>
        <w:rPr>
          <w:color w:val="000000" w:themeColor="text1"/>
        </w:rPr>
        <w:t xml:space="preserve"> </w:t>
      </w:r>
      <w:r w:rsidRPr="00B80C36">
        <w:rPr>
          <w:color w:val="000000" w:themeColor="text1"/>
        </w:rPr>
        <w:t xml:space="preserve">Zij mogen ook niets publiceren over deze </w:t>
      </w:r>
      <w:r>
        <w:rPr>
          <w:color w:val="000000" w:themeColor="text1"/>
        </w:rPr>
        <w:t>inkoopprocedure</w:t>
      </w:r>
      <w:r w:rsidRPr="00B80C36">
        <w:rPr>
          <w:color w:val="000000" w:themeColor="text1"/>
        </w:rPr>
        <w:t>.</w:t>
      </w:r>
      <w:r>
        <w:rPr>
          <w:color w:val="000000" w:themeColor="text1"/>
        </w:rPr>
        <w:t xml:space="preserve"> </w:t>
      </w:r>
      <w:r w:rsidRPr="00B80C36">
        <w:rPr>
          <w:color w:val="000000" w:themeColor="text1"/>
        </w:rPr>
        <w:t>Dit mag alleen als zij schriftelijke toestemming hebben van de inkopende organisatie</w:t>
      </w:r>
      <w:r w:rsidRPr="00573D0A">
        <w:rPr>
          <w:color w:val="000000" w:themeColor="text1"/>
        </w:rPr>
        <w:t>.</w:t>
      </w:r>
    </w:p>
    <w:p w14:paraId="45513B54" w14:textId="77777777" w:rsidR="004A6839" w:rsidRPr="00573D0A" w:rsidRDefault="004A6839" w:rsidP="00954E7F">
      <w:pPr>
        <w:spacing w:after="0"/>
        <w:ind w:left="708"/>
        <w:contextualSpacing/>
        <w:rPr>
          <w:color w:val="000000" w:themeColor="text1"/>
        </w:rPr>
      </w:pPr>
    </w:p>
    <w:p w14:paraId="585DE3ED" w14:textId="719B76C5" w:rsidR="004A6839" w:rsidRPr="00573D0A" w:rsidRDefault="00A00B97" w:rsidP="00954E7F">
      <w:pPr>
        <w:pStyle w:val="Onderkop1"/>
        <w:spacing w:before="0" w:after="0"/>
        <w:contextualSpacing/>
      </w:pPr>
      <w:bookmarkStart w:id="200" w:name="_Toc163123588"/>
      <w:bookmarkStart w:id="201" w:name="_Toc165276605"/>
      <w:bookmarkStart w:id="202" w:name="_Toc199795979"/>
      <w:bookmarkStart w:id="203" w:name="_Toc227858583"/>
      <w:r>
        <w:t xml:space="preserve">4.7 </w:t>
      </w:r>
      <w:r w:rsidR="00044FC6">
        <w:tab/>
      </w:r>
      <w:r w:rsidR="004A6839" w:rsidRPr="00573D0A">
        <w:t>Gestanddoeningstermijn</w:t>
      </w:r>
      <w:bookmarkEnd w:id="200"/>
      <w:bookmarkEnd w:id="201"/>
      <w:bookmarkEnd w:id="202"/>
      <w:bookmarkEnd w:id="203"/>
    </w:p>
    <w:p w14:paraId="170CE2F3" w14:textId="77777777" w:rsidR="00044FC6" w:rsidRDefault="00044FC6" w:rsidP="00954E7F">
      <w:pPr>
        <w:spacing w:after="0"/>
        <w:ind w:left="708"/>
        <w:contextualSpacing/>
        <w:rPr>
          <w:color w:val="000000" w:themeColor="text1"/>
        </w:rPr>
      </w:pPr>
    </w:p>
    <w:p w14:paraId="24FDCFD8" w14:textId="55436F2D" w:rsidR="004A6839" w:rsidRPr="00AE2822" w:rsidRDefault="004A6839" w:rsidP="00954E7F">
      <w:pPr>
        <w:spacing w:after="0"/>
        <w:ind w:left="708"/>
        <w:contextualSpacing/>
        <w:rPr>
          <w:color w:val="000000" w:themeColor="text1"/>
        </w:rPr>
      </w:pPr>
      <w:r w:rsidRPr="13C7ED9A">
        <w:rPr>
          <w:color w:val="000000" w:themeColor="text1"/>
        </w:rPr>
        <w:t xml:space="preserve">De </w:t>
      </w:r>
      <w:r>
        <w:rPr>
          <w:color w:val="000000" w:themeColor="text1"/>
        </w:rPr>
        <w:t>P</w:t>
      </w:r>
      <w:r w:rsidRPr="13C7ED9A">
        <w:rPr>
          <w:color w:val="000000" w:themeColor="text1"/>
        </w:rPr>
        <w:t xml:space="preserve">otentiële </w:t>
      </w:r>
      <w:r>
        <w:rPr>
          <w:color w:val="000000" w:themeColor="text1"/>
        </w:rPr>
        <w:t>O</w:t>
      </w:r>
      <w:r w:rsidRPr="13C7ED9A">
        <w:rPr>
          <w:color w:val="000000" w:themeColor="text1"/>
        </w:rPr>
        <w:t xml:space="preserve">pdrachtnemer houdt zich 90 kalenderdagen aan zijn verzoek </w:t>
      </w:r>
      <w:r>
        <w:rPr>
          <w:color w:val="000000" w:themeColor="text1"/>
        </w:rPr>
        <w:t xml:space="preserve">tot </w:t>
      </w:r>
      <w:r w:rsidRPr="7B3B2F30">
        <w:rPr>
          <w:color w:val="000000" w:themeColor="text1"/>
        </w:rPr>
        <w:t>deelname.</w:t>
      </w:r>
      <w:r w:rsidRPr="13C7ED9A">
        <w:rPr>
          <w:color w:val="000000" w:themeColor="text1"/>
        </w:rPr>
        <w:t xml:space="preserve"> Deze termijn start op de sluitingsdatum voor het indienen ervan. Komt er een kort geding? Dan is de termijn automatisch verlengd tot 14 kalenderdagen na de uitspraak van de rechter. In andere gevallen mag de inkopende organisatie vragen om de termijn te verlengen.</w:t>
      </w:r>
    </w:p>
    <w:p w14:paraId="22B33606" w14:textId="77777777" w:rsidR="005C5E17" w:rsidRDefault="005C5E17">
      <w:pPr>
        <w:spacing w:after="0" w:line="240" w:lineRule="auto"/>
        <w:rPr>
          <w:color w:val="000000" w:themeColor="text1"/>
        </w:rPr>
      </w:pPr>
      <w:bookmarkStart w:id="204" w:name="_Toc150863993"/>
      <w:bookmarkStart w:id="205" w:name="_Toc163123589"/>
      <w:bookmarkStart w:id="206" w:name="_Toc165276606"/>
      <w:bookmarkStart w:id="207" w:name="_Toc199795980"/>
      <w:bookmarkStart w:id="208" w:name="_Toc227858584"/>
      <w:r>
        <w:rPr>
          <w:bCs/>
          <w:i/>
          <w:color w:val="000000" w:themeColor="text1"/>
        </w:rPr>
        <w:br w:type="page"/>
      </w:r>
    </w:p>
    <w:p w14:paraId="0BB1CCC0" w14:textId="6D7E55EC" w:rsidR="004A6839" w:rsidRPr="00AE2822" w:rsidRDefault="00A00B97" w:rsidP="00954E7F">
      <w:pPr>
        <w:pStyle w:val="Onderkop1"/>
        <w:spacing w:before="0" w:after="0"/>
        <w:contextualSpacing/>
      </w:pPr>
      <w:r>
        <w:lastRenderedPageBreak/>
        <w:t xml:space="preserve">4.8 </w:t>
      </w:r>
      <w:r w:rsidR="004A6839" w:rsidRPr="00AE2822">
        <w:t>Klachten en rechtsgang</w:t>
      </w:r>
      <w:bookmarkEnd w:id="204"/>
      <w:bookmarkEnd w:id="205"/>
      <w:bookmarkEnd w:id="206"/>
      <w:bookmarkEnd w:id="207"/>
      <w:bookmarkEnd w:id="208"/>
    </w:p>
    <w:p w14:paraId="3F089680" w14:textId="77777777" w:rsidR="004A6839" w:rsidRPr="00AE2822" w:rsidRDefault="004A6839" w:rsidP="00954E7F">
      <w:pPr>
        <w:spacing w:after="0"/>
        <w:contextualSpacing/>
        <w:rPr>
          <w:color w:val="000000" w:themeColor="text1"/>
        </w:rPr>
      </w:pPr>
    </w:p>
    <w:p w14:paraId="4782818B" w14:textId="263D3891" w:rsidR="004A6839" w:rsidRPr="00044FC6" w:rsidRDefault="00A00B97" w:rsidP="00954E7F">
      <w:pPr>
        <w:pStyle w:val="Onderkop2"/>
        <w:spacing w:before="0" w:after="0"/>
        <w:contextualSpacing/>
        <w:rPr>
          <w:sz w:val="26"/>
          <w:szCs w:val="26"/>
        </w:rPr>
      </w:pPr>
      <w:bookmarkStart w:id="209" w:name="_Toc150863994"/>
      <w:bookmarkStart w:id="210" w:name="_Toc163123590"/>
      <w:bookmarkStart w:id="211" w:name="_Toc165276607"/>
      <w:bookmarkStart w:id="212" w:name="_Toc199795981"/>
      <w:bookmarkStart w:id="213" w:name="_Toc227858585"/>
      <w:r w:rsidRPr="00044FC6">
        <w:rPr>
          <w:sz w:val="26"/>
          <w:szCs w:val="26"/>
        </w:rPr>
        <w:t xml:space="preserve">4.8.1 </w:t>
      </w:r>
      <w:r w:rsidR="004A6839" w:rsidRPr="00044FC6">
        <w:rPr>
          <w:sz w:val="26"/>
          <w:szCs w:val="26"/>
        </w:rPr>
        <w:t>Klachten</w:t>
      </w:r>
      <w:bookmarkEnd w:id="209"/>
      <w:bookmarkEnd w:id="210"/>
      <w:bookmarkEnd w:id="211"/>
      <w:bookmarkEnd w:id="212"/>
      <w:bookmarkEnd w:id="213"/>
    </w:p>
    <w:p w14:paraId="7F2A2596" w14:textId="77777777" w:rsidR="00044FC6" w:rsidRDefault="00044FC6" w:rsidP="00954E7F">
      <w:pPr>
        <w:spacing w:after="0"/>
        <w:ind w:left="709"/>
        <w:contextualSpacing/>
        <w:rPr>
          <w:color w:val="000000" w:themeColor="text1"/>
        </w:rPr>
      </w:pPr>
    </w:p>
    <w:p w14:paraId="74B0918D" w14:textId="646B3055" w:rsidR="004A6839" w:rsidRPr="00753C0D" w:rsidRDefault="004A6839" w:rsidP="00954E7F">
      <w:pPr>
        <w:spacing w:after="0"/>
        <w:ind w:left="709"/>
        <w:contextualSpacing/>
        <w:rPr>
          <w:color w:val="000000" w:themeColor="text1"/>
        </w:rPr>
      </w:pPr>
      <w:r w:rsidRPr="22D49323">
        <w:rPr>
          <w:color w:val="000000" w:themeColor="text1"/>
        </w:rPr>
        <w:t>De Opdrachtgever heeft geen intern klachtenmeldpunt/ -procedure ten aanzien van deze inkoopprocedure. Klachten kunnen worden ingediend bij de Geschillencommissie Sociaal Domein. Hiervoor verwijst de inkopende organisatie naar hun regeling. Het indienen van een klacht zet de toelatingsprocedure niet stil, tenzij de gemeente anders beslist.</w:t>
      </w:r>
    </w:p>
    <w:p w14:paraId="34CCC92E" w14:textId="77777777" w:rsidR="004A6839" w:rsidRDefault="004A6839" w:rsidP="00954E7F">
      <w:pPr>
        <w:spacing w:after="0"/>
        <w:ind w:left="708"/>
        <w:contextualSpacing/>
        <w:rPr>
          <w:b/>
          <w:bCs/>
        </w:rPr>
      </w:pPr>
    </w:p>
    <w:p w14:paraId="2F4EC666" w14:textId="77777777" w:rsidR="004A6839" w:rsidRPr="00B80C36" w:rsidRDefault="004A6839" w:rsidP="00954E7F">
      <w:pPr>
        <w:spacing w:after="0"/>
        <w:ind w:left="708"/>
        <w:contextualSpacing/>
        <w:rPr>
          <w:i/>
          <w:iCs/>
        </w:rPr>
      </w:pPr>
      <w:r w:rsidRPr="00B80C36">
        <w:rPr>
          <w:i/>
          <w:iCs/>
        </w:rPr>
        <w:t>Geschillencommissie Sociaal Domein</w:t>
      </w:r>
    </w:p>
    <w:p w14:paraId="7C1E04FA" w14:textId="77777777" w:rsidR="004A6839" w:rsidRPr="00B80C36" w:rsidRDefault="004A6839" w:rsidP="00954E7F">
      <w:pPr>
        <w:spacing w:after="0"/>
        <w:ind w:left="708"/>
        <w:contextualSpacing/>
      </w:pPr>
      <w:r>
        <w:t>Een Potentiële Opdrachtnemer mag zijn klacht voorleggen aan de Geschillencommissie Sociaal Domein (</w:t>
      </w:r>
      <w:hyperlink r:id="rId19">
        <w:r w:rsidRPr="3A600064">
          <w:rPr>
            <w:rStyle w:val="Hyperlink"/>
          </w:rPr>
          <w:t>https://www.degeschillencommissiezorg.nl/over-ons/zorgcommissies/sociaal-domein-inkoop-jeugdwet-en-wmo/</w:t>
        </w:r>
      </w:hyperlink>
      <w:r>
        <w:t>), als:</w:t>
      </w:r>
    </w:p>
    <w:p w14:paraId="26B1E76E" w14:textId="77777777" w:rsidR="004A6839" w:rsidRPr="00B80C36" w:rsidRDefault="004A6839" w:rsidP="00954E7F">
      <w:pPr>
        <w:numPr>
          <w:ilvl w:val="0"/>
          <w:numId w:val="11"/>
        </w:numPr>
        <w:spacing w:after="0"/>
        <w:contextualSpacing/>
      </w:pPr>
      <w:r w:rsidRPr="00B80C36">
        <w:t>de klacht gaat over dit inkoopdocument of de procedure;</w:t>
      </w:r>
    </w:p>
    <w:p w14:paraId="12081D23" w14:textId="77777777" w:rsidR="004A6839" w:rsidRPr="00B80C36" w:rsidRDefault="004A6839" w:rsidP="00954E7F">
      <w:pPr>
        <w:numPr>
          <w:ilvl w:val="0"/>
          <w:numId w:val="11"/>
        </w:numPr>
        <w:spacing w:after="0"/>
        <w:contextualSpacing/>
      </w:pPr>
      <w:r w:rsidRPr="00B80C36">
        <w:t>de klacht (deels) niet ontvankelijk of ongegrond is verklaard;</w:t>
      </w:r>
    </w:p>
    <w:p w14:paraId="5C5287B4" w14:textId="77777777" w:rsidR="004A6839" w:rsidRPr="00B80C36" w:rsidRDefault="004A6839" w:rsidP="00954E7F">
      <w:pPr>
        <w:numPr>
          <w:ilvl w:val="0"/>
          <w:numId w:val="11"/>
        </w:numPr>
        <w:spacing w:after="0"/>
        <w:contextualSpacing/>
      </w:pPr>
      <w:r w:rsidRPr="00B80C36">
        <w:t>een minnelijke oplossing niet is gelukt;</w:t>
      </w:r>
    </w:p>
    <w:p w14:paraId="652CE2E0" w14:textId="77777777" w:rsidR="004A6839" w:rsidRPr="00B80C36" w:rsidRDefault="004A6839" w:rsidP="00954E7F">
      <w:pPr>
        <w:numPr>
          <w:ilvl w:val="0"/>
          <w:numId w:val="11"/>
        </w:numPr>
        <w:spacing w:after="0"/>
        <w:contextualSpacing/>
      </w:pPr>
      <w:r w:rsidRPr="00B80C36">
        <w:t>beide partijen instemmen met de geschillencommissie;</w:t>
      </w:r>
    </w:p>
    <w:p w14:paraId="06088717" w14:textId="77777777" w:rsidR="004A6839" w:rsidRPr="00B80C36" w:rsidRDefault="004A6839" w:rsidP="00954E7F">
      <w:pPr>
        <w:numPr>
          <w:ilvl w:val="0"/>
          <w:numId w:val="11"/>
        </w:numPr>
        <w:spacing w:after="0"/>
        <w:contextualSpacing/>
      </w:pPr>
      <w:r w:rsidRPr="00B80C36">
        <w:t>de inkopende organisatie de procedure opschort tot de uitspraak;</w:t>
      </w:r>
    </w:p>
    <w:p w14:paraId="10333D6C" w14:textId="77777777" w:rsidR="004A6839" w:rsidRPr="00B80C36" w:rsidRDefault="004A6839" w:rsidP="00954E7F">
      <w:pPr>
        <w:numPr>
          <w:ilvl w:val="0"/>
          <w:numId w:val="11"/>
        </w:numPr>
        <w:spacing w:after="0"/>
        <w:contextualSpacing/>
      </w:pPr>
      <w:r w:rsidRPr="00B80C36">
        <w:t>beide partijen zich houden aan het bindend advies van de commissie.</w:t>
      </w:r>
    </w:p>
    <w:p w14:paraId="18C81754" w14:textId="77777777" w:rsidR="004A6839" w:rsidRDefault="004A6839" w:rsidP="00954E7F">
      <w:pPr>
        <w:spacing w:after="0"/>
        <w:ind w:left="708"/>
        <w:contextualSpacing/>
        <w:rPr>
          <w:b/>
          <w:bCs/>
        </w:rPr>
      </w:pPr>
    </w:p>
    <w:p w14:paraId="4F33A2BE" w14:textId="77777777" w:rsidR="004A6839" w:rsidRPr="00B80C36" w:rsidRDefault="004A6839" w:rsidP="00954E7F">
      <w:pPr>
        <w:spacing w:after="0"/>
        <w:ind w:left="708"/>
        <w:contextualSpacing/>
      </w:pPr>
      <w:r>
        <w:t>De P</w:t>
      </w:r>
      <w:r w:rsidRPr="00B80C36">
        <w:t xml:space="preserve">otentiële </w:t>
      </w:r>
      <w:r>
        <w:t>O</w:t>
      </w:r>
      <w:r w:rsidRPr="00B80C36">
        <w:t xml:space="preserve">pdrachtnemer </w:t>
      </w:r>
      <w:r>
        <w:t xml:space="preserve">mag </w:t>
      </w:r>
      <w:r w:rsidRPr="00B80C36">
        <w:t xml:space="preserve">zijn klacht </w:t>
      </w:r>
      <w:r>
        <w:t xml:space="preserve">ook altijd </w:t>
      </w:r>
      <w:r w:rsidRPr="00B80C36">
        <w:t>voorleggen aan:</w:t>
      </w:r>
    </w:p>
    <w:p w14:paraId="0AF739D4" w14:textId="77777777" w:rsidR="004A6839" w:rsidRPr="00573D0A" w:rsidRDefault="004A6839" w:rsidP="00954E7F">
      <w:pPr>
        <w:numPr>
          <w:ilvl w:val="0"/>
          <w:numId w:val="12"/>
        </w:numPr>
        <w:spacing w:after="0"/>
        <w:contextualSpacing/>
      </w:pPr>
      <w:r>
        <w:t xml:space="preserve">de bevoegde rechter. </w:t>
      </w:r>
    </w:p>
    <w:p w14:paraId="49723595" w14:textId="77777777" w:rsidR="004A6839" w:rsidRPr="00573D0A" w:rsidRDefault="004A6839" w:rsidP="00954E7F">
      <w:pPr>
        <w:spacing w:after="0"/>
        <w:contextualSpacing/>
        <w:rPr>
          <w:color w:val="FF0000"/>
        </w:rPr>
      </w:pPr>
    </w:p>
    <w:p w14:paraId="3D7E7E7B" w14:textId="12A20870" w:rsidR="004A6839" w:rsidRPr="0013681F" w:rsidRDefault="00E410AB" w:rsidP="00954E7F">
      <w:pPr>
        <w:pStyle w:val="Onderkop2"/>
        <w:spacing w:before="0" w:after="0"/>
        <w:contextualSpacing/>
        <w:rPr>
          <w:sz w:val="26"/>
          <w:szCs w:val="26"/>
        </w:rPr>
      </w:pPr>
      <w:bookmarkStart w:id="214" w:name="_Rechtsgang"/>
      <w:bookmarkStart w:id="215" w:name="_Toc150863995"/>
      <w:bookmarkStart w:id="216" w:name="_Toc163123591"/>
      <w:bookmarkStart w:id="217" w:name="_Toc165276608"/>
      <w:bookmarkStart w:id="218" w:name="_Toc199795982"/>
      <w:bookmarkStart w:id="219" w:name="_Toc227858586"/>
      <w:bookmarkEnd w:id="214"/>
      <w:r w:rsidRPr="0013681F">
        <w:rPr>
          <w:sz w:val="26"/>
          <w:szCs w:val="26"/>
        </w:rPr>
        <w:t xml:space="preserve">4.8.2 </w:t>
      </w:r>
      <w:r w:rsidR="004A6839" w:rsidRPr="0013681F">
        <w:rPr>
          <w:sz w:val="26"/>
          <w:szCs w:val="26"/>
        </w:rPr>
        <w:t>Rechtsgang</w:t>
      </w:r>
      <w:bookmarkEnd w:id="215"/>
      <w:bookmarkEnd w:id="216"/>
      <w:bookmarkEnd w:id="217"/>
      <w:bookmarkEnd w:id="218"/>
      <w:bookmarkEnd w:id="219"/>
    </w:p>
    <w:p w14:paraId="3B634629" w14:textId="77777777" w:rsidR="0013681F" w:rsidRDefault="0013681F" w:rsidP="00954E7F">
      <w:pPr>
        <w:spacing w:after="0"/>
        <w:ind w:left="708"/>
        <w:contextualSpacing/>
      </w:pPr>
    </w:p>
    <w:p w14:paraId="365562EF" w14:textId="77777777" w:rsidR="0013681F" w:rsidRDefault="004A6839" w:rsidP="00954E7F">
      <w:pPr>
        <w:spacing w:after="0"/>
        <w:ind w:left="708"/>
        <w:contextualSpacing/>
      </w:pPr>
      <w:r>
        <w:t>Een voorlopige Toelatingsbeslissing is nog geen aanvaarding van een aanbod.</w:t>
      </w:r>
    </w:p>
    <w:p w14:paraId="2A40D48D" w14:textId="6BFBCF87" w:rsidR="004A6839" w:rsidRPr="00730D89" w:rsidRDefault="004A6839" w:rsidP="00954E7F">
      <w:pPr>
        <w:spacing w:after="0"/>
        <w:ind w:left="708"/>
        <w:contextualSpacing/>
      </w:pPr>
      <w:r>
        <w:t>De inkopende organisatie stuurt de mededeling van Toelating via het aanbestedingsplatform.</w:t>
      </w:r>
    </w:p>
    <w:p w14:paraId="33F4BE70" w14:textId="77777777" w:rsidR="004A6839" w:rsidRPr="00730D89" w:rsidRDefault="004A6839" w:rsidP="00954E7F">
      <w:pPr>
        <w:spacing w:after="0"/>
        <w:ind w:left="708"/>
        <w:contextualSpacing/>
      </w:pPr>
      <w:r>
        <w:t>Is een Potentiële Opdrachtnemer het niet eens met een afwijzing? Dan kan hij een kort geding starten. Dat moet binnen 10 kalenderdagen na de bekendmaking van de Toelatingsbeslissing. Na die termijn vervalt het recht op bezwaar en schadevergoeding.</w:t>
      </w:r>
    </w:p>
    <w:p w14:paraId="17859E8C" w14:textId="77777777" w:rsidR="004A6839" w:rsidRPr="00730D89" w:rsidRDefault="004A6839" w:rsidP="00954E7F">
      <w:pPr>
        <w:spacing w:after="0"/>
        <w:ind w:left="708"/>
        <w:contextualSpacing/>
      </w:pPr>
      <w:r>
        <w:t>De bevoegde rechter is de rechtbank te 's-Hertogenbosch.</w:t>
      </w:r>
    </w:p>
    <w:p w14:paraId="76992ED3" w14:textId="77777777" w:rsidR="004A6839" w:rsidRPr="001F3281" w:rsidRDefault="004A6839" w:rsidP="00954E7F">
      <w:pPr>
        <w:spacing w:after="0"/>
        <w:ind w:left="708"/>
        <w:contextualSpacing/>
      </w:pPr>
      <w:r>
        <w:t>Het starten van een kortgedingprocedure door een Potentiële Opdrachtnemer schort de beslissing tot gunning aan andere Potentiële Opdrachtnemers niet op, tenzij de Opdrachtgever daarvoor kiest.</w:t>
      </w:r>
    </w:p>
    <w:p w14:paraId="2D665ED9" w14:textId="41D5F0FB" w:rsidR="00BA4FCB" w:rsidRPr="00B45CE8" w:rsidRDefault="004A6839" w:rsidP="00954E7F">
      <w:pPr>
        <w:spacing w:after="0"/>
        <w:ind w:left="709"/>
        <w:contextualSpacing/>
        <w:rPr>
          <w:rFonts w:ascii="Calibri" w:hAnsi="Calibri" w:cs="Calibri"/>
        </w:rPr>
      </w:pPr>
      <w:r w:rsidRPr="001F3281">
        <w:t xml:space="preserve">De </w:t>
      </w:r>
      <w:r>
        <w:t>Opdrachtgever</w:t>
      </w:r>
      <w:r w:rsidRPr="001F3281">
        <w:t xml:space="preserve"> is echter tot niets gebonden, zolang er geen schriftelijke overeenkomst tot stand is gekomen en ondertekend door de </w:t>
      </w:r>
      <w:r>
        <w:t>Opdrachtgever</w:t>
      </w:r>
      <w:r w:rsidRPr="001F3281">
        <w:t xml:space="preserve"> en de </w:t>
      </w:r>
      <w:r>
        <w:t>P</w:t>
      </w:r>
      <w:r w:rsidRPr="001F3281">
        <w:t xml:space="preserve">otentiële </w:t>
      </w:r>
      <w:r>
        <w:t>Opdrachtnemer</w:t>
      </w:r>
      <w:r w:rsidRPr="001F3281">
        <w:t>.</w:t>
      </w:r>
    </w:p>
    <w:sectPr w:rsidR="00BA4FCB" w:rsidRPr="00B45CE8" w:rsidSect="00C92248">
      <w:headerReference w:type="default" r:id="rId20"/>
      <w:footerReference w:type="default" r:id="rId21"/>
      <w:pgSz w:w="11906" w:h="16838"/>
      <w:pgMar w:top="1440"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CB931" w14:textId="77777777" w:rsidR="006F26FB" w:rsidRDefault="006F26FB" w:rsidP="00292291">
      <w:pPr>
        <w:spacing w:after="0" w:line="240" w:lineRule="auto"/>
      </w:pPr>
      <w:r>
        <w:separator/>
      </w:r>
    </w:p>
  </w:endnote>
  <w:endnote w:type="continuationSeparator" w:id="0">
    <w:p w14:paraId="18FBB798" w14:textId="77777777" w:rsidR="006F26FB" w:rsidRDefault="006F26FB" w:rsidP="00292291">
      <w:pPr>
        <w:spacing w:after="0" w:line="240" w:lineRule="auto"/>
      </w:pPr>
      <w:r>
        <w:continuationSeparator/>
      </w:r>
    </w:p>
  </w:endnote>
  <w:endnote w:type="continuationNotice" w:id="1">
    <w:p w14:paraId="38E453D4" w14:textId="77777777" w:rsidR="006F26FB" w:rsidRDefault="006F26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45771988"/>
      <w:docPartObj>
        <w:docPartGallery w:val="Page Numbers (Bottom of Page)"/>
        <w:docPartUnique/>
      </w:docPartObj>
    </w:sdtPr>
    <w:sdtContent>
      <w:p w14:paraId="46D411B9" w14:textId="77777777" w:rsidR="004A6839" w:rsidRDefault="004A6839">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0B8D04E" w14:textId="77777777" w:rsidR="004A6839" w:rsidRDefault="004A68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9D41" w14:textId="5B522F1C" w:rsidR="001F1D89" w:rsidRPr="00F268A7" w:rsidRDefault="001F1D89" w:rsidP="001F1D89">
    <w:pPr>
      <w:pStyle w:val="Voettekst"/>
      <w:jc w:val="center"/>
      <w:rPr>
        <w:rFonts w:ascii="Calibri" w:hAnsi="Calibri" w:cs="Calibri"/>
        <w:color w:val="264162"/>
      </w:rPr>
    </w:pPr>
    <w:r>
      <w:rPr>
        <w:rFonts w:ascii="Calibri" w:hAnsi="Calibri" w:cs="Calibri"/>
        <w:b/>
        <w:bCs/>
        <w:noProof/>
        <w:color w:val="E56C0C"/>
      </w:rPr>
      <w:drawing>
        <wp:anchor distT="0" distB="0" distL="114300" distR="114300" simplePos="0" relativeHeight="251658243" behindDoc="0" locked="0" layoutInCell="1" allowOverlap="1" wp14:anchorId="2EF9CC49" wp14:editId="401EE828">
          <wp:simplePos x="0" y="0"/>
          <wp:positionH relativeFrom="column">
            <wp:posOffset>-1200150</wp:posOffset>
          </wp:positionH>
          <wp:positionV relativeFrom="paragraph">
            <wp:posOffset>488950</wp:posOffset>
          </wp:positionV>
          <wp:extent cx="7925435" cy="121920"/>
          <wp:effectExtent l="0" t="0" r="0" b="0"/>
          <wp:wrapNone/>
          <wp:docPr id="193988635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35" cy="121920"/>
                  </a:xfrm>
                  <a:prstGeom prst="rect">
                    <a:avLst/>
                  </a:prstGeom>
                  <a:noFill/>
                </pic:spPr>
              </pic:pic>
            </a:graphicData>
          </a:graphic>
        </wp:anchor>
      </w:drawing>
    </w:r>
    <w:r w:rsidRPr="001F1D89">
      <w:rPr>
        <w:rFonts w:ascii="Calibri" w:hAnsi="Calibri" w:cs="Calibri"/>
        <w:b/>
        <w:bCs/>
        <w:color w:val="E56C0C"/>
      </w:rPr>
      <w:t>Inkoopdocument Toelatingsprocedure</w:t>
    </w:r>
    <w:r>
      <w:rPr>
        <w:rFonts w:ascii="Calibri" w:hAnsi="Calibri" w:cs="Calibri"/>
        <w:b/>
        <w:bCs/>
        <w:color w:val="E56C0C"/>
      </w:rPr>
      <w:t xml:space="preserve"> </w:t>
    </w:r>
    <w:r>
      <w:rPr>
        <w:rFonts w:ascii="Calibri" w:hAnsi="Calibri" w:cs="Calibri"/>
        <w:color w:val="264162"/>
      </w:rPr>
      <w:t xml:space="preserve">Safehouse 2026 | </w:t>
    </w:r>
    <w:r w:rsidRPr="00F8163C">
      <w:rPr>
        <w:rFonts w:ascii="Calibri" w:hAnsi="Calibri" w:cs="Calibri"/>
        <w:color w:val="264162"/>
      </w:rPr>
      <w:t xml:space="preserve">Pagina </w:t>
    </w:r>
    <w:r w:rsidRPr="00F8163C">
      <w:rPr>
        <w:rFonts w:ascii="Calibri" w:hAnsi="Calibri" w:cs="Calibri"/>
        <w:b/>
        <w:bCs/>
        <w:color w:val="264162"/>
      </w:rPr>
      <w:fldChar w:fldCharType="begin"/>
    </w:r>
    <w:r w:rsidRPr="00F8163C">
      <w:rPr>
        <w:rFonts w:ascii="Calibri" w:hAnsi="Calibri" w:cs="Calibri"/>
        <w:b/>
        <w:bCs/>
        <w:color w:val="264162"/>
      </w:rPr>
      <w:instrText>PAGE  \* Arabic  \* MERGEFORMAT</w:instrText>
    </w:r>
    <w:r w:rsidRPr="00F8163C">
      <w:rPr>
        <w:rFonts w:ascii="Calibri" w:hAnsi="Calibri" w:cs="Calibri"/>
        <w:b/>
        <w:bCs/>
        <w:color w:val="264162"/>
      </w:rPr>
      <w:fldChar w:fldCharType="separate"/>
    </w:r>
    <w:r>
      <w:rPr>
        <w:rFonts w:ascii="Calibri" w:hAnsi="Calibri" w:cs="Calibri"/>
        <w:b/>
        <w:bCs/>
        <w:color w:val="264162"/>
      </w:rPr>
      <w:t>1</w:t>
    </w:r>
    <w:r w:rsidRPr="00F8163C">
      <w:rPr>
        <w:rFonts w:ascii="Calibri" w:hAnsi="Calibri" w:cs="Calibri"/>
        <w:b/>
        <w:bCs/>
        <w:color w:val="264162"/>
      </w:rPr>
      <w:fldChar w:fldCharType="end"/>
    </w:r>
    <w:r w:rsidRPr="00F8163C">
      <w:rPr>
        <w:rFonts w:ascii="Calibri" w:hAnsi="Calibri" w:cs="Calibri"/>
        <w:color w:val="264162"/>
      </w:rPr>
      <w:t xml:space="preserve"> van </w:t>
    </w:r>
    <w:r w:rsidRPr="00F8163C">
      <w:rPr>
        <w:rFonts w:ascii="Calibri" w:hAnsi="Calibri" w:cs="Calibri"/>
        <w:b/>
        <w:bCs/>
        <w:color w:val="264162"/>
      </w:rPr>
      <w:fldChar w:fldCharType="begin"/>
    </w:r>
    <w:r w:rsidRPr="00F8163C">
      <w:rPr>
        <w:rFonts w:ascii="Calibri" w:hAnsi="Calibri" w:cs="Calibri"/>
        <w:b/>
        <w:bCs/>
        <w:color w:val="264162"/>
      </w:rPr>
      <w:instrText>NUMPAGES  \* Arabic  \* MERGEFORMAT</w:instrText>
    </w:r>
    <w:r w:rsidRPr="00F8163C">
      <w:rPr>
        <w:rFonts w:ascii="Calibri" w:hAnsi="Calibri" w:cs="Calibri"/>
        <w:b/>
        <w:bCs/>
        <w:color w:val="264162"/>
      </w:rPr>
      <w:fldChar w:fldCharType="separate"/>
    </w:r>
    <w:r>
      <w:rPr>
        <w:rFonts w:ascii="Calibri" w:hAnsi="Calibri" w:cs="Calibri"/>
        <w:b/>
        <w:bCs/>
        <w:color w:val="264162"/>
      </w:rPr>
      <w:t>3</w:t>
    </w:r>
    <w:r w:rsidRPr="00F8163C">
      <w:rPr>
        <w:rFonts w:ascii="Calibri" w:hAnsi="Calibri" w:cs="Calibri"/>
        <w:b/>
        <w:bCs/>
        <w:color w:val="264162"/>
      </w:rPr>
      <w:fldChar w:fldCharType="end"/>
    </w:r>
  </w:p>
  <w:p w14:paraId="656657D5" w14:textId="77777777" w:rsidR="004A6839" w:rsidRDefault="004A68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4455" w14:textId="422060FA" w:rsidR="001F14A6" w:rsidRPr="00F268A7" w:rsidRDefault="00C92248" w:rsidP="00F268A7">
    <w:pPr>
      <w:pStyle w:val="Voettekst"/>
      <w:jc w:val="center"/>
      <w:rPr>
        <w:rFonts w:ascii="Calibri" w:hAnsi="Calibri" w:cs="Calibri"/>
        <w:color w:val="264162"/>
      </w:rPr>
    </w:pPr>
    <w:r>
      <w:rPr>
        <w:rFonts w:ascii="Calibri" w:hAnsi="Calibri" w:cs="Calibri"/>
        <w:b/>
        <w:bCs/>
        <w:noProof/>
        <w:color w:val="E56C0C"/>
      </w:rPr>
      <w:drawing>
        <wp:anchor distT="0" distB="0" distL="114300" distR="114300" simplePos="0" relativeHeight="251658242" behindDoc="0" locked="0" layoutInCell="1" allowOverlap="1" wp14:anchorId="7BD56443" wp14:editId="2A413189">
          <wp:simplePos x="0" y="0"/>
          <wp:positionH relativeFrom="column">
            <wp:posOffset>-1200150</wp:posOffset>
          </wp:positionH>
          <wp:positionV relativeFrom="paragraph">
            <wp:posOffset>488950</wp:posOffset>
          </wp:positionV>
          <wp:extent cx="7925435" cy="121920"/>
          <wp:effectExtent l="0" t="0" r="0" b="0"/>
          <wp:wrapNone/>
          <wp:docPr id="89787441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35" cy="121920"/>
                  </a:xfrm>
                  <a:prstGeom prst="rect">
                    <a:avLst/>
                  </a:prstGeom>
                  <a:noFill/>
                </pic:spPr>
              </pic:pic>
            </a:graphicData>
          </a:graphic>
        </wp:anchor>
      </w:drawing>
    </w:r>
    <w:r w:rsidR="00A01217" w:rsidRPr="00A01217">
      <w:rPr>
        <w:rFonts w:ascii="Calibri" w:hAnsi="Calibri" w:cs="Calibri"/>
        <w:b/>
        <w:bCs/>
        <w:color w:val="E56C0C"/>
      </w:rPr>
      <w:t xml:space="preserve">Inkoopdocument Toelatingsprocedure </w:t>
    </w:r>
    <w:r w:rsidR="000E73C6">
      <w:rPr>
        <w:rFonts w:ascii="Calibri" w:hAnsi="Calibri" w:cs="Calibri"/>
        <w:color w:val="264162"/>
      </w:rPr>
      <w:t>Safe</w:t>
    </w:r>
    <w:r w:rsidR="001847CD">
      <w:rPr>
        <w:rFonts w:ascii="Calibri" w:hAnsi="Calibri" w:cs="Calibri"/>
        <w:color w:val="264162"/>
      </w:rPr>
      <w:t>house 20</w:t>
    </w:r>
    <w:r w:rsidR="00F268A7">
      <w:rPr>
        <w:rFonts w:ascii="Calibri" w:hAnsi="Calibri" w:cs="Calibri"/>
        <w:color w:val="264162"/>
      </w:rPr>
      <w:t xml:space="preserve">26 | </w:t>
    </w:r>
    <w:r w:rsidR="00F268A7" w:rsidRPr="00F8163C">
      <w:rPr>
        <w:rFonts w:ascii="Calibri" w:hAnsi="Calibri" w:cs="Calibri"/>
        <w:color w:val="264162"/>
      </w:rPr>
      <w:t xml:space="preserve">Pagina </w:t>
    </w:r>
    <w:r w:rsidR="00F268A7" w:rsidRPr="00F8163C">
      <w:rPr>
        <w:rFonts w:ascii="Calibri" w:hAnsi="Calibri" w:cs="Calibri"/>
        <w:b/>
        <w:bCs/>
        <w:color w:val="264162"/>
      </w:rPr>
      <w:fldChar w:fldCharType="begin"/>
    </w:r>
    <w:r w:rsidR="00F268A7" w:rsidRPr="00F8163C">
      <w:rPr>
        <w:rFonts w:ascii="Calibri" w:hAnsi="Calibri" w:cs="Calibri"/>
        <w:b/>
        <w:bCs/>
        <w:color w:val="264162"/>
      </w:rPr>
      <w:instrText>PAGE  \* Arabic  \* MERGEFORMAT</w:instrText>
    </w:r>
    <w:r w:rsidR="00F268A7" w:rsidRPr="00F8163C">
      <w:rPr>
        <w:rFonts w:ascii="Calibri" w:hAnsi="Calibri" w:cs="Calibri"/>
        <w:b/>
        <w:bCs/>
        <w:color w:val="264162"/>
      </w:rPr>
      <w:fldChar w:fldCharType="separate"/>
    </w:r>
    <w:r w:rsidR="00F268A7">
      <w:rPr>
        <w:rFonts w:ascii="Calibri" w:hAnsi="Calibri" w:cs="Calibri"/>
        <w:b/>
        <w:bCs/>
        <w:color w:val="264162"/>
      </w:rPr>
      <w:t>40</w:t>
    </w:r>
    <w:r w:rsidR="00F268A7" w:rsidRPr="00F8163C">
      <w:rPr>
        <w:rFonts w:ascii="Calibri" w:hAnsi="Calibri" w:cs="Calibri"/>
        <w:b/>
        <w:bCs/>
        <w:color w:val="264162"/>
      </w:rPr>
      <w:fldChar w:fldCharType="end"/>
    </w:r>
    <w:r w:rsidR="00F268A7" w:rsidRPr="00F8163C">
      <w:rPr>
        <w:rFonts w:ascii="Calibri" w:hAnsi="Calibri" w:cs="Calibri"/>
        <w:color w:val="264162"/>
      </w:rPr>
      <w:t xml:space="preserve"> van </w:t>
    </w:r>
    <w:r w:rsidR="00F268A7" w:rsidRPr="00F8163C">
      <w:rPr>
        <w:rFonts w:ascii="Calibri" w:hAnsi="Calibri" w:cs="Calibri"/>
        <w:b/>
        <w:bCs/>
        <w:color w:val="264162"/>
      </w:rPr>
      <w:fldChar w:fldCharType="begin"/>
    </w:r>
    <w:r w:rsidR="00F268A7" w:rsidRPr="00F8163C">
      <w:rPr>
        <w:rFonts w:ascii="Calibri" w:hAnsi="Calibri" w:cs="Calibri"/>
        <w:b/>
        <w:bCs/>
        <w:color w:val="264162"/>
      </w:rPr>
      <w:instrText>NUMPAGES  \* Arabic  \* MERGEFORMAT</w:instrText>
    </w:r>
    <w:r w:rsidR="00F268A7" w:rsidRPr="00F8163C">
      <w:rPr>
        <w:rFonts w:ascii="Calibri" w:hAnsi="Calibri" w:cs="Calibri"/>
        <w:b/>
        <w:bCs/>
        <w:color w:val="264162"/>
      </w:rPr>
      <w:fldChar w:fldCharType="separate"/>
    </w:r>
    <w:r w:rsidR="00F268A7">
      <w:rPr>
        <w:rFonts w:ascii="Calibri" w:hAnsi="Calibri" w:cs="Calibri"/>
        <w:b/>
        <w:bCs/>
        <w:color w:val="264162"/>
      </w:rPr>
      <w:t>61</w:t>
    </w:r>
    <w:r w:rsidR="00F268A7" w:rsidRPr="00F8163C">
      <w:rPr>
        <w:rFonts w:ascii="Calibri" w:hAnsi="Calibri" w:cs="Calibri"/>
        <w:b/>
        <w:bCs/>
        <w:color w:val="26416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97146" w14:textId="77777777" w:rsidR="006F26FB" w:rsidRDefault="006F26FB" w:rsidP="00292291">
      <w:pPr>
        <w:spacing w:after="0" w:line="240" w:lineRule="auto"/>
      </w:pPr>
      <w:r>
        <w:separator/>
      </w:r>
    </w:p>
  </w:footnote>
  <w:footnote w:type="continuationSeparator" w:id="0">
    <w:p w14:paraId="1797A0E5" w14:textId="77777777" w:rsidR="006F26FB" w:rsidRDefault="006F26FB" w:rsidP="00292291">
      <w:pPr>
        <w:spacing w:after="0" w:line="240" w:lineRule="auto"/>
      </w:pPr>
      <w:r>
        <w:continuationSeparator/>
      </w:r>
    </w:p>
  </w:footnote>
  <w:footnote w:type="continuationNotice" w:id="1">
    <w:p w14:paraId="5071FE17" w14:textId="77777777" w:rsidR="006F26FB" w:rsidRDefault="006F26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71A9" w14:textId="6A269F02" w:rsidR="00387E03" w:rsidRDefault="00387E03" w:rsidP="00387E03">
    <w:pPr>
      <w:pStyle w:val="Koptekst"/>
      <w:tabs>
        <w:tab w:val="clear" w:pos="9072"/>
      </w:tabs>
    </w:pPr>
    <w:r>
      <w:rPr>
        <w:noProof/>
      </w:rPr>
      <w:drawing>
        <wp:anchor distT="0" distB="0" distL="114300" distR="114300" simplePos="0" relativeHeight="251658244" behindDoc="0" locked="0" layoutInCell="1" allowOverlap="1" wp14:anchorId="31DE5264" wp14:editId="0C4FBD87">
          <wp:simplePos x="0" y="0"/>
          <wp:positionH relativeFrom="column">
            <wp:posOffset>5135671</wp:posOffset>
          </wp:positionH>
          <wp:positionV relativeFrom="paragraph">
            <wp:posOffset>-257418</wp:posOffset>
          </wp:positionV>
          <wp:extent cx="1176655" cy="713105"/>
          <wp:effectExtent l="0" t="0" r="4445" b="0"/>
          <wp:wrapNone/>
          <wp:docPr id="12092569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713105"/>
                  </a:xfrm>
                  <a:prstGeom prst="rect">
                    <a:avLst/>
                  </a:prstGeom>
                  <a:noFill/>
                </pic:spPr>
              </pic:pic>
            </a:graphicData>
          </a:graphic>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6CFC" w14:textId="7A486D68" w:rsidR="00ED6A5F" w:rsidRDefault="00C92248">
    <w:pPr>
      <w:pStyle w:val="Koptekst"/>
    </w:pPr>
    <w:r>
      <w:rPr>
        <w:noProof/>
      </w:rPr>
      <w:drawing>
        <wp:anchor distT="0" distB="0" distL="114300" distR="114300" simplePos="0" relativeHeight="251658241" behindDoc="0" locked="0" layoutInCell="1" allowOverlap="1" wp14:anchorId="3936CE4A" wp14:editId="1963AD6A">
          <wp:simplePos x="0" y="0"/>
          <wp:positionH relativeFrom="column">
            <wp:posOffset>5168900</wp:posOffset>
          </wp:positionH>
          <wp:positionV relativeFrom="paragraph">
            <wp:posOffset>-253365</wp:posOffset>
          </wp:positionV>
          <wp:extent cx="1176655" cy="713105"/>
          <wp:effectExtent l="0" t="0" r="4445" b="0"/>
          <wp:wrapNone/>
          <wp:docPr id="1447995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713105"/>
                  </a:xfrm>
                  <a:prstGeom prst="rect">
                    <a:avLst/>
                  </a:prstGeom>
                  <a:noFill/>
                </pic:spPr>
              </pic:pic>
            </a:graphicData>
          </a:graphic>
        </wp:anchor>
      </w:drawing>
    </w:r>
    <w:r w:rsidR="003272DD">
      <w:rPr>
        <w:noProof/>
      </w:rPr>
      <w:drawing>
        <wp:anchor distT="0" distB="0" distL="114300" distR="114300" simplePos="0" relativeHeight="251658240" behindDoc="0" locked="0" layoutInCell="1" allowOverlap="1" wp14:anchorId="7E382988" wp14:editId="219F20CA">
          <wp:simplePos x="0" y="0"/>
          <wp:positionH relativeFrom="column">
            <wp:posOffset>8448675</wp:posOffset>
          </wp:positionH>
          <wp:positionV relativeFrom="paragraph">
            <wp:posOffset>-248285</wp:posOffset>
          </wp:positionV>
          <wp:extent cx="1174060" cy="714375"/>
          <wp:effectExtent l="0" t="0" r="7620" b="0"/>
          <wp:wrapThrough wrapText="bothSides">
            <wp:wrapPolygon edited="0">
              <wp:start x="0" y="0"/>
              <wp:lineTo x="0" y="20736"/>
              <wp:lineTo x="21390" y="20736"/>
              <wp:lineTo x="21390" y="0"/>
              <wp:lineTo x="0" y="0"/>
            </wp:wrapPolygon>
          </wp:wrapThrough>
          <wp:docPr id="13346949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4060" cy="7143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2D44552"/>
    <w:lvl w:ilvl="0">
      <w:start w:val="1"/>
      <w:numFmt w:val="decimal"/>
      <w:pStyle w:val="Lijstnummering4"/>
      <w:lvlText w:val="%1."/>
      <w:lvlJc w:val="left"/>
      <w:pPr>
        <w:tabs>
          <w:tab w:val="num" w:pos="1134"/>
        </w:tabs>
        <w:ind w:left="1134" w:hanging="283"/>
      </w:pPr>
      <w:rPr>
        <w:rFonts w:hint="default"/>
      </w:rPr>
    </w:lvl>
  </w:abstractNum>
  <w:abstractNum w:abstractNumId="1" w15:restartNumberingAfterBreak="0">
    <w:nsid w:val="06DA07E3"/>
    <w:multiLevelType w:val="multilevel"/>
    <w:tmpl w:val="8286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E0954"/>
    <w:multiLevelType w:val="hybridMultilevel"/>
    <w:tmpl w:val="C9D81390"/>
    <w:lvl w:ilvl="0" w:tplc="C78E163E">
      <w:start w:val="1"/>
      <w:numFmt w:val="bullet"/>
      <w:pStyle w:val="OpsommingN1Bullet"/>
      <w:lvlText w:val=""/>
      <w:lvlJc w:val="left"/>
      <w:pPr>
        <w:tabs>
          <w:tab w:val="num" w:pos="284"/>
        </w:tabs>
        <w:ind w:left="284" w:hanging="284"/>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578C1"/>
    <w:multiLevelType w:val="multilevel"/>
    <w:tmpl w:val="A976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D14CE"/>
    <w:multiLevelType w:val="multilevel"/>
    <w:tmpl w:val="B5A879F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29AC591C"/>
    <w:multiLevelType w:val="multilevel"/>
    <w:tmpl w:val="A112C91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 w15:restartNumberingAfterBreak="0">
    <w:nsid w:val="2ECE5880"/>
    <w:multiLevelType w:val="hybridMultilevel"/>
    <w:tmpl w:val="4AD2A7EC"/>
    <w:lvl w:ilvl="0" w:tplc="832EEE80">
      <w:start w:val="13"/>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39B7A25"/>
    <w:multiLevelType w:val="hybridMultilevel"/>
    <w:tmpl w:val="3CFA9102"/>
    <w:lvl w:ilvl="0" w:tplc="6068ED2A">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4225491A"/>
    <w:multiLevelType w:val="multilevel"/>
    <w:tmpl w:val="42F0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624917"/>
    <w:multiLevelType w:val="multilevel"/>
    <w:tmpl w:val="958C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A0B3C"/>
    <w:multiLevelType w:val="multilevel"/>
    <w:tmpl w:val="56BE216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1" w15:restartNumberingAfterBreak="0">
    <w:nsid w:val="4D3C2D28"/>
    <w:multiLevelType w:val="hybridMultilevel"/>
    <w:tmpl w:val="21C84C3C"/>
    <w:lvl w:ilvl="0" w:tplc="0A2C8A1E">
      <w:start w:val="1"/>
      <w:numFmt w:val="decimal"/>
      <w:pStyle w:val="Hoofdkop"/>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ED334E9"/>
    <w:multiLevelType w:val="multilevel"/>
    <w:tmpl w:val="0A5E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F570C9"/>
    <w:multiLevelType w:val="multilevel"/>
    <w:tmpl w:val="57E6A2D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4" w15:restartNumberingAfterBreak="0">
    <w:nsid w:val="6EFB73C4"/>
    <w:multiLevelType w:val="hybridMultilevel"/>
    <w:tmpl w:val="E5F80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0010917">
    <w:abstractNumId w:val="6"/>
  </w:num>
  <w:num w:numId="2" w16cid:durableId="281695681">
    <w:abstractNumId w:val="0"/>
  </w:num>
  <w:num w:numId="3" w16cid:durableId="1467772308">
    <w:abstractNumId w:val="2"/>
  </w:num>
  <w:num w:numId="4" w16cid:durableId="408112962">
    <w:abstractNumId w:val="7"/>
  </w:num>
  <w:num w:numId="5" w16cid:durableId="1545210134">
    <w:abstractNumId w:val="1"/>
  </w:num>
  <w:num w:numId="6" w16cid:durableId="468715304">
    <w:abstractNumId w:val="8"/>
  </w:num>
  <w:num w:numId="7" w16cid:durableId="240141827">
    <w:abstractNumId w:val="3"/>
  </w:num>
  <w:num w:numId="8" w16cid:durableId="1108895387">
    <w:abstractNumId w:val="9"/>
  </w:num>
  <w:num w:numId="9" w16cid:durableId="1622371232">
    <w:abstractNumId w:val="10"/>
  </w:num>
  <w:num w:numId="10" w16cid:durableId="1483886727">
    <w:abstractNumId w:val="5"/>
  </w:num>
  <w:num w:numId="11" w16cid:durableId="113641013">
    <w:abstractNumId w:val="4"/>
  </w:num>
  <w:num w:numId="12" w16cid:durableId="1251088206">
    <w:abstractNumId w:val="13"/>
  </w:num>
  <w:num w:numId="13" w16cid:durableId="1689060180">
    <w:abstractNumId w:val="14"/>
  </w:num>
  <w:num w:numId="14" w16cid:durableId="1429160416">
    <w:abstractNumId w:val="12"/>
  </w:num>
  <w:num w:numId="15" w16cid:durableId="120409745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833"/>
    <w:rsid w:val="00000791"/>
    <w:rsid w:val="00001F37"/>
    <w:rsid w:val="0000350B"/>
    <w:rsid w:val="00004C18"/>
    <w:rsid w:val="000054FC"/>
    <w:rsid w:val="00006793"/>
    <w:rsid w:val="00007840"/>
    <w:rsid w:val="00012CCD"/>
    <w:rsid w:val="00012D5A"/>
    <w:rsid w:val="0001367B"/>
    <w:rsid w:val="00013B08"/>
    <w:rsid w:val="00013BC1"/>
    <w:rsid w:val="00013CC4"/>
    <w:rsid w:val="00014A74"/>
    <w:rsid w:val="00014CCB"/>
    <w:rsid w:val="00014EF0"/>
    <w:rsid w:val="00017867"/>
    <w:rsid w:val="00020510"/>
    <w:rsid w:val="00021415"/>
    <w:rsid w:val="00021731"/>
    <w:rsid w:val="00025EFD"/>
    <w:rsid w:val="00027B31"/>
    <w:rsid w:val="00027C82"/>
    <w:rsid w:val="00027C8E"/>
    <w:rsid w:val="00030436"/>
    <w:rsid w:val="00030957"/>
    <w:rsid w:val="00031401"/>
    <w:rsid w:val="00032309"/>
    <w:rsid w:val="00033FDC"/>
    <w:rsid w:val="000350FC"/>
    <w:rsid w:val="0003512D"/>
    <w:rsid w:val="00035C1C"/>
    <w:rsid w:val="00036D43"/>
    <w:rsid w:val="00037D17"/>
    <w:rsid w:val="0004036F"/>
    <w:rsid w:val="0004203E"/>
    <w:rsid w:val="000426EB"/>
    <w:rsid w:val="00044FC6"/>
    <w:rsid w:val="00045D58"/>
    <w:rsid w:val="00046489"/>
    <w:rsid w:val="0005035D"/>
    <w:rsid w:val="00050FC2"/>
    <w:rsid w:val="00051937"/>
    <w:rsid w:val="00051C54"/>
    <w:rsid w:val="000530F0"/>
    <w:rsid w:val="00055680"/>
    <w:rsid w:val="00055D3B"/>
    <w:rsid w:val="000560E0"/>
    <w:rsid w:val="00056E4D"/>
    <w:rsid w:val="00056F1A"/>
    <w:rsid w:val="000574DF"/>
    <w:rsid w:val="0005768C"/>
    <w:rsid w:val="000609ED"/>
    <w:rsid w:val="0006140D"/>
    <w:rsid w:val="00061DE9"/>
    <w:rsid w:val="00062ABE"/>
    <w:rsid w:val="00062B9F"/>
    <w:rsid w:val="0006327C"/>
    <w:rsid w:val="00063654"/>
    <w:rsid w:val="0006739B"/>
    <w:rsid w:val="00067656"/>
    <w:rsid w:val="00072727"/>
    <w:rsid w:val="00072BA3"/>
    <w:rsid w:val="00072E6D"/>
    <w:rsid w:val="000772B7"/>
    <w:rsid w:val="00081B87"/>
    <w:rsid w:val="00082AA9"/>
    <w:rsid w:val="0008341D"/>
    <w:rsid w:val="00084007"/>
    <w:rsid w:val="00084728"/>
    <w:rsid w:val="00084E93"/>
    <w:rsid w:val="0008597B"/>
    <w:rsid w:val="00085CBF"/>
    <w:rsid w:val="000900BB"/>
    <w:rsid w:val="000910BF"/>
    <w:rsid w:val="00091238"/>
    <w:rsid w:val="00092ED8"/>
    <w:rsid w:val="000933CF"/>
    <w:rsid w:val="00093D76"/>
    <w:rsid w:val="000954A6"/>
    <w:rsid w:val="000957C3"/>
    <w:rsid w:val="00095E98"/>
    <w:rsid w:val="0009697A"/>
    <w:rsid w:val="00096D13"/>
    <w:rsid w:val="00096D99"/>
    <w:rsid w:val="00097BFA"/>
    <w:rsid w:val="000A39EA"/>
    <w:rsid w:val="000A4402"/>
    <w:rsid w:val="000A4469"/>
    <w:rsid w:val="000A4C8B"/>
    <w:rsid w:val="000A5DFB"/>
    <w:rsid w:val="000A5E2C"/>
    <w:rsid w:val="000A6359"/>
    <w:rsid w:val="000A6D25"/>
    <w:rsid w:val="000A77FC"/>
    <w:rsid w:val="000B1E42"/>
    <w:rsid w:val="000B1FF5"/>
    <w:rsid w:val="000B3074"/>
    <w:rsid w:val="000B3143"/>
    <w:rsid w:val="000B3EFB"/>
    <w:rsid w:val="000B3FDA"/>
    <w:rsid w:val="000B5542"/>
    <w:rsid w:val="000B587F"/>
    <w:rsid w:val="000B5BE2"/>
    <w:rsid w:val="000B6676"/>
    <w:rsid w:val="000B70BE"/>
    <w:rsid w:val="000B7AF5"/>
    <w:rsid w:val="000C002F"/>
    <w:rsid w:val="000C1449"/>
    <w:rsid w:val="000C287E"/>
    <w:rsid w:val="000C441C"/>
    <w:rsid w:val="000C499F"/>
    <w:rsid w:val="000C5936"/>
    <w:rsid w:val="000C5DF8"/>
    <w:rsid w:val="000C703B"/>
    <w:rsid w:val="000C7BDB"/>
    <w:rsid w:val="000D034E"/>
    <w:rsid w:val="000D0C51"/>
    <w:rsid w:val="000D1AE3"/>
    <w:rsid w:val="000D4629"/>
    <w:rsid w:val="000D4FF3"/>
    <w:rsid w:val="000D58B9"/>
    <w:rsid w:val="000D702F"/>
    <w:rsid w:val="000D73AB"/>
    <w:rsid w:val="000D7BB3"/>
    <w:rsid w:val="000E0C80"/>
    <w:rsid w:val="000E1562"/>
    <w:rsid w:val="000E549D"/>
    <w:rsid w:val="000E56BA"/>
    <w:rsid w:val="000E5704"/>
    <w:rsid w:val="000E58EF"/>
    <w:rsid w:val="000E6BAD"/>
    <w:rsid w:val="000E6F0B"/>
    <w:rsid w:val="000E6F48"/>
    <w:rsid w:val="000E73C6"/>
    <w:rsid w:val="000E7CAF"/>
    <w:rsid w:val="000F150C"/>
    <w:rsid w:val="000F16DF"/>
    <w:rsid w:val="000F2C41"/>
    <w:rsid w:val="000F3979"/>
    <w:rsid w:val="000F4333"/>
    <w:rsid w:val="000F447A"/>
    <w:rsid w:val="000F5852"/>
    <w:rsid w:val="000F6A21"/>
    <w:rsid w:val="000F7CBD"/>
    <w:rsid w:val="000F7E31"/>
    <w:rsid w:val="0010006A"/>
    <w:rsid w:val="00100790"/>
    <w:rsid w:val="00100D35"/>
    <w:rsid w:val="00100F59"/>
    <w:rsid w:val="00100FDA"/>
    <w:rsid w:val="00102B22"/>
    <w:rsid w:val="001031BE"/>
    <w:rsid w:val="001041E7"/>
    <w:rsid w:val="00104B85"/>
    <w:rsid w:val="00105107"/>
    <w:rsid w:val="001069EE"/>
    <w:rsid w:val="0010719A"/>
    <w:rsid w:val="00107CB9"/>
    <w:rsid w:val="00111329"/>
    <w:rsid w:val="001117A2"/>
    <w:rsid w:val="00111F86"/>
    <w:rsid w:val="001121C3"/>
    <w:rsid w:val="001128AF"/>
    <w:rsid w:val="00113C65"/>
    <w:rsid w:val="00113E11"/>
    <w:rsid w:val="00116660"/>
    <w:rsid w:val="00120D12"/>
    <w:rsid w:val="001217F5"/>
    <w:rsid w:val="0012193A"/>
    <w:rsid w:val="00121D1F"/>
    <w:rsid w:val="00122FE0"/>
    <w:rsid w:val="001256D4"/>
    <w:rsid w:val="00125911"/>
    <w:rsid w:val="001267B6"/>
    <w:rsid w:val="001269AC"/>
    <w:rsid w:val="00126DE3"/>
    <w:rsid w:val="00130282"/>
    <w:rsid w:val="001304BB"/>
    <w:rsid w:val="00131E41"/>
    <w:rsid w:val="00132486"/>
    <w:rsid w:val="001330E2"/>
    <w:rsid w:val="00133206"/>
    <w:rsid w:val="00134E7A"/>
    <w:rsid w:val="001354CA"/>
    <w:rsid w:val="0013681F"/>
    <w:rsid w:val="001419F5"/>
    <w:rsid w:val="00142A1F"/>
    <w:rsid w:val="00144219"/>
    <w:rsid w:val="00144C34"/>
    <w:rsid w:val="001455A8"/>
    <w:rsid w:val="00145F3F"/>
    <w:rsid w:val="0014646E"/>
    <w:rsid w:val="00147EDA"/>
    <w:rsid w:val="001525B4"/>
    <w:rsid w:val="00153391"/>
    <w:rsid w:val="001556FD"/>
    <w:rsid w:val="0016062A"/>
    <w:rsid w:val="00161267"/>
    <w:rsid w:val="00163127"/>
    <w:rsid w:val="0016394D"/>
    <w:rsid w:val="0016458E"/>
    <w:rsid w:val="00165384"/>
    <w:rsid w:val="0016557C"/>
    <w:rsid w:val="00165664"/>
    <w:rsid w:val="001661BD"/>
    <w:rsid w:val="001662AA"/>
    <w:rsid w:val="00166302"/>
    <w:rsid w:val="0016763C"/>
    <w:rsid w:val="0017278D"/>
    <w:rsid w:val="00174C29"/>
    <w:rsid w:val="0017547F"/>
    <w:rsid w:val="00175812"/>
    <w:rsid w:val="001764E9"/>
    <w:rsid w:val="00176F96"/>
    <w:rsid w:val="00177E1A"/>
    <w:rsid w:val="00182A6E"/>
    <w:rsid w:val="001847CD"/>
    <w:rsid w:val="00185818"/>
    <w:rsid w:val="00186E09"/>
    <w:rsid w:val="0018789B"/>
    <w:rsid w:val="00190AF8"/>
    <w:rsid w:val="0019144A"/>
    <w:rsid w:val="00191D20"/>
    <w:rsid w:val="00191EB3"/>
    <w:rsid w:val="00192AD4"/>
    <w:rsid w:val="00193FE6"/>
    <w:rsid w:val="001958D5"/>
    <w:rsid w:val="001A1E19"/>
    <w:rsid w:val="001A2FA5"/>
    <w:rsid w:val="001A428F"/>
    <w:rsid w:val="001A5545"/>
    <w:rsid w:val="001A61F3"/>
    <w:rsid w:val="001A6832"/>
    <w:rsid w:val="001A6F52"/>
    <w:rsid w:val="001A6FC4"/>
    <w:rsid w:val="001B1267"/>
    <w:rsid w:val="001B1B3E"/>
    <w:rsid w:val="001B2532"/>
    <w:rsid w:val="001B2677"/>
    <w:rsid w:val="001B5143"/>
    <w:rsid w:val="001B73A3"/>
    <w:rsid w:val="001B73D1"/>
    <w:rsid w:val="001C00C6"/>
    <w:rsid w:val="001C0F5D"/>
    <w:rsid w:val="001C2802"/>
    <w:rsid w:val="001C540A"/>
    <w:rsid w:val="001C6E35"/>
    <w:rsid w:val="001C7003"/>
    <w:rsid w:val="001C7783"/>
    <w:rsid w:val="001C78EE"/>
    <w:rsid w:val="001D22CD"/>
    <w:rsid w:val="001D369A"/>
    <w:rsid w:val="001D4643"/>
    <w:rsid w:val="001D5C12"/>
    <w:rsid w:val="001D74BC"/>
    <w:rsid w:val="001D77CF"/>
    <w:rsid w:val="001E0122"/>
    <w:rsid w:val="001E08A1"/>
    <w:rsid w:val="001E1AE1"/>
    <w:rsid w:val="001E2B50"/>
    <w:rsid w:val="001E2E8E"/>
    <w:rsid w:val="001E386A"/>
    <w:rsid w:val="001E3893"/>
    <w:rsid w:val="001E42A6"/>
    <w:rsid w:val="001E43F5"/>
    <w:rsid w:val="001E4FF1"/>
    <w:rsid w:val="001E5E19"/>
    <w:rsid w:val="001E61E5"/>
    <w:rsid w:val="001E621A"/>
    <w:rsid w:val="001E780B"/>
    <w:rsid w:val="001F035C"/>
    <w:rsid w:val="001F14A6"/>
    <w:rsid w:val="001F14C4"/>
    <w:rsid w:val="001F1519"/>
    <w:rsid w:val="001F1D89"/>
    <w:rsid w:val="001F4050"/>
    <w:rsid w:val="001F66B7"/>
    <w:rsid w:val="001F7EB1"/>
    <w:rsid w:val="0020018C"/>
    <w:rsid w:val="0020136B"/>
    <w:rsid w:val="00201577"/>
    <w:rsid w:val="00201C1A"/>
    <w:rsid w:val="00205120"/>
    <w:rsid w:val="00205A0A"/>
    <w:rsid w:val="00210463"/>
    <w:rsid w:val="0021099B"/>
    <w:rsid w:val="00215F73"/>
    <w:rsid w:val="00220246"/>
    <w:rsid w:val="00222A3D"/>
    <w:rsid w:val="00223344"/>
    <w:rsid w:val="00224757"/>
    <w:rsid w:val="002256D9"/>
    <w:rsid w:val="00225798"/>
    <w:rsid w:val="002269F9"/>
    <w:rsid w:val="00226BE1"/>
    <w:rsid w:val="002300D2"/>
    <w:rsid w:val="00231138"/>
    <w:rsid w:val="00232D3D"/>
    <w:rsid w:val="00233771"/>
    <w:rsid w:val="002343F5"/>
    <w:rsid w:val="002350D0"/>
    <w:rsid w:val="00235A4E"/>
    <w:rsid w:val="002377EA"/>
    <w:rsid w:val="0023791E"/>
    <w:rsid w:val="0024148C"/>
    <w:rsid w:val="002418BB"/>
    <w:rsid w:val="00241A53"/>
    <w:rsid w:val="00242632"/>
    <w:rsid w:val="002429B1"/>
    <w:rsid w:val="002429CC"/>
    <w:rsid w:val="00244B8F"/>
    <w:rsid w:val="00245535"/>
    <w:rsid w:val="002457FA"/>
    <w:rsid w:val="00246245"/>
    <w:rsid w:val="002506BC"/>
    <w:rsid w:val="00250F57"/>
    <w:rsid w:val="00251C2C"/>
    <w:rsid w:val="00251DB6"/>
    <w:rsid w:val="00251ECE"/>
    <w:rsid w:val="00252119"/>
    <w:rsid w:val="00252FB7"/>
    <w:rsid w:val="00253DC0"/>
    <w:rsid w:val="002568E1"/>
    <w:rsid w:val="00257046"/>
    <w:rsid w:val="00257DEF"/>
    <w:rsid w:val="00260612"/>
    <w:rsid w:val="00260DA5"/>
    <w:rsid w:val="00261AF8"/>
    <w:rsid w:val="00262FD7"/>
    <w:rsid w:val="00263B11"/>
    <w:rsid w:val="00264E69"/>
    <w:rsid w:val="0026549F"/>
    <w:rsid w:val="0026598A"/>
    <w:rsid w:val="00271705"/>
    <w:rsid w:val="002720DD"/>
    <w:rsid w:val="002723DF"/>
    <w:rsid w:val="00272F70"/>
    <w:rsid w:val="00275846"/>
    <w:rsid w:val="002759FA"/>
    <w:rsid w:val="00276A27"/>
    <w:rsid w:val="0027735A"/>
    <w:rsid w:val="00277A79"/>
    <w:rsid w:val="00280361"/>
    <w:rsid w:val="0028058F"/>
    <w:rsid w:val="002809B2"/>
    <w:rsid w:val="00280F4B"/>
    <w:rsid w:val="0028109B"/>
    <w:rsid w:val="00281B5D"/>
    <w:rsid w:val="00282208"/>
    <w:rsid w:val="00283B17"/>
    <w:rsid w:val="00284826"/>
    <w:rsid w:val="00291000"/>
    <w:rsid w:val="00292291"/>
    <w:rsid w:val="00293393"/>
    <w:rsid w:val="002933B6"/>
    <w:rsid w:val="00295466"/>
    <w:rsid w:val="0029642F"/>
    <w:rsid w:val="00297B82"/>
    <w:rsid w:val="002A0620"/>
    <w:rsid w:val="002A1A05"/>
    <w:rsid w:val="002B53FD"/>
    <w:rsid w:val="002B6691"/>
    <w:rsid w:val="002C0388"/>
    <w:rsid w:val="002C0DF8"/>
    <w:rsid w:val="002C113C"/>
    <w:rsid w:val="002C2FAC"/>
    <w:rsid w:val="002C36FB"/>
    <w:rsid w:val="002C4B45"/>
    <w:rsid w:val="002C65FF"/>
    <w:rsid w:val="002C7AB0"/>
    <w:rsid w:val="002D5157"/>
    <w:rsid w:val="002D59BA"/>
    <w:rsid w:val="002E0A0F"/>
    <w:rsid w:val="002E0BD6"/>
    <w:rsid w:val="002E1ED4"/>
    <w:rsid w:val="002E29C4"/>
    <w:rsid w:val="002E2EE9"/>
    <w:rsid w:val="002E538E"/>
    <w:rsid w:val="002E6694"/>
    <w:rsid w:val="002F1371"/>
    <w:rsid w:val="002F164D"/>
    <w:rsid w:val="002F4AC7"/>
    <w:rsid w:val="002F58E5"/>
    <w:rsid w:val="002F5CB0"/>
    <w:rsid w:val="002F5E29"/>
    <w:rsid w:val="002F5E6C"/>
    <w:rsid w:val="00300EA3"/>
    <w:rsid w:val="003017E1"/>
    <w:rsid w:val="00303313"/>
    <w:rsid w:val="00305087"/>
    <w:rsid w:val="00306A49"/>
    <w:rsid w:val="00310801"/>
    <w:rsid w:val="00310BD4"/>
    <w:rsid w:val="0031170A"/>
    <w:rsid w:val="00313004"/>
    <w:rsid w:val="003133D4"/>
    <w:rsid w:val="0031396E"/>
    <w:rsid w:val="00317527"/>
    <w:rsid w:val="0032048A"/>
    <w:rsid w:val="003214A1"/>
    <w:rsid w:val="003216E6"/>
    <w:rsid w:val="00321D90"/>
    <w:rsid w:val="00322941"/>
    <w:rsid w:val="00323C7F"/>
    <w:rsid w:val="00326D91"/>
    <w:rsid w:val="0032716D"/>
    <w:rsid w:val="003272DD"/>
    <w:rsid w:val="00327E5B"/>
    <w:rsid w:val="00330156"/>
    <w:rsid w:val="00331BEE"/>
    <w:rsid w:val="003320B0"/>
    <w:rsid w:val="0033255E"/>
    <w:rsid w:val="00333F98"/>
    <w:rsid w:val="003351A9"/>
    <w:rsid w:val="00335627"/>
    <w:rsid w:val="0033648A"/>
    <w:rsid w:val="00337A4C"/>
    <w:rsid w:val="0034050D"/>
    <w:rsid w:val="00342FA6"/>
    <w:rsid w:val="00345A8E"/>
    <w:rsid w:val="00346F67"/>
    <w:rsid w:val="0034731F"/>
    <w:rsid w:val="003473C5"/>
    <w:rsid w:val="0035013D"/>
    <w:rsid w:val="00352B73"/>
    <w:rsid w:val="00353328"/>
    <w:rsid w:val="00357120"/>
    <w:rsid w:val="00357731"/>
    <w:rsid w:val="00362DFF"/>
    <w:rsid w:val="003636A1"/>
    <w:rsid w:val="003640E7"/>
    <w:rsid w:val="00365260"/>
    <w:rsid w:val="0036584A"/>
    <w:rsid w:val="003659A5"/>
    <w:rsid w:val="0036608F"/>
    <w:rsid w:val="00371A6F"/>
    <w:rsid w:val="00372477"/>
    <w:rsid w:val="00372BEB"/>
    <w:rsid w:val="00372CE0"/>
    <w:rsid w:val="00372F7E"/>
    <w:rsid w:val="00372FFD"/>
    <w:rsid w:val="00373CC0"/>
    <w:rsid w:val="003747CA"/>
    <w:rsid w:val="00376277"/>
    <w:rsid w:val="00376C12"/>
    <w:rsid w:val="00377948"/>
    <w:rsid w:val="00377DB3"/>
    <w:rsid w:val="00377FA4"/>
    <w:rsid w:val="003822BF"/>
    <w:rsid w:val="00382969"/>
    <w:rsid w:val="0038544C"/>
    <w:rsid w:val="00385ED5"/>
    <w:rsid w:val="00386ABB"/>
    <w:rsid w:val="00386DDD"/>
    <w:rsid w:val="003876DA"/>
    <w:rsid w:val="00387E03"/>
    <w:rsid w:val="003913EF"/>
    <w:rsid w:val="00392AD7"/>
    <w:rsid w:val="0039329A"/>
    <w:rsid w:val="0039445A"/>
    <w:rsid w:val="00395A76"/>
    <w:rsid w:val="00395B54"/>
    <w:rsid w:val="003A29F3"/>
    <w:rsid w:val="003A3CB8"/>
    <w:rsid w:val="003A3EAF"/>
    <w:rsid w:val="003A47DF"/>
    <w:rsid w:val="003A50FC"/>
    <w:rsid w:val="003A6C74"/>
    <w:rsid w:val="003B0E36"/>
    <w:rsid w:val="003B1E6C"/>
    <w:rsid w:val="003B2AB4"/>
    <w:rsid w:val="003B3412"/>
    <w:rsid w:val="003B57A6"/>
    <w:rsid w:val="003B64B8"/>
    <w:rsid w:val="003B6E56"/>
    <w:rsid w:val="003B71C0"/>
    <w:rsid w:val="003B753C"/>
    <w:rsid w:val="003B7BC3"/>
    <w:rsid w:val="003C0A97"/>
    <w:rsid w:val="003C1826"/>
    <w:rsid w:val="003C2362"/>
    <w:rsid w:val="003C3C77"/>
    <w:rsid w:val="003C4105"/>
    <w:rsid w:val="003C55FF"/>
    <w:rsid w:val="003D4414"/>
    <w:rsid w:val="003D56E4"/>
    <w:rsid w:val="003D6441"/>
    <w:rsid w:val="003D7235"/>
    <w:rsid w:val="003D7444"/>
    <w:rsid w:val="003E04AC"/>
    <w:rsid w:val="003E1087"/>
    <w:rsid w:val="003E11F3"/>
    <w:rsid w:val="003E2500"/>
    <w:rsid w:val="003E4C09"/>
    <w:rsid w:val="003E6023"/>
    <w:rsid w:val="003E64DE"/>
    <w:rsid w:val="003F0D27"/>
    <w:rsid w:val="003F23AC"/>
    <w:rsid w:val="003F3190"/>
    <w:rsid w:val="003F3C9E"/>
    <w:rsid w:val="0040031E"/>
    <w:rsid w:val="004012D3"/>
    <w:rsid w:val="00402697"/>
    <w:rsid w:val="00404F0B"/>
    <w:rsid w:val="004053E3"/>
    <w:rsid w:val="00406E69"/>
    <w:rsid w:val="00410056"/>
    <w:rsid w:val="00410BBD"/>
    <w:rsid w:val="00411D63"/>
    <w:rsid w:val="0041345E"/>
    <w:rsid w:val="004135C1"/>
    <w:rsid w:val="004138A5"/>
    <w:rsid w:val="00413985"/>
    <w:rsid w:val="004151F0"/>
    <w:rsid w:val="004158E7"/>
    <w:rsid w:val="0041614C"/>
    <w:rsid w:val="004176F0"/>
    <w:rsid w:val="004200DC"/>
    <w:rsid w:val="004249D1"/>
    <w:rsid w:val="004251E5"/>
    <w:rsid w:val="00426D9B"/>
    <w:rsid w:val="00427DBB"/>
    <w:rsid w:val="00430F28"/>
    <w:rsid w:val="00433F47"/>
    <w:rsid w:val="0043477F"/>
    <w:rsid w:val="00441688"/>
    <w:rsid w:val="00442B61"/>
    <w:rsid w:val="004443EE"/>
    <w:rsid w:val="00444B63"/>
    <w:rsid w:val="00445392"/>
    <w:rsid w:val="004477B8"/>
    <w:rsid w:val="00450640"/>
    <w:rsid w:val="0045280A"/>
    <w:rsid w:val="00452D02"/>
    <w:rsid w:val="0045321D"/>
    <w:rsid w:val="004535B6"/>
    <w:rsid w:val="004544A9"/>
    <w:rsid w:val="004547F0"/>
    <w:rsid w:val="004560B2"/>
    <w:rsid w:val="00456FF8"/>
    <w:rsid w:val="00457176"/>
    <w:rsid w:val="004573A7"/>
    <w:rsid w:val="00457B52"/>
    <w:rsid w:val="0046003A"/>
    <w:rsid w:val="0046114B"/>
    <w:rsid w:val="004630F3"/>
    <w:rsid w:val="00466423"/>
    <w:rsid w:val="00466D37"/>
    <w:rsid w:val="00466F24"/>
    <w:rsid w:val="00467655"/>
    <w:rsid w:val="004718C8"/>
    <w:rsid w:val="00472602"/>
    <w:rsid w:val="0047331F"/>
    <w:rsid w:val="00473A72"/>
    <w:rsid w:val="00474E77"/>
    <w:rsid w:val="00477EDC"/>
    <w:rsid w:val="0048158A"/>
    <w:rsid w:val="004815FA"/>
    <w:rsid w:val="00482992"/>
    <w:rsid w:val="004829BA"/>
    <w:rsid w:val="00483196"/>
    <w:rsid w:val="00483706"/>
    <w:rsid w:val="00484652"/>
    <w:rsid w:val="00485923"/>
    <w:rsid w:val="00485B62"/>
    <w:rsid w:val="00485EB2"/>
    <w:rsid w:val="00490638"/>
    <w:rsid w:val="0049224E"/>
    <w:rsid w:val="00497922"/>
    <w:rsid w:val="004A060A"/>
    <w:rsid w:val="004A09C0"/>
    <w:rsid w:val="004A1957"/>
    <w:rsid w:val="004A1DD5"/>
    <w:rsid w:val="004A2D6C"/>
    <w:rsid w:val="004A416B"/>
    <w:rsid w:val="004A43EF"/>
    <w:rsid w:val="004A480D"/>
    <w:rsid w:val="004A6839"/>
    <w:rsid w:val="004A6950"/>
    <w:rsid w:val="004A6FC0"/>
    <w:rsid w:val="004B090E"/>
    <w:rsid w:val="004B1483"/>
    <w:rsid w:val="004B19A4"/>
    <w:rsid w:val="004B5E81"/>
    <w:rsid w:val="004B7DB4"/>
    <w:rsid w:val="004C0137"/>
    <w:rsid w:val="004C05D6"/>
    <w:rsid w:val="004C2EF2"/>
    <w:rsid w:val="004C43BC"/>
    <w:rsid w:val="004C4986"/>
    <w:rsid w:val="004C4988"/>
    <w:rsid w:val="004C792D"/>
    <w:rsid w:val="004C7C0F"/>
    <w:rsid w:val="004D018A"/>
    <w:rsid w:val="004D2BB6"/>
    <w:rsid w:val="004D346F"/>
    <w:rsid w:val="004D3571"/>
    <w:rsid w:val="004D3725"/>
    <w:rsid w:val="004D41F2"/>
    <w:rsid w:val="004D4244"/>
    <w:rsid w:val="004D5671"/>
    <w:rsid w:val="004D6628"/>
    <w:rsid w:val="004D668D"/>
    <w:rsid w:val="004D6F48"/>
    <w:rsid w:val="004D7475"/>
    <w:rsid w:val="004D7744"/>
    <w:rsid w:val="004D7898"/>
    <w:rsid w:val="004D7E9A"/>
    <w:rsid w:val="004E06BB"/>
    <w:rsid w:val="004E0F12"/>
    <w:rsid w:val="004E38A1"/>
    <w:rsid w:val="004E42F5"/>
    <w:rsid w:val="004E46D0"/>
    <w:rsid w:val="004E614E"/>
    <w:rsid w:val="004F310F"/>
    <w:rsid w:val="004F599E"/>
    <w:rsid w:val="004F5A29"/>
    <w:rsid w:val="004F6959"/>
    <w:rsid w:val="00500480"/>
    <w:rsid w:val="005030C5"/>
    <w:rsid w:val="005059E5"/>
    <w:rsid w:val="0050606F"/>
    <w:rsid w:val="00507F44"/>
    <w:rsid w:val="00510611"/>
    <w:rsid w:val="005106CC"/>
    <w:rsid w:val="00510DE8"/>
    <w:rsid w:val="005128E0"/>
    <w:rsid w:val="005133A4"/>
    <w:rsid w:val="005142A5"/>
    <w:rsid w:val="005154EC"/>
    <w:rsid w:val="00515FCE"/>
    <w:rsid w:val="005160A4"/>
    <w:rsid w:val="005162D8"/>
    <w:rsid w:val="005172AD"/>
    <w:rsid w:val="005205AF"/>
    <w:rsid w:val="005206CC"/>
    <w:rsid w:val="005217B1"/>
    <w:rsid w:val="00521899"/>
    <w:rsid w:val="005229B6"/>
    <w:rsid w:val="00522A5E"/>
    <w:rsid w:val="0052345B"/>
    <w:rsid w:val="00524AD5"/>
    <w:rsid w:val="0052672F"/>
    <w:rsid w:val="00527B6C"/>
    <w:rsid w:val="00531EE8"/>
    <w:rsid w:val="00535312"/>
    <w:rsid w:val="00535A10"/>
    <w:rsid w:val="00536EC2"/>
    <w:rsid w:val="0053740D"/>
    <w:rsid w:val="0053798A"/>
    <w:rsid w:val="005379CF"/>
    <w:rsid w:val="005407AB"/>
    <w:rsid w:val="0054198E"/>
    <w:rsid w:val="00542C24"/>
    <w:rsid w:val="00543F3C"/>
    <w:rsid w:val="0054487D"/>
    <w:rsid w:val="00544AF2"/>
    <w:rsid w:val="00545923"/>
    <w:rsid w:val="0054632C"/>
    <w:rsid w:val="0054693A"/>
    <w:rsid w:val="005507E2"/>
    <w:rsid w:val="00553415"/>
    <w:rsid w:val="0055357E"/>
    <w:rsid w:val="00554DF4"/>
    <w:rsid w:val="00554F11"/>
    <w:rsid w:val="0055577A"/>
    <w:rsid w:val="00555CE4"/>
    <w:rsid w:val="00557063"/>
    <w:rsid w:val="00560AB7"/>
    <w:rsid w:val="00561D45"/>
    <w:rsid w:val="005627CB"/>
    <w:rsid w:val="00563543"/>
    <w:rsid w:val="0056591E"/>
    <w:rsid w:val="00565C49"/>
    <w:rsid w:val="0056656C"/>
    <w:rsid w:val="00570E38"/>
    <w:rsid w:val="00575034"/>
    <w:rsid w:val="00575208"/>
    <w:rsid w:val="005764B0"/>
    <w:rsid w:val="005813C4"/>
    <w:rsid w:val="00581502"/>
    <w:rsid w:val="00581C2F"/>
    <w:rsid w:val="005821B4"/>
    <w:rsid w:val="00582646"/>
    <w:rsid w:val="00583641"/>
    <w:rsid w:val="0058460C"/>
    <w:rsid w:val="005866F3"/>
    <w:rsid w:val="005900F1"/>
    <w:rsid w:val="005903B3"/>
    <w:rsid w:val="005917E0"/>
    <w:rsid w:val="005935D4"/>
    <w:rsid w:val="005935F7"/>
    <w:rsid w:val="00593604"/>
    <w:rsid w:val="0059373D"/>
    <w:rsid w:val="00593762"/>
    <w:rsid w:val="00593FFD"/>
    <w:rsid w:val="0059407E"/>
    <w:rsid w:val="00595778"/>
    <w:rsid w:val="005958B2"/>
    <w:rsid w:val="005964EC"/>
    <w:rsid w:val="00597FD3"/>
    <w:rsid w:val="005A01CD"/>
    <w:rsid w:val="005A07EB"/>
    <w:rsid w:val="005A0DF8"/>
    <w:rsid w:val="005A0F35"/>
    <w:rsid w:val="005A1A74"/>
    <w:rsid w:val="005A2CDA"/>
    <w:rsid w:val="005A2D9B"/>
    <w:rsid w:val="005A335E"/>
    <w:rsid w:val="005A3EB1"/>
    <w:rsid w:val="005A75A2"/>
    <w:rsid w:val="005B1C30"/>
    <w:rsid w:val="005B33D1"/>
    <w:rsid w:val="005B346C"/>
    <w:rsid w:val="005B4F05"/>
    <w:rsid w:val="005C2C50"/>
    <w:rsid w:val="005C38F2"/>
    <w:rsid w:val="005C4225"/>
    <w:rsid w:val="005C4636"/>
    <w:rsid w:val="005C4BFB"/>
    <w:rsid w:val="005C55E5"/>
    <w:rsid w:val="005C5E17"/>
    <w:rsid w:val="005C6F71"/>
    <w:rsid w:val="005C700E"/>
    <w:rsid w:val="005D08D3"/>
    <w:rsid w:val="005D097E"/>
    <w:rsid w:val="005D1D7C"/>
    <w:rsid w:val="005D2FE2"/>
    <w:rsid w:val="005D3D43"/>
    <w:rsid w:val="005D590E"/>
    <w:rsid w:val="005D5A59"/>
    <w:rsid w:val="005D68DE"/>
    <w:rsid w:val="005D6AF9"/>
    <w:rsid w:val="005D7C6B"/>
    <w:rsid w:val="005E227C"/>
    <w:rsid w:val="005E2E69"/>
    <w:rsid w:val="005E56DE"/>
    <w:rsid w:val="005E6857"/>
    <w:rsid w:val="005E6F27"/>
    <w:rsid w:val="005E7370"/>
    <w:rsid w:val="005E7C5B"/>
    <w:rsid w:val="005F03F9"/>
    <w:rsid w:val="005F0B9C"/>
    <w:rsid w:val="005F3E0A"/>
    <w:rsid w:val="005F4C51"/>
    <w:rsid w:val="005F5265"/>
    <w:rsid w:val="005F5AED"/>
    <w:rsid w:val="005F644A"/>
    <w:rsid w:val="005F787D"/>
    <w:rsid w:val="00600457"/>
    <w:rsid w:val="006049A1"/>
    <w:rsid w:val="00604E0C"/>
    <w:rsid w:val="006050B6"/>
    <w:rsid w:val="00606A5D"/>
    <w:rsid w:val="00606D17"/>
    <w:rsid w:val="00607DDB"/>
    <w:rsid w:val="0061113B"/>
    <w:rsid w:val="00612357"/>
    <w:rsid w:val="00613292"/>
    <w:rsid w:val="00614EF8"/>
    <w:rsid w:val="00616A1F"/>
    <w:rsid w:val="0062179F"/>
    <w:rsid w:val="00625B8C"/>
    <w:rsid w:val="00626070"/>
    <w:rsid w:val="0062627C"/>
    <w:rsid w:val="00626CE9"/>
    <w:rsid w:val="0062749D"/>
    <w:rsid w:val="0062761B"/>
    <w:rsid w:val="00627663"/>
    <w:rsid w:val="00633CBD"/>
    <w:rsid w:val="00636890"/>
    <w:rsid w:val="006374BD"/>
    <w:rsid w:val="00637AF6"/>
    <w:rsid w:val="0064164F"/>
    <w:rsid w:val="006429E4"/>
    <w:rsid w:val="00643D38"/>
    <w:rsid w:val="00643FCD"/>
    <w:rsid w:val="00645241"/>
    <w:rsid w:val="0064558E"/>
    <w:rsid w:val="006516FA"/>
    <w:rsid w:val="006530CA"/>
    <w:rsid w:val="00653533"/>
    <w:rsid w:val="00653928"/>
    <w:rsid w:val="0065394D"/>
    <w:rsid w:val="0065440D"/>
    <w:rsid w:val="006548CF"/>
    <w:rsid w:val="006558CC"/>
    <w:rsid w:val="00656442"/>
    <w:rsid w:val="0065774B"/>
    <w:rsid w:val="006609FB"/>
    <w:rsid w:val="00661EEA"/>
    <w:rsid w:val="00666031"/>
    <w:rsid w:val="00667E29"/>
    <w:rsid w:val="00670FFC"/>
    <w:rsid w:val="006711E1"/>
    <w:rsid w:val="0067195F"/>
    <w:rsid w:val="00672A32"/>
    <w:rsid w:val="00680CC3"/>
    <w:rsid w:val="00683BB9"/>
    <w:rsid w:val="006872AC"/>
    <w:rsid w:val="00687BD2"/>
    <w:rsid w:val="00690242"/>
    <w:rsid w:val="00690C25"/>
    <w:rsid w:val="00690E88"/>
    <w:rsid w:val="00690F4D"/>
    <w:rsid w:val="00692754"/>
    <w:rsid w:val="00692980"/>
    <w:rsid w:val="00692A71"/>
    <w:rsid w:val="0069492A"/>
    <w:rsid w:val="0069599D"/>
    <w:rsid w:val="006A0148"/>
    <w:rsid w:val="006A02DA"/>
    <w:rsid w:val="006A0DD4"/>
    <w:rsid w:val="006A3DE0"/>
    <w:rsid w:val="006A4A82"/>
    <w:rsid w:val="006A50B2"/>
    <w:rsid w:val="006A5C72"/>
    <w:rsid w:val="006A7128"/>
    <w:rsid w:val="006A739A"/>
    <w:rsid w:val="006B01BE"/>
    <w:rsid w:val="006B2DBF"/>
    <w:rsid w:val="006B3535"/>
    <w:rsid w:val="006B6F76"/>
    <w:rsid w:val="006B773F"/>
    <w:rsid w:val="006C169B"/>
    <w:rsid w:val="006C17A8"/>
    <w:rsid w:val="006C21C6"/>
    <w:rsid w:val="006C263A"/>
    <w:rsid w:val="006C2D5D"/>
    <w:rsid w:val="006C2F27"/>
    <w:rsid w:val="006C3D05"/>
    <w:rsid w:val="006C5ABB"/>
    <w:rsid w:val="006C5B90"/>
    <w:rsid w:val="006C7210"/>
    <w:rsid w:val="006C7788"/>
    <w:rsid w:val="006D0571"/>
    <w:rsid w:val="006D080D"/>
    <w:rsid w:val="006D1541"/>
    <w:rsid w:val="006D385D"/>
    <w:rsid w:val="006D3DEA"/>
    <w:rsid w:val="006D4D38"/>
    <w:rsid w:val="006D7043"/>
    <w:rsid w:val="006E12BD"/>
    <w:rsid w:val="006E1CC6"/>
    <w:rsid w:val="006E29D2"/>
    <w:rsid w:val="006E3082"/>
    <w:rsid w:val="006E447C"/>
    <w:rsid w:val="006E508D"/>
    <w:rsid w:val="006E5C68"/>
    <w:rsid w:val="006F1E86"/>
    <w:rsid w:val="006F26FB"/>
    <w:rsid w:val="006F374F"/>
    <w:rsid w:val="006F3E55"/>
    <w:rsid w:val="006F4447"/>
    <w:rsid w:val="006F4C98"/>
    <w:rsid w:val="006F5826"/>
    <w:rsid w:val="006F5AD5"/>
    <w:rsid w:val="006F5CB4"/>
    <w:rsid w:val="006F6330"/>
    <w:rsid w:val="006F7B3E"/>
    <w:rsid w:val="007006AC"/>
    <w:rsid w:val="00700723"/>
    <w:rsid w:val="00703BA4"/>
    <w:rsid w:val="00703EC3"/>
    <w:rsid w:val="00710C1C"/>
    <w:rsid w:val="0071195B"/>
    <w:rsid w:val="00712328"/>
    <w:rsid w:val="00712770"/>
    <w:rsid w:val="0071574A"/>
    <w:rsid w:val="00715DA1"/>
    <w:rsid w:val="007160BA"/>
    <w:rsid w:val="00716B14"/>
    <w:rsid w:val="00717CF6"/>
    <w:rsid w:val="0072181B"/>
    <w:rsid w:val="007223E2"/>
    <w:rsid w:val="007231B1"/>
    <w:rsid w:val="007236C2"/>
    <w:rsid w:val="00723BD5"/>
    <w:rsid w:val="00725EAD"/>
    <w:rsid w:val="007268DC"/>
    <w:rsid w:val="00726D7C"/>
    <w:rsid w:val="007279A2"/>
    <w:rsid w:val="00727A1E"/>
    <w:rsid w:val="00731C7F"/>
    <w:rsid w:val="00733F9A"/>
    <w:rsid w:val="007377FB"/>
    <w:rsid w:val="00740215"/>
    <w:rsid w:val="0074062C"/>
    <w:rsid w:val="007408EA"/>
    <w:rsid w:val="007429BD"/>
    <w:rsid w:val="00743FD7"/>
    <w:rsid w:val="0074590C"/>
    <w:rsid w:val="00745BED"/>
    <w:rsid w:val="00747FCB"/>
    <w:rsid w:val="00750036"/>
    <w:rsid w:val="00750E5C"/>
    <w:rsid w:val="007510ED"/>
    <w:rsid w:val="00753B00"/>
    <w:rsid w:val="0075519A"/>
    <w:rsid w:val="00757D6F"/>
    <w:rsid w:val="00760A69"/>
    <w:rsid w:val="00761258"/>
    <w:rsid w:val="00761E8A"/>
    <w:rsid w:val="0076232F"/>
    <w:rsid w:val="0076258D"/>
    <w:rsid w:val="00762DB0"/>
    <w:rsid w:val="0076534D"/>
    <w:rsid w:val="00766D22"/>
    <w:rsid w:val="00767267"/>
    <w:rsid w:val="007672FD"/>
    <w:rsid w:val="00767D3B"/>
    <w:rsid w:val="007714A2"/>
    <w:rsid w:val="00772172"/>
    <w:rsid w:val="00772EF3"/>
    <w:rsid w:val="00773140"/>
    <w:rsid w:val="007735E9"/>
    <w:rsid w:val="00775B67"/>
    <w:rsid w:val="00776803"/>
    <w:rsid w:val="00781748"/>
    <w:rsid w:val="0078315F"/>
    <w:rsid w:val="007838CF"/>
    <w:rsid w:val="00784B0A"/>
    <w:rsid w:val="00790426"/>
    <w:rsid w:val="007920EC"/>
    <w:rsid w:val="00795574"/>
    <w:rsid w:val="007966CC"/>
    <w:rsid w:val="00796790"/>
    <w:rsid w:val="007A02E4"/>
    <w:rsid w:val="007A1B06"/>
    <w:rsid w:val="007A2893"/>
    <w:rsid w:val="007A394A"/>
    <w:rsid w:val="007A3B69"/>
    <w:rsid w:val="007A48F4"/>
    <w:rsid w:val="007B0BF1"/>
    <w:rsid w:val="007B0E63"/>
    <w:rsid w:val="007B1672"/>
    <w:rsid w:val="007B2C22"/>
    <w:rsid w:val="007B51D4"/>
    <w:rsid w:val="007B582C"/>
    <w:rsid w:val="007B5F3F"/>
    <w:rsid w:val="007B6867"/>
    <w:rsid w:val="007B7A91"/>
    <w:rsid w:val="007C08B8"/>
    <w:rsid w:val="007C0F64"/>
    <w:rsid w:val="007C19FD"/>
    <w:rsid w:val="007C51A0"/>
    <w:rsid w:val="007D0346"/>
    <w:rsid w:val="007D23E8"/>
    <w:rsid w:val="007D2583"/>
    <w:rsid w:val="007D2587"/>
    <w:rsid w:val="007D6B40"/>
    <w:rsid w:val="007D7D19"/>
    <w:rsid w:val="007D7F32"/>
    <w:rsid w:val="007E1299"/>
    <w:rsid w:val="007E246D"/>
    <w:rsid w:val="007E530D"/>
    <w:rsid w:val="007E6428"/>
    <w:rsid w:val="007E6A2C"/>
    <w:rsid w:val="007F1D92"/>
    <w:rsid w:val="007F25D8"/>
    <w:rsid w:val="007F3924"/>
    <w:rsid w:val="007F3CD5"/>
    <w:rsid w:val="007F7B0F"/>
    <w:rsid w:val="008006A2"/>
    <w:rsid w:val="008012B2"/>
    <w:rsid w:val="008022D4"/>
    <w:rsid w:val="0080349F"/>
    <w:rsid w:val="00804A93"/>
    <w:rsid w:val="00804B82"/>
    <w:rsid w:val="008059DA"/>
    <w:rsid w:val="00806589"/>
    <w:rsid w:val="008066A0"/>
    <w:rsid w:val="00806F38"/>
    <w:rsid w:val="00811567"/>
    <w:rsid w:val="00812B8A"/>
    <w:rsid w:val="00812DCB"/>
    <w:rsid w:val="008132AB"/>
    <w:rsid w:val="00815F41"/>
    <w:rsid w:val="00816060"/>
    <w:rsid w:val="00816700"/>
    <w:rsid w:val="00816C0C"/>
    <w:rsid w:val="00816EEC"/>
    <w:rsid w:val="00816F12"/>
    <w:rsid w:val="00820AF7"/>
    <w:rsid w:val="008212B9"/>
    <w:rsid w:val="00822EE5"/>
    <w:rsid w:val="008232A0"/>
    <w:rsid w:val="008235F7"/>
    <w:rsid w:val="00823869"/>
    <w:rsid w:val="008245F1"/>
    <w:rsid w:val="0082532D"/>
    <w:rsid w:val="008261A2"/>
    <w:rsid w:val="00826BCA"/>
    <w:rsid w:val="00826CAD"/>
    <w:rsid w:val="00830C39"/>
    <w:rsid w:val="00832C37"/>
    <w:rsid w:val="0083309D"/>
    <w:rsid w:val="0083315D"/>
    <w:rsid w:val="008333AC"/>
    <w:rsid w:val="0083398F"/>
    <w:rsid w:val="008346CA"/>
    <w:rsid w:val="008347B5"/>
    <w:rsid w:val="00834A01"/>
    <w:rsid w:val="008353EA"/>
    <w:rsid w:val="00837709"/>
    <w:rsid w:val="0084066E"/>
    <w:rsid w:val="008408ED"/>
    <w:rsid w:val="0084213C"/>
    <w:rsid w:val="008427B4"/>
    <w:rsid w:val="00843288"/>
    <w:rsid w:val="00843487"/>
    <w:rsid w:val="00843F1A"/>
    <w:rsid w:val="008471CC"/>
    <w:rsid w:val="008523C0"/>
    <w:rsid w:val="008538ED"/>
    <w:rsid w:val="00860C11"/>
    <w:rsid w:val="00861F39"/>
    <w:rsid w:val="008627BC"/>
    <w:rsid w:val="00864354"/>
    <w:rsid w:val="008676FD"/>
    <w:rsid w:val="00867CF3"/>
    <w:rsid w:val="008703EE"/>
    <w:rsid w:val="008704DB"/>
    <w:rsid w:val="00874035"/>
    <w:rsid w:val="00874098"/>
    <w:rsid w:val="008747C2"/>
    <w:rsid w:val="00874A0E"/>
    <w:rsid w:val="00880113"/>
    <w:rsid w:val="0088223C"/>
    <w:rsid w:val="00884279"/>
    <w:rsid w:val="008855BE"/>
    <w:rsid w:val="00885F88"/>
    <w:rsid w:val="008866B3"/>
    <w:rsid w:val="008901C7"/>
    <w:rsid w:val="00891DB7"/>
    <w:rsid w:val="008944E2"/>
    <w:rsid w:val="00896C3D"/>
    <w:rsid w:val="00897AC6"/>
    <w:rsid w:val="008A0889"/>
    <w:rsid w:val="008A10B7"/>
    <w:rsid w:val="008A21A4"/>
    <w:rsid w:val="008A225A"/>
    <w:rsid w:val="008A2CE3"/>
    <w:rsid w:val="008A2FB2"/>
    <w:rsid w:val="008A4C48"/>
    <w:rsid w:val="008A52D0"/>
    <w:rsid w:val="008A53D4"/>
    <w:rsid w:val="008A6E14"/>
    <w:rsid w:val="008A6E38"/>
    <w:rsid w:val="008B0D89"/>
    <w:rsid w:val="008B22C2"/>
    <w:rsid w:val="008B3277"/>
    <w:rsid w:val="008B3EFC"/>
    <w:rsid w:val="008B46F8"/>
    <w:rsid w:val="008B47B5"/>
    <w:rsid w:val="008B50BC"/>
    <w:rsid w:val="008B64D6"/>
    <w:rsid w:val="008B732F"/>
    <w:rsid w:val="008B769C"/>
    <w:rsid w:val="008B7930"/>
    <w:rsid w:val="008B7ACF"/>
    <w:rsid w:val="008C131A"/>
    <w:rsid w:val="008C167F"/>
    <w:rsid w:val="008C367B"/>
    <w:rsid w:val="008C4B6D"/>
    <w:rsid w:val="008C4C59"/>
    <w:rsid w:val="008C4D40"/>
    <w:rsid w:val="008C65CC"/>
    <w:rsid w:val="008C6952"/>
    <w:rsid w:val="008C73BC"/>
    <w:rsid w:val="008D002A"/>
    <w:rsid w:val="008D02E8"/>
    <w:rsid w:val="008D0AF0"/>
    <w:rsid w:val="008D42C2"/>
    <w:rsid w:val="008D4E53"/>
    <w:rsid w:val="008D509A"/>
    <w:rsid w:val="008D52B4"/>
    <w:rsid w:val="008D5507"/>
    <w:rsid w:val="008D669B"/>
    <w:rsid w:val="008E2235"/>
    <w:rsid w:val="008E31CA"/>
    <w:rsid w:val="008E3C8C"/>
    <w:rsid w:val="008E530E"/>
    <w:rsid w:val="008E7C2E"/>
    <w:rsid w:val="008E7F2E"/>
    <w:rsid w:val="008F12A2"/>
    <w:rsid w:val="008F1549"/>
    <w:rsid w:val="008F2C10"/>
    <w:rsid w:val="008F3E62"/>
    <w:rsid w:val="008F6EB0"/>
    <w:rsid w:val="008F784A"/>
    <w:rsid w:val="00900A19"/>
    <w:rsid w:val="00902C44"/>
    <w:rsid w:val="00903867"/>
    <w:rsid w:val="00903A75"/>
    <w:rsid w:val="00903CFB"/>
    <w:rsid w:val="009060B6"/>
    <w:rsid w:val="00906BF5"/>
    <w:rsid w:val="00907BEB"/>
    <w:rsid w:val="009138AF"/>
    <w:rsid w:val="00913E67"/>
    <w:rsid w:val="00915508"/>
    <w:rsid w:val="00915E19"/>
    <w:rsid w:val="009163D8"/>
    <w:rsid w:val="00920E49"/>
    <w:rsid w:val="00920F50"/>
    <w:rsid w:val="00921923"/>
    <w:rsid w:val="00924F77"/>
    <w:rsid w:val="009263EE"/>
    <w:rsid w:val="00930573"/>
    <w:rsid w:val="00930D17"/>
    <w:rsid w:val="009337E3"/>
    <w:rsid w:val="009347AE"/>
    <w:rsid w:val="00937509"/>
    <w:rsid w:val="00937A02"/>
    <w:rsid w:val="0094396C"/>
    <w:rsid w:val="0094442F"/>
    <w:rsid w:val="00944C0E"/>
    <w:rsid w:val="0094573B"/>
    <w:rsid w:val="00945CA7"/>
    <w:rsid w:val="0094D7CF"/>
    <w:rsid w:val="00954198"/>
    <w:rsid w:val="009548EC"/>
    <w:rsid w:val="00954E7F"/>
    <w:rsid w:val="0095746A"/>
    <w:rsid w:val="0096064C"/>
    <w:rsid w:val="009608F4"/>
    <w:rsid w:val="00960911"/>
    <w:rsid w:val="0096234D"/>
    <w:rsid w:val="00964A61"/>
    <w:rsid w:val="0096782F"/>
    <w:rsid w:val="00967A5C"/>
    <w:rsid w:val="009704C9"/>
    <w:rsid w:val="00970AA2"/>
    <w:rsid w:val="0097138B"/>
    <w:rsid w:val="00974268"/>
    <w:rsid w:val="00974899"/>
    <w:rsid w:val="00975BC9"/>
    <w:rsid w:val="00977604"/>
    <w:rsid w:val="00977864"/>
    <w:rsid w:val="00980DE4"/>
    <w:rsid w:val="00981764"/>
    <w:rsid w:val="0098203B"/>
    <w:rsid w:val="00982415"/>
    <w:rsid w:val="0098330A"/>
    <w:rsid w:val="00983A98"/>
    <w:rsid w:val="00983FDB"/>
    <w:rsid w:val="009868CD"/>
    <w:rsid w:val="00986AAD"/>
    <w:rsid w:val="00986CDA"/>
    <w:rsid w:val="00987ACA"/>
    <w:rsid w:val="00994659"/>
    <w:rsid w:val="00994762"/>
    <w:rsid w:val="00994862"/>
    <w:rsid w:val="00995542"/>
    <w:rsid w:val="0099559E"/>
    <w:rsid w:val="00995D91"/>
    <w:rsid w:val="00996E9C"/>
    <w:rsid w:val="009971F5"/>
    <w:rsid w:val="0099759C"/>
    <w:rsid w:val="00997B8D"/>
    <w:rsid w:val="009A054B"/>
    <w:rsid w:val="009A055B"/>
    <w:rsid w:val="009A0C3B"/>
    <w:rsid w:val="009A1890"/>
    <w:rsid w:val="009A2C9C"/>
    <w:rsid w:val="009A2F83"/>
    <w:rsid w:val="009A3A93"/>
    <w:rsid w:val="009A5DEC"/>
    <w:rsid w:val="009A6518"/>
    <w:rsid w:val="009A75DD"/>
    <w:rsid w:val="009B0588"/>
    <w:rsid w:val="009B1E7B"/>
    <w:rsid w:val="009B20D4"/>
    <w:rsid w:val="009B4396"/>
    <w:rsid w:val="009B4872"/>
    <w:rsid w:val="009B550A"/>
    <w:rsid w:val="009B599B"/>
    <w:rsid w:val="009B7BF8"/>
    <w:rsid w:val="009C08F5"/>
    <w:rsid w:val="009C223C"/>
    <w:rsid w:val="009C2430"/>
    <w:rsid w:val="009C2F69"/>
    <w:rsid w:val="009C4B65"/>
    <w:rsid w:val="009D08CE"/>
    <w:rsid w:val="009D1743"/>
    <w:rsid w:val="009D263C"/>
    <w:rsid w:val="009D2BF3"/>
    <w:rsid w:val="009D2DD5"/>
    <w:rsid w:val="009D4426"/>
    <w:rsid w:val="009D4913"/>
    <w:rsid w:val="009D6AE0"/>
    <w:rsid w:val="009D6B25"/>
    <w:rsid w:val="009D6B2B"/>
    <w:rsid w:val="009D6E37"/>
    <w:rsid w:val="009E4486"/>
    <w:rsid w:val="009E47D3"/>
    <w:rsid w:val="009E5967"/>
    <w:rsid w:val="009E6180"/>
    <w:rsid w:val="009E645B"/>
    <w:rsid w:val="009F4841"/>
    <w:rsid w:val="009F530B"/>
    <w:rsid w:val="009F66DF"/>
    <w:rsid w:val="009F70E4"/>
    <w:rsid w:val="00A0026D"/>
    <w:rsid w:val="00A00B97"/>
    <w:rsid w:val="00A00ECE"/>
    <w:rsid w:val="00A01217"/>
    <w:rsid w:val="00A012BA"/>
    <w:rsid w:val="00A01E54"/>
    <w:rsid w:val="00A04406"/>
    <w:rsid w:val="00A063C8"/>
    <w:rsid w:val="00A072D3"/>
    <w:rsid w:val="00A10345"/>
    <w:rsid w:val="00A10F9D"/>
    <w:rsid w:val="00A111A2"/>
    <w:rsid w:val="00A116F2"/>
    <w:rsid w:val="00A12A94"/>
    <w:rsid w:val="00A13E02"/>
    <w:rsid w:val="00A14264"/>
    <w:rsid w:val="00A144A5"/>
    <w:rsid w:val="00A14D5A"/>
    <w:rsid w:val="00A15717"/>
    <w:rsid w:val="00A2273A"/>
    <w:rsid w:val="00A22BC4"/>
    <w:rsid w:val="00A2418A"/>
    <w:rsid w:val="00A243B8"/>
    <w:rsid w:val="00A248FE"/>
    <w:rsid w:val="00A26BFC"/>
    <w:rsid w:val="00A30E04"/>
    <w:rsid w:val="00A31D15"/>
    <w:rsid w:val="00A31D22"/>
    <w:rsid w:val="00A347BD"/>
    <w:rsid w:val="00A359AF"/>
    <w:rsid w:val="00A41852"/>
    <w:rsid w:val="00A42CE7"/>
    <w:rsid w:val="00A43AA1"/>
    <w:rsid w:val="00A44F3D"/>
    <w:rsid w:val="00A45925"/>
    <w:rsid w:val="00A45BD9"/>
    <w:rsid w:val="00A45E7C"/>
    <w:rsid w:val="00A46DA5"/>
    <w:rsid w:val="00A50971"/>
    <w:rsid w:val="00A55B30"/>
    <w:rsid w:val="00A563D3"/>
    <w:rsid w:val="00A60073"/>
    <w:rsid w:val="00A60BD4"/>
    <w:rsid w:val="00A60DD0"/>
    <w:rsid w:val="00A617E0"/>
    <w:rsid w:val="00A625FB"/>
    <w:rsid w:val="00A642EC"/>
    <w:rsid w:val="00A6504A"/>
    <w:rsid w:val="00A66C84"/>
    <w:rsid w:val="00A70749"/>
    <w:rsid w:val="00A70DDC"/>
    <w:rsid w:val="00A70EA4"/>
    <w:rsid w:val="00A71079"/>
    <w:rsid w:val="00A71638"/>
    <w:rsid w:val="00A71B87"/>
    <w:rsid w:val="00A7394A"/>
    <w:rsid w:val="00A744AA"/>
    <w:rsid w:val="00A77A97"/>
    <w:rsid w:val="00A80491"/>
    <w:rsid w:val="00A807B8"/>
    <w:rsid w:val="00A81952"/>
    <w:rsid w:val="00A81C6C"/>
    <w:rsid w:val="00A82400"/>
    <w:rsid w:val="00A826FE"/>
    <w:rsid w:val="00A82A42"/>
    <w:rsid w:val="00A83634"/>
    <w:rsid w:val="00A850FA"/>
    <w:rsid w:val="00A86214"/>
    <w:rsid w:val="00A9018A"/>
    <w:rsid w:val="00A9031F"/>
    <w:rsid w:val="00A91EEF"/>
    <w:rsid w:val="00A92468"/>
    <w:rsid w:val="00A938A5"/>
    <w:rsid w:val="00A97998"/>
    <w:rsid w:val="00AA0829"/>
    <w:rsid w:val="00AA173C"/>
    <w:rsid w:val="00AA18B1"/>
    <w:rsid w:val="00AA2591"/>
    <w:rsid w:val="00AA2D5A"/>
    <w:rsid w:val="00AA48A8"/>
    <w:rsid w:val="00AA4B08"/>
    <w:rsid w:val="00AA4E9D"/>
    <w:rsid w:val="00AA536F"/>
    <w:rsid w:val="00AA62E0"/>
    <w:rsid w:val="00AA6C93"/>
    <w:rsid w:val="00AB00EF"/>
    <w:rsid w:val="00AB0CF6"/>
    <w:rsid w:val="00AB12C8"/>
    <w:rsid w:val="00AB22E2"/>
    <w:rsid w:val="00AB27B4"/>
    <w:rsid w:val="00AB5CE9"/>
    <w:rsid w:val="00AB7D51"/>
    <w:rsid w:val="00AC14E9"/>
    <w:rsid w:val="00AC1D33"/>
    <w:rsid w:val="00AC28F8"/>
    <w:rsid w:val="00AC2B38"/>
    <w:rsid w:val="00AC4425"/>
    <w:rsid w:val="00AC56C4"/>
    <w:rsid w:val="00AC6874"/>
    <w:rsid w:val="00AD2E45"/>
    <w:rsid w:val="00AD385E"/>
    <w:rsid w:val="00AD58B2"/>
    <w:rsid w:val="00AD61DC"/>
    <w:rsid w:val="00AD642B"/>
    <w:rsid w:val="00AD6C0E"/>
    <w:rsid w:val="00AD6CC8"/>
    <w:rsid w:val="00AD74DA"/>
    <w:rsid w:val="00AD75E1"/>
    <w:rsid w:val="00AE0099"/>
    <w:rsid w:val="00AE00FA"/>
    <w:rsid w:val="00AE3416"/>
    <w:rsid w:val="00AE39FE"/>
    <w:rsid w:val="00AE4896"/>
    <w:rsid w:val="00AE48D2"/>
    <w:rsid w:val="00AE4CA2"/>
    <w:rsid w:val="00AE59AD"/>
    <w:rsid w:val="00AF1AEB"/>
    <w:rsid w:val="00AF23D1"/>
    <w:rsid w:val="00AF26B3"/>
    <w:rsid w:val="00AF289E"/>
    <w:rsid w:val="00AF2A36"/>
    <w:rsid w:val="00AF3324"/>
    <w:rsid w:val="00AF5170"/>
    <w:rsid w:val="00AF58FA"/>
    <w:rsid w:val="00AF5B63"/>
    <w:rsid w:val="00B01690"/>
    <w:rsid w:val="00B037BF"/>
    <w:rsid w:val="00B04D0D"/>
    <w:rsid w:val="00B06136"/>
    <w:rsid w:val="00B06529"/>
    <w:rsid w:val="00B06D07"/>
    <w:rsid w:val="00B07160"/>
    <w:rsid w:val="00B12329"/>
    <w:rsid w:val="00B1294A"/>
    <w:rsid w:val="00B12AEF"/>
    <w:rsid w:val="00B1326D"/>
    <w:rsid w:val="00B13754"/>
    <w:rsid w:val="00B142E7"/>
    <w:rsid w:val="00B15F6A"/>
    <w:rsid w:val="00B169F7"/>
    <w:rsid w:val="00B17F93"/>
    <w:rsid w:val="00B20178"/>
    <w:rsid w:val="00B2073E"/>
    <w:rsid w:val="00B20E80"/>
    <w:rsid w:val="00B21A84"/>
    <w:rsid w:val="00B22497"/>
    <w:rsid w:val="00B22B10"/>
    <w:rsid w:val="00B237D1"/>
    <w:rsid w:val="00B24DFA"/>
    <w:rsid w:val="00B25BEA"/>
    <w:rsid w:val="00B260D3"/>
    <w:rsid w:val="00B26FF1"/>
    <w:rsid w:val="00B3071E"/>
    <w:rsid w:val="00B30821"/>
    <w:rsid w:val="00B3254A"/>
    <w:rsid w:val="00B344BA"/>
    <w:rsid w:val="00B34B97"/>
    <w:rsid w:val="00B34CCC"/>
    <w:rsid w:val="00B35940"/>
    <w:rsid w:val="00B3647C"/>
    <w:rsid w:val="00B416AB"/>
    <w:rsid w:val="00B41AA6"/>
    <w:rsid w:val="00B43594"/>
    <w:rsid w:val="00B43A46"/>
    <w:rsid w:val="00B44474"/>
    <w:rsid w:val="00B45CE8"/>
    <w:rsid w:val="00B45DB4"/>
    <w:rsid w:val="00B460DD"/>
    <w:rsid w:val="00B473C7"/>
    <w:rsid w:val="00B530F9"/>
    <w:rsid w:val="00B53400"/>
    <w:rsid w:val="00B5433B"/>
    <w:rsid w:val="00B55AED"/>
    <w:rsid w:val="00B56314"/>
    <w:rsid w:val="00B6091A"/>
    <w:rsid w:val="00B60C1B"/>
    <w:rsid w:val="00B611D4"/>
    <w:rsid w:val="00B63975"/>
    <w:rsid w:val="00B64934"/>
    <w:rsid w:val="00B65443"/>
    <w:rsid w:val="00B66E29"/>
    <w:rsid w:val="00B70163"/>
    <w:rsid w:val="00B72B4A"/>
    <w:rsid w:val="00B73B6A"/>
    <w:rsid w:val="00B73BC0"/>
    <w:rsid w:val="00B741B0"/>
    <w:rsid w:val="00B768B0"/>
    <w:rsid w:val="00B81520"/>
    <w:rsid w:val="00B834F5"/>
    <w:rsid w:val="00B85294"/>
    <w:rsid w:val="00B85AAB"/>
    <w:rsid w:val="00B85B70"/>
    <w:rsid w:val="00B90370"/>
    <w:rsid w:val="00B9072B"/>
    <w:rsid w:val="00B91143"/>
    <w:rsid w:val="00B911CA"/>
    <w:rsid w:val="00B91922"/>
    <w:rsid w:val="00B92FC3"/>
    <w:rsid w:val="00B94054"/>
    <w:rsid w:val="00B957B6"/>
    <w:rsid w:val="00B95A88"/>
    <w:rsid w:val="00BA01B1"/>
    <w:rsid w:val="00BA3F11"/>
    <w:rsid w:val="00BA4491"/>
    <w:rsid w:val="00BA4FCB"/>
    <w:rsid w:val="00BA5B7D"/>
    <w:rsid w:val="00BA5EC0"/>
    <w:rsid w:val="00BA7840"/>
    <w:rsid w:val="00BB12E5"/>
    <w:rsid w:val="00BB1ADE"/>
    <w:rsid w:val="00BB1B79"/>
    <w:rsid w:val="00BB25BC"/>
    <w:rsid w:val="00BB3DE5"/>
    <w:rsid w:val="00BB6E5F"/>
    <w:rsid w:val="00BB7987"/>
    <w:rsid w:val="00BC019B"/>
    <w:rsid w:val="00BC0986"/>
    <w:rsid w:val="00BC30C4"/>
    <w:rsid w:val="00BC440A"/>
    <w:rsid w:val="00BC4527"/>
    <w:rsid w:val="00BC59C1"/>
    <w:rsid w:val="00BC5D9D"/>
    <w:rsid w:val="00BD0B88"/>
    <w:rsid w:val="00BD0F4C"/>
    <w:rsid w:val="00BD11BA"/>
    <w:rsid w:val="00BD2938"/>
    <w:rsid w:val="00BD294A"/>
    <w:rsid w:val="00BD37D4"/>
    <w:rsid w:val="00BD41AF"/>
    <w:rsid w:val="00BD508C"/>
    <w:rsid w:val="00BD5EAC"/>
    <w:rsid w:val="00BD739F"/>
    <w:rsid w:val="00BE27E7"/>
    <w:rsid w:val="00BE2B1E"/>
    <w:rsid w:val="00BE2D1B"/>
    <w:rsid w:val="00BE4870"/>
    <w:rsid w:val="00BE609D"/>
    <w:rsid w:val="00BF20E3"/>
    <w:rsid w:val="00BF2D75"/>
    <w:rsid w:val="00BF30F2"/>
    <w:rsid w:val="00BF3C58"/>
    <w:rsid w:val="00BF4E42"/>
    <w:rsid w:val="00BF70EE"/>
    <w:rsid w:val="00C00210"/>
    <w:rsid w:val="00C00848"/>
    <w:rsid w:val="00C00B5C"/>
    <w:rsid w:val="00C0384A"/>
    <w:rsid w:val="00C04BC3"/>
    <w:rsid w:val="00C07EF4"/>
    <w:rsid w:val="00C163E9"/>
    <w:rsid w:val="00C20FCA"/>
    <w:rsid w:val="00C211B2"/>
    <w:rsid w:val="00C225B1"/>
    <w:rsid w:val="00C22F5B"/>
    <w:rsid w:val="00C23E90"/>
    <w:rsid w:val="00C23FCB"/>
    <w:rsid w:val="00C24376"/>
    <w:rsid w:val="00C2457F"/>
    <w:rsid w:val="00C25AF4"/>
    <w:rsid w:val="00C26AFC"/>
    <w:rsid w:val="00C26D11"/>
    <w:rsid w:val="00C27EE8"/>
    <w:rsid w:val="00C30EAC"/>
    <w:rsid w:val="00C31C35"/>
    <w:rsid w:val="00C31D4B"/>
    <w:rsid w:val="00C33DAC"/>
    <w:rsid w:val="00C34730"/>
    <w:rsid w:val="00C4277F"/>
    <w:rsid w:val="00C4285C"/>
    <w:rsid w:val="00C44DE3"/>
    <w:rsid w:val="00C4578B"/>
    <w:rsid w:val="00C45CBF"/>
    <w:rsid w:val="00C45E45"/>
    <w:rsid w:val="00C47551"/>
    <w:rsid w:val="00C50FB3"/>
    <w:rsid w:val="00C51A6A"/>
    <w:rsid w:val="00C53BC6"/>
    <w:rsid w:val="00C55C55"/>
    <w:rsid w:val="00C55C9A"/>
    <w:rsid w:val="00C578D9"/>
    <w:rsid w:val="00C60BC2"/>
    <w:rsid w:val="00C6154E"/>
    <w:rsid w:val="00C62AAC"/>
    <w:rsid w:val="00C62ECD"/>
    <w:rsid w:val="00C635D3"/>
    <w:rsid w:val="00C637FF"/>
    <w:rsid w:val="00C64D9C"/>
    <w:rsid w:val="00C6799E"/>
    <w:rsid w:val="00C67FF4"/>
    <w:rsid w:val="00C70B53"/>
    <w:rsid w:val="00C7125C"/>
    <w:rsid w:val="00C71843"/>
    <w:rsid w:val="00C71CEA"/>
    <w:rsid w:val="00C72C01"/>
    <w:rsid w:val="00C73904"/>
    <w:rsid w:val="00C763F7"/>
    <w:rsid w:val="00C775F8"/>
    <w:rsid w:val="00C77D68"/>
    <w:rsid w:val="00C80130"/>
    <w:rsid w:val="00C8101C"/>
    <w:rsid w:val="00C82EF1"/>
    <w:rsid w:val="00C8496C"/>
    <w:rsid w:val="00C8517F"/>
    <w:rsid w:val="00C861E8"/>
    <w:rsid w:val="00C86A0B"/>
    <w:rsid w:val="00C91CEC"/>
    <w:rsid w:val="00C91F8C"/>
    <w:rsid w:val="00C92248"/>
    <w:rsid w:val="00C93708"/>
    <w:rsid w:val="00C9462D"/>
    <w:rsid w:val="00C96250"/>
    <w:rsid w:val="00C966FB"/>
    <w:rsid w:val="00C96A49"/>
    <w:rsid w:val="00C96E90"/>
    <w:rsid w:val="00CA3B00"/>
    <w:rsid w:val="00CA5B2B"/>
    <w:rsid w:val="00CA5D49"/>
    <w:rsid w:val="00CA5E22"/>
    <w:rsid w:val="00CA7B57"/>
    <w:rsid w:val="00CA7FDA"/>
    <w:rsid w:val="00CB0A18"/>
    <w:rsid w:val="00CB13B6"/>
    <w:rsid w:val="00CB17B1"/>
    <w:rsid w:val="00CB198C"/>
    <w:rsid w:val="00CB24DF"/>
    <w:rsid w:val="00CB28BE"/>
    <w:rsid w:val="00CB3FB5"/>
    <w:rsid w:val="00CB561C"/>
    <w:rsid w:val="00CB6729"/>
    <w:rsid w:val="00CB732A"/>
    <w:rsid w:val="00CC2E08"/>
    <w:rsid w:val="00CC2F68"/>
    <w:rsid w:val="00CC3BE5"/>
    <w:rsid w:val="00CC4164"/>
    <w:rsid w:val="00CC5078"/>
    <w:rsid w:val="00CC5D64"/>
    <w:rsid w:val="00CC6E70"/>
    <w:rsid w:val="00CD1934"/>
    <w:rsid w:val="00CD1AC1"/>
    <w:rsid w:val="00CD4761"/>
    <w:rsid w:val="00CD4A4E"/>
    <w:rsid w:val="00CD5ABD"/>
    <w:rsid w:val="00CD72E8"/>
    <w:rsid w:val="00CE1514"/>
    <w:rsid w:val="00CE169B"/>
    <w:rsid w:val="00CE1BCD"/>
    <w:rsid w:val="00CE26C3"/>
    <w:rsid w:val="00CE3316"/>
    <w:rsid w:val="00CE3B97"/>
    <w:rsid w:val="00CE432A"/>
    <w:rsid w:val="00CE4501"/>
    <w:rsid w:val="00CE628B"/>
    <w:rsid w:val="00CE65E6"/>
    <w:rsid w:val="00CE693D"/>
    <w:rsid w:val="00CE7721"/>
    <w:rsid w:val="00CE7769"/>
    <w:rsid w:val="00CF1508"/>
    <w:rsid w:val="00CF207A"/>
    <w:rsid w:val="00CF2CAF"/>
    <w:rsid w:val="00CF3D17"/>
    <w:rsid w:val="00CF5009"/>
    <w:rsid w:val="00CF5662"/>
    <w:rsid w:val="00CF57BF"/>
    <w:rsid w:val="00D000BA"/>
    <w:rsid w:val="00D00EBA"/>
    <w:rsid w:val="00D02FC5"/>
    <w:rsid w:val="00D03A6F"/>
    <w:rsid w:val="00D04A7D"/>
    <w:rsid w:val="00D05AD4"/>
    <w:rsid w:val="00D079BC"/>
    <w:rsid w:val="00D1006C"/>
    <w:rsid w:val="00D101EA"/>
    <w:rsid w:val="00D1040C"/>
    <w:rsid w:val="00D1106E"/>
    <w:rsid w:val="00D1218A"/>
    <w:rsid w:val="00D12579"/>
    <w:rsid w:val="00D1545F"/>
    <w:rsid w:val="00D16384"/>
    <w:rsid w:val="00D163F5"/>
    <w:rsid w:val="00D20B64"/>
    <w:rsid w:val="00D21105"/>
    <w:rsid w:val="00D21A16"/>
    <w:rsid w:val="00D23401"/>
    <w:rsid w:val="00D23964"/>
    <w:rsid w:val="00D256D3"/>
    <w:rsid w:val="00D26F0E"/>
    <w:rsid w:val="00D27628"/>
    <w:rsid w:val="00D276C9"/>
    <w:rsid w:val="00D27AAC"/>
    <w:rsid w:val="00D31CAF"/>
    <w:rsid w:val="00D31F94"/>
    <w:rsid w:val="00D33A7E"/>
    <w:rsid w:val="00D361B8"/>
    <w:rsid w:val="00D4062E"/>
    <w:rsid w:val="00D40C05"/>
    <w:rsid w:val="00D41BBB"/>
    <w:rsid w:val="00D4253F"/>
    <w:rsid w:val="00D431F0"/>
    <w:rsid w:val="00D4575A"/>
    <w:rsid w:val="00D458B9"/>
    <w:rsid w:val="00D45D10"/>
    <w:rsid w:val="00D461C8"/>
    <w:rsid w:val="00D477B4"/>
    <w:rsid w:val="00D479B2"/>
    <w:rsid w:val="00D5151A"/>
    <w:rsid w:val="00D51A02"/>
    <w:rsid w:val="00D51BF5"/>
    <w:rsid w:val="00D51CD9"/>
    <w:rsid w:val="00D51E2B"/>
    <w:rsid w:val="00D52064"/>
    <w:rsid w:val="00D53A38"/>
    <w:rsid w:val="00D53D5D"/>
    <w:rsid w:val="00D54802"/>
    <w:rsid w:val="00D55D1F"/>
    <w:rsid w:val="00D57F30"/>
    <w:rsid w:val="00D60E5C"/>
    <w:rsid w:val="00D61076"/>
    <w:rsid w:val="00D61A0D"/>
    <w:rsid w:val="00D61BD6"/>
    <w:rsid w:val="00D61C7F"/>
    <w:rsid w:val="00D6203E"/>
    <w:rsid w:val="00D623D4"/>
    <w:rsid w:val="00D669C2"/>
    <w:rsid w:val="00D6775D"/>
    <w:rsid w:val="00D72A21"/>
    <w:rsid w:val="00D73A3B"/>
    <w:rsid w:val="00D742A7"/>
    <w:rsid w:val="00D75BE7"/>
    <w:rsid w:val="00D75D3C"/>
    <w:rsid w:val="00D77899"/>
    <w:rsid w:val="00D814EB"/>
    <w:rsid w:val="00D829ED"/>
    <w:rsid w:val="00D8528E"/>
    <w:rsid w:val="00D857C6"/>
    <w:rsid w:val="00D86D77"/>
    <w:rsid w:val="00D87C6B"/>
    <w:rsid w:val="00D90863"/>
    <w:rsid w:val="00D91492"/>
    <w:rsid w:val="00D9252B"/>
    <w:rsid w:val="00D93F30"/>
    <w:rsid w:val="00D9697C"/>
    <w:rsid w:val="00D97F59"/>
    <w:rsid w:val="00DA103B"/>
    <w:rsid w:val="00DA58BF"/>
    <w:rsid w:val="00DA7F04"/>
    <w:rsid w:val="00DB06FC"/>
    <w:rsid w:val="00DB1032"/>
    <w:rsid w:val="00DB13EB"/>
    <w:rsid w:val="00DB2A91"/>
    <w:rsid w:val="00DB2C52"/>
    <w:rsid w:val="00DB3833"/>
    <w:rsid w:val="00DB4A6D"/>
    <w:rsid w:val="00DB62E0"/>
    <w:rsid w:val="00DB7657"/>
    <w:rsid w:val="00DB7851"/>
    <w:rsid w:val="00DC0C84"/>
    <w:rsid w:val="00DC11BE"/>
    <w:rsid w:val="00DC14E5"/>
    <w:rsid w:val="00DC1B09"/>
    <w:rsid w:val="00DC2F7B"/>
    <w:rsid w:val="00DC317A"/>
    <w:rsid w:val="00DC3981"/>
    <w:rsid w:val="00DC43DE"/>
    <w:rsid w:val="00DC4474"/>
    <w:rsid w:val="00DC527C"/>
    <w:rsid w:val="00DC566A"/>
    <w:rsid w:val="00DD00C6"/>
    <w:rsid w:val="00DD24C1"/>
    <w:rsid w:val="00DD3607"/>
    <w:rsid w:val="00DD7031"/>
    <w:rsid w:val="00DE0D5E"/>
    <w:rsid w:val="00DE14E3"/>
    <w:rsid w:val="00DE1F14"/>
    <w:rsid w:val="00DE2506"/>
    <w:rsid w:val="00DE280E"/>
    <w:rsid w:val="00DE4C0B"/>
    <w:rsid w:val="00DE6D02"/>
    <w:rsid w:val="00DE7C10"/>
    <w:rsid w:val="00DF0D8C"/>
    <w:rsid w:val="00DF0ED1"/>
    <w:rsid w:val="00DF12A5"/>
    <w:rsid w:val="00DF2262"/>
    <w:rsid w:val="00DF5863"/>
    <w:rsid w:val="00DF61F7"/>
    <w:rsid w:val="00DF798C"/>
    <w:rsid w:val="00DF7CF5"/>
    <w:rsid w:val="00DF7D25"/>
    <w:rsid w:val="00E01FCE"/>
    <w:rsid w:val="00E02DF5"/>
    <w:rsid w:val="00E0325A"/>
    <w:rsid w:val="00E04F7A"/>
    <w:rsid w:val="00E05579"/>
    <w:rsid w:val="00E10DBD"/>
    <w:rsid w:val="00E112CC"/>
    <w:rsid w:val="00E11ECB"/>
    <w:rsid w:val="00E1654E"/>
    <w:rsid w:val="00E17115"/>
    <w:rsid w:val="00E20A3D"/>
    <w:rsid w:val="00E21C98"/>
    <w:rsid w:val="00E2330A"/>
    <w:rsid w:val="00E25B43"/>
    <w:rsid w:val="00E305D4"/>
    <w:rsid w:val="00E32AC5"/>
    <w:rsid w:val="00E33E1E"/>
    <w:rsid w:val="00E35885"/>
    <w:rsid w:val="00E410AB"/>
    <w:rsid w:val="00E4175B"/>
    <w:rsid w:val="00E4177E"/>
    <w:rsid w:val="00E41EFE"/>
    <w:rsid w:val="00E42088"/>
    <w:rsid w:val="00E43143"/>
    <w:rsid w:val="00E457AD"/>
    <w:rsid w:val="00E46016"/>
    <w:rsid w:val="00E50D9B"/>
    <w:rsid w:val="00E50F8D"/>
    <w:rsid w:val="00E5109A"/>
    <w:rsid w:val="00E513AF"/>
    <w:rsid w:val="00E518F3"/>
    <w:rsid w:val="00E52155"/>
    <w:rsid w:val="00E52448"/>
    <w:rsid w:val="00E53B45"/>
    <w:rsid w:val="00E542BC"/>
    <w:rsid w:val="00E5574E"/>
    <w:rsid w:val="00E55D29"/>
    <w:rsid w:val="00E60A3A"/>
    <w:rsid w:val="00E6103D"/>
    <w:rsid w:val="00E618E6"/>
    <w:rsid w:val="00E63537"/>
    <w:rsid w:val="00E63D88"/>
    <w:rsid w:val="00E647A5"/>
    <w:rsid w:val="00E658D4"/>
    <w:rsid w:val="00E66A62"/>
    <w:rsid w:val="00E67020"/>
    <w:rsid w:val="00E67CED"/>
    <w:rsid w:val="00E71AF1"/>
    <w:rsid w:val="00E7243F"/>
    <w:rsid w:val="00E72D4C"/>
    <w:rsid w:val="00E73103"/>
    <w:rsid w:val="00E73412"/>
    <w:rsid w:val="00E73D07"/>
    <w:rsid w:val="00E74EFE"/>
    <w:rsid w:val="00E75244"/>
    <w:rsid w:val="00E75C28"/>
    <w:rsid w:val="00E762A8"/>
    <w:rsid w:val="00E80109"/>
    <w:rsid w:val="00E82D8A"/>
    <w:rsid w:val="00E83820"/>
    <w:rsid w:val="00E86469"/>
    <w:rsid w:val="00E86CD9"/>
    <w:rsid w:val="00E90450"/>
    <w:rsid w:val="00E90D88"/>
    <w:rsid w:val="00E91AE9"/>
    <w:rsid w:val="00E93206"/>
    <w:rsid w:val="00E944E9"/>
    <w:rsid w:val="00E968BE"/>
    <w:rsid w:val="00EA0772"/>
    <w:rsid w:val="00EA1986"/>
    <w:rsid w:val="00EA27CA"/>
    <w:rsid w:val="00EA2C7C"/>
    <w:rsid w:val="00EA3407"/>
    <w:rsid w:val="00EA35FC"/>
    <w:rsid w:val="00EA4DB7"/>
    <w:rsid w:val="00EA4F07"/>
    <w:rsid w:val="00EB0879"/>
    <w:rsid w:val="00EB1E5B"/>
    <w:rsid w:val="00EB2A9F"/>
    <w:rsid w:val="00EB2CFA"/>
    <w:rsid w:val="00EB4625"/>
    <w:rsid w:val="00EB6A5B"/>
    <w:rsid w:val="00EC1272"/>
    <w:rsid w:val="00EC45E0"/>
    <w:rsid w:val="00EC6CDF"/>
    <w:rsid w:val="00EC6FB4"/>
    <w:rsid w:val="00EC7063"/>
    <w:rsid w:val="00EC7AB9"/>
    <w:rsid w:val="00EC7C20"/>
    <w:rsid w:val="00ED1ACC"/>
    <w:rsid w:val="00ED329F"/>
    <w:rsid w:val="00ED43FE"/>
    <w:rsid w:val="00ED5474"/>
    <w:rsid w:val="00ED5A43"/>
    <w:rsid w:val="00ED66A6"/>
    <w:rsid w:val="00ED6A5F"/>
    <w:rsid w:val="00EE0938"/>
    <w:rsid w:val="00EE478E"/>
    <w:rsid w:val="00EE5481"/>
    <w:rsid w:val="00EF0D70"/>
    <w:rsid w:val="00EF1B23"/>
    <w:rsid w:val="00EF1ECF"/>
    <w:rsid w:val="00EF253F"/>
    <w:rsid w:val="00EF3500"/>
    <w:rsid w:val="00EF5645"/>
    <w:rsid w:val="00EF5AF0"/>
    <w:rsid w:val="00EF5EBA"/>
    <w:rsid w:val="00EF7E03"/>
    <w:rsid w:val="00EF7FCB"/>
    <w:rsid w:val="00F01166"/>
    <w:rsid w:val="00F01D49"/>
    <w:rsid w:val="00F03377"/>
    <w:rsid w:val="00F03456"/>
    <w:rsid w:val="00F044BC"/>
    <w:rsid w:val="00F0550C"/>
    <w:rsid w:val="00F06DA3"/>
    <w:rsid w:val="00F101A5"/>
    <w:rsid w:val="00F10C92"/>
    <w:rsid w:val="00F11E4B"/>
    <w:rsid w:val="00F12DE0"/>
    <w:rsid w:val="00F13E04"/>
    <w:rsid w:val="00F14122"/>
    <w:rsid w:val="00F150DF"/>
    <w:rsid w:val="00F1572E"/>
    <w:rsid w:val="00F20730"/>
    <w:rsid w:val="00F20B1C"/>
    <w:rsid w:val="00F218F4"/>
    <w:rsid w:val="00F22E8C"/>
    <w:rsid w:val="00F23377"/>
    <w:rsid w:val="00F239BD"/>
    <w:rsid w:val="00F24B83"/>
    <w:rsid w:val="00F2537A"/>
    <w:rsid w:val="00F255B4"/>
    <w:rsid w:val="00F26786"/>
    <w:rsid w:val="00F268A7"/>
    <w:rsid w:val="00F31DA0"/>
    <w:rsid w:val="00F32633"/>
    <w:rsid w:val="00F35CF0"/>
    <w:rsid w:val="00F3633B"/>
    <w:rsid w:val="00F40669"/>
    <w:rsid w:val="00F40D66"/>
    <w:rsid w:val="00F4236A"/>
    <w:rsid w:val="00F428DB"/>
    <w:rsid w:val="00F46444"/>
    <w:rsid w:val="00F46C58"/>
    <w:rsid w:val="00F46E07"/>
    <w:rsid w:val="00F512F6"/>
    <w:rsid w:val="00F51E12"/>
    <w:rsid w:val="00F5361C"/>
    <w:rsid w:val="00F5443C"/>
    <w:rsid w:val="00F54616"/>
    <w:rsid w:val="00F57724"/>
    <w:rsid w:val="00F57E0B"/>
    <w:rsid w:val="00F60684"/>
    <w:rsid w:val="00F62138"/>
    <w:rsid w:val="00F629EF"/>
    <w:rsid w:val="00F62C70"/>
    <w:rsid w:val="00F63B4F"/>
    <w:rsid w:val="00F64A83"/>
    <w:rsid w:val="00F6595B"/>
    <w:rsid w:val="00F6632A"/>
    <w:rsid w:val="00F6668C"/>
    <w:rsid w:val="00F66A87"/>
    <w:rsid w:val="00F709BF"/>
    <w:rsid w:val="00F7290E"/>
    <w:rsid w:val="00F72E40"/>
    <w:rsid w:val="00F7435F"/>
    <w:rsid w:val="00F74619"/>
    <w:rsid w:val="00F75009"/>
    <w:rsid w:val="00F75519"/>
    <w:rsid w:val="00F76762"/>
    <w:rsid w:val="00F76EC9"/>
    <w:rsid w:val="00F7713F"/>
    <w:rsid w:val="00F80509"/>
    <w:rsid w:val="00F80F9D"/>
    <w:rsid w:val="00F847EE"/>
    <w:rsid w:val="00F85674"/>
    <w:rsid w:val="00F861EC"/>
    <w:rsid w:val="00F8628D"/>
    <w:rsid w:val="00F863B8"/>
    <w:rsid w:val="00F86905"/>
    <w:rsid w:val="00F90A5C"/>
    <w:rsid w:val="00F916C5"/>
    <w:rsid w:val="00F92555"/>
    <w:rsid w:val="00F92B3A"/>
    <w:rsid w:val="00F936F3"/>
    <w:rsid w:val="00F95677"/>
    <w:rsid w:val="00F95ECC"/>
    <w:rsid w:val="00F97011"/>
    <w:rsid w:val="00F9771F"/>
    <w:rsid w:val="00FA6507"/>
    <w:rsid w:val="00FA792B"/>
    <w:rsid w:val="00FB04AE"/>
    <w:rsid w:val="00FB1BF7"/>
    <w:rsid w:val="00FB2F94"/>
    <w:rsid w:val="00FB5728"/>
    <w:rsid w:val="00FB5B23"/>
    <w:rsid w:val="00FB5E5F"/>
    <w:rsid w:val="00FB7CEB"/>
    <w:rsid w:val="00FB7DAB"/>
    <w:rsid w:val="00FC079C"/>
    <w:rsid w:val="00FC1DBF"/>
    <w:rsid w:val="00FC335C"/>
    <w:rsid w:val="00FC3690"/>
    <w:rsid w:val="00FC4365"/>
    <w:rsid w:val="00FD220D"/>
    <w:rsid w:val="00FD2630"/>
    <w:rsid w:val="00FD3D2D"/>
    <w:rsid w:val="00FD40F9"/>
    <w:rsid w:val="00FD51C1"/>
    <w:rsid w:val="00FD57DA"/>
    <w:rsid w:val="00FD6AC5"/>
    <w:rsid w:val="00FE0833"/>
    <w:rsid w:val="00FE0B89"/>
    <w:rsid w:val="00FE0DB3"/>
    <w:rsid w:val="00FE109B"/>
    <w:rsid w:val="00FE15B8"/>
    <w:rsid w:val="00FE2D91"/>
    <w:rsid w:val="00FE2D9D"/>
    <w:rsid w:val="00FE4861"/>
    <w:rsid w:val="00FE5555"/>
    <w:rsid w:val="00FE6B3D"/>
    <w:rsid w:val="00FF1064"/>
    <w:rsid w:val="00FF21B0"/>
    <w:rsid w:val="00FF25AE"/>
    <w:rsid w:val="00FF2950"/>
    <w:rsid w:val="00FF3EA3"/>
    <w:rsid w:val="00FF45D7"/>
    <w:rsid w:val="00FF4802"/>
    <w:rsid w:val="00FF529B"/>
    <w:rsid w:val="00FF52FA"/>
    <w:rsid w:val="00FF536C"/>
    <w:rsid w:val="00FF54A9"/>
    <w:rsid w:val="048FDC82"/>
    <w:rsid w:val="089D69AF"/>
    <w:rsid w:val="08DAF569"/>
    <w:rsid w:val="08EE1038"/>
    <w:rsid w:val="092E1E53"/>
    <w:rsid w:val="09B7CE23"/>
    <w:rsid w:val="0A211609"/>
    <w:rsid w:val="185E998C"/>
    <w:rsid w:val="1B24D9C8"/>
    <w:rsid w:val="1F01DF3F"/>
    <w:rsid w:val="21925ABB"/>
    <w:rsid w:val="22E39286"/>
    <w:rsid w:val="2433DBD4"/>
    <w:rsid w:val="25862F47"/>
    <w:rsid w:val="291A0EB6"/>
    <w:rsid w:val="319D93B5"/>
    <w:rsid w:val="37021C53"/>
    <w:rsid w:val="37DE9222"/>
    <w:rsid w:val="3B0DBEBD"/>
    <w:rsid w:val="3F4EE2D1"/>
    <w:rsid w:val="47AFC9EC"/>
    <w:rsid w:val="4BBF82F9"/>
    <w:rsid w:val="4EAF9088"/>
    <w:rsid w:val="50E4DD9B"/>
    <w:rsid w:val="57552BC8"/>
    <w:rsid w:val="57AB5196"/>
    <w:rsid w:val="58067C6D"/>
    <w:rsid w:val="5944BB57"/>
    <w:rsid w:val="5CAB5E95"/>
    <w:rsid w:val="5DDB847E"/>
    <w:rsid w:val="6150489A"/>
    <w:rsid w:val="62724948"/>
    <w:rsid w:val="6668FE76"/>
    <w:rsid w:val="6744E808"/>
    <w:rsid w:val="67D353F0"/>
    <w:rsid w:val="67D74804"/>
    <w:rsid w:val="6ED2AF54"/>
    <w:rsid w:val="6ED9677C"/>
    <w:rsid w:val="71B7053F"/>
    <w:rsid w:val="7B8802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BB9BA"/>
  <w15:docId w15:val="{F1396260-4B5D-4B1B-984C-91A1524F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6C74"/>
    <w:pPr>
      <w:spacing w:after="200" w:line="276" w:lineRule="auto"/>
    </w:pPr>
    <w:rPr>
      <w:rFonts w:asciiTheme="minorHAnsi" w:eastAsiaTheme="minorHAnsi" w:hAnsiTheme="minorHAnsi" w:cstheme="minorBidi"/>
      <w:sz w:val="22"/>
      <w:szCs w:val="22"/>
    </w:rPr>
  </w:style>
  <w:style w:type="paragraph" w:styleId="Kop1">
    <w:name w:val="heading 1"/>
    <w:basedOn w:val="Standaard"/>
    <w:next w:val="Standaard"/>
    <w:link w:val="Kop1Char"/>
    <w:uiPriority w:val="9"/>
    <w:qFormat/>
    <w:rsid w:val="0062761B"/>
    <w:pPr>
      <w:keepNext/>
      <w:keepLines/>
      <w:spacing w:before="480"/>
      <w:outlineLvl w:val="0"/>
    </w:pPr>
    <w:rPr>
      <w:rFonts w:eastAsia="Times New Roman"/>
      <w:b/>
      <w:bCs/>
      <w:sz w:val="28"/>
      <w:szCs w:val="28"/>
    </w:rPr>
  </w:style>
  <w:style w:type="paragraph" w:styleId="Kop2">
    <w:name w:val="heading 2"/>
    <w:basedOn w:val="Standaard"/>
    <w:next w:val="Standaard"/>
    <w:link w:val="Kop2Char"/>
    <w:uiPriority w:val="9"/>
    <w:qFormat/>
    <w:rsid w:val="0062761B"/>
    <w:pPr>
      <w:keepNext/>
      <w:keepLines/>
      <w:spacing w:before="200"/>
      <w:outlineLvl w:val="1"/>
    </w:pPr>
    <w:rPr>
      <w:rFonts w:eastAsia="Times New Roman"/>
      <w:bCs/>
      <w:i/>
      <w:sz w:val="26"/>
      <w:szCs w:val="26"/>
    </w:rPr>
  </w:style>
  <w:style w:type="paragraph" w:styleId="Kop3">
    <w:name w:val="heading 3"/>
    <w:basedOn w:val="Standaard"/>
    <w:next w:val="Standaard"/>
    <w:link w:val="Kop3Char"/>
    <w:uiPriority w:val="9"/>
    <w:qFormat/>
    <w:rsid w:val="0062761B"/>
    <w:pPr>
      <w:keepNext/>
      <w:keepLines/>
      <w:spacing w:before="200"/>
      <w:outlineLvl w:val="2"/>
    </w:pPr>
    <w:rPr>
      <w:rFonts w:eastAsia="Times New Roman"/>
      <w:bCs/>
      <w:smallCaps/>
      <w:sz w:val="20"/>
      <w:szCs w:val="20"/>
    </w:rPr>
  </w:style>
  <w:style w:type="paragraph" w:styleId="Kop4">
    <w:name w:val="heading 4"/>
    <w:basedOn w:val="Standaard"/>
    <w:next w:val="Standaard"/>
    <w:link w:val="Kop4Char"/>
    <w:uiPriority w:val="9"/>
    <w:unhideWhenUsed/>
    <w:qFormat/>
    <w:locked/>
    <w:rsid w:val="004A6839"/>
    <w:pPr>
      <w:keepNext/>
      <w:keepLines/>
      <w:spacing w:before="80" w:after="40" w:line="240" w:lineRule="auto"/>
      <w:outlineLvl w:val="3"/>
    </w:pPr>
    <w:rPr>
      <w:rFonts w:ascii="Times New Roman" w:eastAsiaTheme="majorEastAsia" w:hAnsi="Times New Roman" w:cstheme="majorBidi"/>
      <w:i/>
      <w:iCs/>
      <w:color w:val="365F91" w:themeColor="accent1" w:themeShade="BF"/>
      <w:sz w:val="24"/>
      <w:szCs w:val="24"/>
      <w:lang w:eastAsia="nl-NL"/>
    </w:rPr>
  </w:style>
  <w:style w:type="paragraph" w:styleId="Kop5">
    <w:name w:val="heading 5"/>
    <w:basedOn w:val="Standaard"/>
    <w:next w:val="Standaard"/>
    <w:link w:val="Kop5Char"/>
    <w:uiPriority w:val="9"/>
    <w:semiHidden/>
    <w:unhideWhenUsed/>
    <w:qFormat/>
    <w:locked/>
    <w:rsid w:val="004A6839"/>
    <w:pPr>
      <w:keepNext/>
      <w:keepLines/>
      <w:spacing w:before="80" w:after="40" w:line="240" w:lineRule="auto"/>
      <w:outlineLvl w:val="4"/>
    </w:pPr>
    <w:rPr>
      <w:rFonts w:ascii="Times New Roman" w:eastAsiaTheme="majorEastAsia" w:hAnsi="Times New Roman" w:cstheme="majorBidi"/>
      <w:color w:val="365F91" w:themeColor="accent1" w:themeShade="BF"/>
      <w:sz w:val="24"/>
      <w:szCs w:val="24"/>
      <w:lang w:eastAsia="nl-NL"/>
    </w:rPr>
  </w:style>
  <w:style w:type="paragraph" w:styleId="Kop6">
    <w:name w:val="heading 6"/>
    <w:basedOn w:val="Standaard"/>
    <w:next w:val="Standaard"/>
    <w:link w:val="Kop6Char"/>
    <w:uiPriority w:val="9"/>
    <w:semiHidden/>
    <w:unhideWhenUsed/>
    <w:qFormat/>
    <w:locked/>
    <w:rsid w:val="004A6839"/>
    <w:pPr>
      <w:keepNext/>
      <w:keepLines/>
      <w:spacing w:before="40" w:after="0" w:line="240" w:lineRule="auto"/>
      <w:outlineLvl w:val="5"/>
    </w:pPr>
    <w:rPr>
      <w:rFonts w:ascii="Times New Roman" w:eastAsiaTheme="majorEastAsia" w:hAnsi="Times New Roman" w:cstheme="majorBidi"/>
      <w:i/>
      <w:iCs/>
      <w:color w:val="595959" w:themeColor="text1" w:themeTint="A6"/>
      <w:sz w:val="24"/>
      <w:szCs w:val="24"/>
      <w:lang w:eastAsia="nl-NL"/>
    </w:rPr>
  </w:style>
  <w:style w:type="paragraph" w:styleId="Kop7">
    <w:name w:val="heading 7"/>
    <w:basedOn w:val="Standaard"/>
    <w:next w:val="Standaard"/>
    <w:link w:val="Kop7Char"/>
    <w:uiPriority w:val="9"/>
    <w:semiHidden/>
    <w:unhideWhenUsed/>
    <w:qFormat/>
    <w:locked/>
    <w:rsid w:val="004A6839"/>
    <w:pPr>
      <w:keepNext/>
      <w:keepLines/>
      <w:spacing w:before="40" w:after="0" w:line="240" w:lineRule="auto"/>
      <w:outlineLvl w:val="6"/>
    </w:pPr>
    <w:rPr>
      <w:rFonts w:ascii="Times New Roman" w:eastAsiaTheme="majorEastAsia" w:hAnsi="Times New Roman" w:cstheme="majorBidi"/>
      <w:color w:val="595959" w:themeColor="text1" w:themeTint="A6"/>
      <w:sz w:val="24"/>
      <w:szCs w:val="24"/>
      <w:lang w:eastAsia="nl-NL"/>
    </w:rPr>
  </w:style>
  <w:style w:type="paragraph" w:styleId="Kop8">
    <w:name w:val="heading 8"/>
    <w:basedOn w:val="Standaard"/>
    <w:next w:val="Standaard"/>
    <w:link w:val="Kop8Char"/>
    <w:uiPriority w:val="9"/>
    <w:semiHidden/>
    <w:unhideWhenUsed/>
    <w:qFormat/>
    <w:locked/>
    <w:rsid w:val="004A6839"/>
    <w:pPr>
      <w:keepNext/>
      <w:keepLines/>
      <w:spacing w:after="0" w:line="240" w:lineRule="auto"/>
      <w:outlineLvl w:val="7"/>
    </w:pPr>
    <w:rPr>
      <w:rFonts w:ascii="Times New Roman" w:eastAsiaTheme="majorEastAsia" w:hAnsi="Times New Roman" w:cstheme="majorBidi"/>
      <w:i/>
      <w:iCs/>
      <w:color w:val="272727" w:themeColor="text1" w:themeTint="D8"/>
      <w:sz w:val="24"/>
      <w:szCs w:val="24"/>
      <w:lang w:eastAsia="nl-NL"/>
    </w:rPr>
  </w:style>
  <w:style w:type="paragraph" w:styleId="Kop9">
    <w:name w:val="heading 9"/>
    <w:basedOn w:val="Standaard"/>
    <w:next w:val="Standaard"/>
    <w:link w:val="Kop9Char"/>
    <w:uiPriority w:val="9"/>
    <w:semiHidden/>
    <w:unhideWhenUsed/>
    <w:qFormat/>
    <w:locked/>
    <w:rsid w:val="004A6839"/>
    <w:pPr>
      <w:keepNext/>
      <w:keepLines/>
      <w:spacing w:after="0" w:line="240" w:lineRule="auto"/>
      <w:outlineLvl w:val="8"/>
    </w:pPr>
    <w:rPr>
      <w:rFonts w:ascii="Times New Roman" w:eastAsiaTheme="majorEastAsia" w:hAnsi="Times New Roman" w:cstheme="majorBidi"/>
      <w:color w:val="272727" w:themeColor="text1" w:themeTint="D8"/>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62761B"/>
    <w:rPr>
      <w:rFonts w:eastAsia="Times New Roman"/>
      <w:b/>
      <w:bCs/>
      <w:sz w:val="28"/>
      <w:szCs w:val="28"/>
    </w:rPr>
  </w:style>
  <w:style w:type="character" w:customStyle="1" w:styleId="Kop2Char">
    <w:name w:val="Kop 2 Char"/>
    <w:link w:val="Kop2"/>
    <w:uiPriority w:val="9"/>
    <w:rsid w:val="0062761B"/>
    <w:rPr>
      <w:rFonts w:eastAsia="Times New Roman"/>
      <w:bCs/>
      <w:i/>
      <w:sz w:val="26"/>
      <w:szCs w:val="26"/>
    </w:rPr>
  </w:style>
  <w:style w:type="character" w:customStyle="1" w:styleId="Kop3Char">
    <w:name w:val="Kop 3 Char"/>
    <w:link w:val="Kop3"/>
    <w:uiPriority w:val="9"/>
    <w:rsid w:val="0062761B"/>
    <w:rPr>
      <w:rFonts w:eastAsia="Times New Roman"/>
      <w:bCs/>
      <w:smallCaps/>
    </w:rPr>
  </w:style>
  <w:style w:type="paragraph" w:styleId="Titel">
    <w:name w:val="Title"/>
    <w:basedOn w:val="Standaard"/>
    <w:next w:val="Standaard"/>
    <w:link w:val="TitelChar"/>
    <w:uiPriority w:val="10"/>
    <w:qFormat/>
    <w:rsid w:val="0062761B"/>
    <w:pPr>
      <w:spacing w:after="300" w:line="240" w:lineRule="auto"/>
      <w:contextualSpacing/>
    </w:pPr>
    <w:rPr>
      <w:rFonts w:eastAsia="Times New Roman"/>
      <w:spacing w:val="5"/>
      <w:kern w:val="28"/>
      <w:sz w:val="52"/>
      <w:szCs w:val="52"/>
    </w:rPr>
  </w:style>
  <w:style w:type="character" w:customStyle="1" w:styleId="TitelChar">
    <w:name w:val="Titel Char"/>
    <w:link w:val="Titel"/>
    <w:uiPriority w:val="10"/>
    <w:rsid w:val="0062761B"/>
    <w:rPr>
      <w:rFonts w:eastAsia="Times New Roman"/>
      <w:spacing w:val="5"/>
      <w:kern w:val="28"/>
      <w:sz w:val="52"/>
      <w:szCs w:val="52"/>
    </w:rPr>
  </w:style>
  <w:style w:type="paragraph" w:styleId="Geenafstand">
    <w:name w:val="No Spacing"/>
    <w:basedOn w:val="Standaard"/>
    <w:uiPriority w:val="99"/>
    <w:qFormat/>
    <w:rsid w:val="0062761B"/>
    <w:pPr>
      <w:spacing w:line="240" w:lineRule="auto"/>
    </w:pPr>
  </w:style>
  <w:style w:type="paragraph" w:styleId="Lijstalinea">
    <w:name w:val="List Paragraph"/>
    <w:basedOn w:val="Standaard"/>
    <w:link w:val="LijstalineaChar"/>
    <w:uiPriority w:val="34"/>
    <w:qFormat/>
    <w:rsid w:val="0062761B"/>
    <w:pPr>
      <w:ind w:left="720"/>
      <w:contextualSpacing/>
    </w:pPr>
  </w:style>
  <w:style w:type="paragraph" w:styleId="Kopvaninhoudsopgave">
    <w:name w:val="TOC Heading"/>
    <w:basedOn w:val="Kop1"/>
    <w:next w:val="Standaard"/>
    <w:uiPriority w:val="39"/>
    <w:qFormat/>
    <w:rsid w:val="0062761B"/>
    <w:pPr>
      <w:outlineLvl w:val="9"/>
    </w:pPr>
    <w:rPr>
      <w:color w:val="365F91"/>
      <w:lang w:eastAsia="nl-NL"/>
    </w:rPr>
  </w:style>
  <w:style w:type="paragraph" w:customStyle="1" w:styleId="Default">
    <w:name w:val="Default"/>
    <w:rsid w:val="00292291"/>
    <w:pPr>
      <w:autoSpaceDE w:val="0"/>
      <w:autoSpaceDN w:val="0"/>
      <w:adjustRightInd w:val="0"/>
    </w:pPr>
    <w:rPr>
      <w:rFonts w:ascii="Arial" w:eastAsiaTheme="minorHAnsi" w:hAnsi="Arial" w:cs="Arial"/>
      <w:color w:val="000000"/>
      <w:sz w:val="24"/>
      <w:szCs w:val="24"/>
    </w:rPr>
  </w:style>
  <w:style w:type="table" w:styleId="Tabelraster">
    <w:name w:val="Table Grid"/>
    <w:basedOn w:val="Standaardtabel"/>
    <w:uiPriority w:val="39"/>
    <w:rsid w:val="002922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922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92291"/>
    <w:rPr>
      <w:rFonts w:asciiTheme="minorHAnsi" w:eastAsiaTheme="minorHAnsi" w:hAnsiTheme="minorHAnsi" w:cstheme="minorBidi"/>
      <w:sz w:val="22"/>
      <w:szCs w:val="22"/>
    </w:rPr>
  </w:style>
  <w:style w:type="paragraph" w:styleId="Voettekst">
    <w:name w:val="footer"/>
    <w:basedOn w:val="Standaard"/>
    <w:link w:val="VoettekstChar"/>
    <w:uiPriority w:val="99"/>
    <w:unhideWhenUsed/>
    <w:rsid w:val="002922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2291"/>
    <w:rPr>
      <w:rFonts w:asciiTheme="minorHAnsi" w:eastAsiaTheme="minorHAnsi" w:hAnsiTheme="minorHAnsi" w:cstheme="minorBidi"/>
      <w:sz w:val="22"/>
      <w:szCs w:val="22"/>
    </w:rPr>
  </w:style>
  <w:style w:type="character" w:styleId="Verwijzingopmerking">
    <w:name w:val="annotation reference"/>
    <w:basedOn w:val="Standaardalinea-lettertype"/>
    <w:uiPriority w:val="99"/>
    <w:semiHidden/>
    <w:unhideWhenUsed/>
    <w:rsid w:val="009E47D3"/>
    <w:rPr>
      <w:sz w:val="16"/>
      <w:szCs w:val="16"/>
    </w:rPr>
  </w:style>
  <w:style w:type="paragraph" w:styleId="Tekstopmerking">
    <w:name w:val="annotation text"/>
    <w:basedOn w:val="Standaard"/>
    <w:link w:val="TekstopmerkingChar"/>
    <w:uiPriority w:val="99"/>
    <w:unhideWhenUsed/>
    <w:rsid w:val="009E47D3"/>
    <w:pPr>
      <w:spacing w:line="240" w:lineRule="auto"/>
    </w:pPr>
    <w:rPr>
      <w:sz w:val="20"/>
      <w:szCs w:val="20"/>
    </w:rPr>
  </w:style>
  <w:style w:type="character" w:customStyle="1" w:styleId="TekstopmerkingChar">
    <w:name w:val="Tekst opmerking Char"/>
    <w:basedOn w:val="Standaardalinea-lettertype"/>
    <w:link w:val="Tekstopmerking"/>
    <w:uiPriority w:val="99"/>
    <w:rsid w:val="009E47D3"/>
    <w:rPr>
      <w:rFonts w:asciiTheme="minorHAnsi" w:eastAsiaTheme="minorHAnsi" w:hAnsiTheme="minorHAnsi" w:cstheme="minorBidi"/>
    </w:rPr>
  </w:style>
  <w:style w:type="paragraph" w:styleId="Onderwerpvanopmerking">
    <w:name w:val="annotation subject"/>
    <w:basedOn w:val="Tekstopmerking"/>
    <w:next w:val="Tekstopmerking"/>
    <w:link w:val="OnderwerpvanopmerkingChar"/>
    <w:uiPriority w:val="99"/>
    <w:semiHidden/>
    <w:unhideWhenUsed/>
    <w:rsid w:val="009E47D3"/>
    <w:rPr>
      <w:b/>
      <w:bCs/>
    </w:rPr>
  </w:style>
  <w:style w:type="character" w:customStyle="1" w:styleId="OnderwerpvanopmerkingChar">
    <w:name w:val="Onderwerp van opmerking Char"/>
    <w:basedOn w:val="TekstopmerkingChar"/>
    <w:link w:val="Onderwerpvanopmerking"/>
    <w:uiPriority w:val="99"/>
    <w:semiHidden/>
    <w:rsid w:val="009E47D3"/>
    <w:rPr>
      <w:rFonts w:asciiTheme="minorHAnsi" w:eastAsiaTheme="minorHAnsi" w:hAnsiTheme="minorHAnsi" w:cstheme="minorBidi"/>
      <w:b/>
      <w:bCs/>
    </w:rPr>
  </w:style>
  <w:style w:type="paragraph" w:styleId="Ballontekst">
    <w:name w:val="Balloon Text"/>
    <w:basedOn w:val="Standaard"/>
    <w:link w:val="BallontekstChar"/>
    <w:uiPriority w:val="99"/>
    <w:semiHidden/>
    <w:unhideWhenUsed/>
    <w:rsid w:val="009E47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E47D3"/>
    <w:rPr>
      <w:rFonts w:ascii="Tahoma" w:eastAsiaTheme="minorHAnsi" w:hAnsi="Tahoma" w:cs="Tahoma"/>
      <w:sz w:val="16"/>
      <w:szCs w:val="16"/>
    </w:rPr>
  </w:style>
  <w:style w:type="character" w:customStyle="1" w:styleId="LijstalineaChar">
    <w:name w:val="Lijstalinea Char"/>
    <w:link w:val="Lijstalinea"/>
    <w:uiPriority w:val="34"/>
    <w:rsid w:val="007C51A0"/>
    <w:rPr>
      <w:rFonts w:asciiTheme="minorHAnsi" w:eastAsiaTheme="minorHAnsi" w:hAnsiTheme="minorHAnsi" w:cstheme="minorBidi"/>
      <w:sz w:val="22"/>
      <w:szCs w:val="22"/>
    </w:rPr>
  </w:style>
  <w:style w:type="paragraph" w:styleId="Voetnoottekst">
    <w:name w:val="footnote text"/>
    <w:basedOn w:val="Standaard"/>
    <w:link w:val="VoetnoottekstChar"/>
    <w:uiPriority w:val="99"/>
    <w:unhideWhenUsed/>
    <w:rsid w:val="004829BA"/>
    <w:pPr>
      <w:spacing w:after="0" w:line="240" w:lineRule="auto"/>
    </w:pPr>
    <w:rPr>
      <w:sz w:val="20"/>
      <w:szCs w:val="20"/>
    </w:rPr>
  </w:style>
  <w:style w:type="character" w:customStyle="1" w:styleId="VoetnoottekstChar">
    <w:name w:val="Voetnoottekst Char"/>
    <w:basedOn w:val="Standaardalinea-lettertype"/>
    <w:link w:val="Voetnoottekst"/>
    <w:uiPriority w:val="99"/>
    <w:rsid w:val="004829BA"/>
    <w:rPr>
      <w:rFonts w:asciiTheme="minorHAnsi" w:eastAsiaTheme="minorHAnsi" w:hAnsiTheme="minorHAnsi" w:cstheme="minorBidi"/>
    </w:rPr>
  </w:style>
  <w:style w:type="character" w:styleId="Voetnootmarkering">
    <w:name w:val="footnote reference"/>
    <w:basedOn w:val="Standaardalinea-lettertype"/>
    <w:uiPriority w:val="99"/>
    <w:unhideWhenUsed/>
    <w:rsid w:val="004829BA"/>
    <w:rPr>
      <w:vertAlign w:val="superscript"/>
    </w:rPr>
  </w:style>
  <w:style w:type="character" w:styleId="Hyperlink">
    <w:name w:val="Hyperlink"/>
    <w:basedOn w:val="Standaardalinea-lettertype"/>
    <w:uiPriority w:val="99"/>
    <w:unhideWhenUsed/>
    <w:rsid w:val="008A21A4"/>
    <w:rPr>
      <w:color w:val="0000FF" w:themeColor="hyperlink"/>
      <w:u w:val="single"/>
    </w:rPr>
  </w:style>
  <w:style w:type="paragraph" w:customStyle="1" w:styleId="Pa10">
    <w:name w:val="Pa10"/>
    <w:basedOn w:val="Default"/>
    <w:next w:val="Default"/>
    <w:uiPriority w:val="99"/>
    <w:rsid w:val="008523C0"/>
    <w:pPr>
      <w:spacing w:line="181" w:lineRule="atLeast"/>
    </w:pPr>
    <w:rPr>
      <w:rFonts w:ascii="Candara" w:eastAsia="Times New Roman" w:hAnsi="Candara" w:cs="Times New Roman"/>
      <w:color w:val="auto"/>
      <w:lang w:eastAsia="nl-NL"/>
    </w:rPr>
  </w:style>
  <w:style w:type="paragraph" w:styleId="Revisie">
    <w:name w:val="Revision"/>
    <w:hidden/>
    <w:uiPriority w:val="99"/>
    <w:semiHidden/>
    <w:rsid w:val="00666031"/>
    <w:rPr>
      <w:rFonts w:asciiTheme="minorHAnsi" w:eastAsiaTheme="minorHAnsi" w:hAnsiTheme="minorHAnsi" w:cstheme="minorBidi"/>
      <w:sz w:val="22"/>
      <w:szCs w:val="22"/>
    </w:rPr>
  </w:style>
  <w:style w:type="character" w:styleId="Onopgelostemelding">
    <w:name w:val="Unresolved Mention"/>
    <w:basedOn w:val="Standaardalinea-lettertype"/>
    <w:uiPriority w:val="99"/>
    <w:semiHidden/>
    <w:unhideWhenUsed/>
    <w:rsid w:val="00411D63"/>
    <w:rPr>
      <w:color w:val="605E5C"/>
      <w:shd w:val="clear" w:color="auto" w:fill="E1DFDD"/>
    </w:rPr>
  </w:style>
  <w:style w:type="paragraph" w:customStyle="1" w:styleId="pf1">
    <w:name w:val="pf1"/>
    <w:basedOn w:val="Standaard"/>
    <w:rsid w:val="006D0571"/>
    <w:pPr>
      <w:spacing w:before="100" w:beforeAutospacing="1" w:after="100" w:afterAutospacing="1" w:line="240" w:lineRule="auto"/>
      <w:ind w:left="720"/>
    </w:pPr>
    <w:rPr>
      <w:rFonts w:ascii="Times New Roman" w:eastAsia="Times New Roman" w:hAnsi="Times New Roman" w:cs="Times New Roman"/>
      <w:sz w:val="24"/>
      <w:szCs w:val="24"/>
      <w:lang w:eastAsia="nl-NL"/>
    </w:rPr>
  </w:style>
  <w:style w:type="paragraph" w:customStyle="1" w:styleId="pf0">
    <w:name w:val="pf0"/>
    <w:basedOn w:val="Standaard"/>
    <w:rsid w:val="006D057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6D0571"/>
    <w:rPr>
      <w:rFonts w:ascii="Segoe UI" w:hAnsi="Segoe UI" w:cs="Segoe UI" w:hint="default"/>
      <w:sz w:val="18"/>
      <w:szCs w:val="18"/>
    </w:rPr>
  </w:style>
  <w:style w:type="character" w:customStyle="1" w:styleId="cf11">
    <w:name w:val="cf11"/>
    <w:basedOn w:val="Standaardalinea-lettertype"/>
    <w:rsid w:val="006D0571"/>
    <w:rPr>
      <w:rFonts w:ascii="Segoe UI" w:hAnsi="Segoe UI" w:cs="Segoe UI" w:hint="default"/>
      <w:sz w:val="18"/>
      <w:szCs w:val="18"/>
    </w:rPr>
  </w:style>
  <w:style w:type="character" w:customStyle="1" w:styleId="cf21">
    <w:name w:val="cf21"/>
    <w:basedOn w:val="Standaardalinea-lettertype"/>
    <w:rsid w:val="006D0571"/>
    <w:rPr>
      <w:rFonts w:ascii="Segoe UI" w:hAnsi="Segoe UI" w:cs="Segoe UI" w:hint="default"/>
      <w:sz w:val="18"/>
      <w:szCs w:val="18"/>
    </w:rPr>
  </w:style>
  <w:style w:type="paragraph" w:styleId="Normaalweb">
    <w:name w:val="Normal (Web)"/>
    <w:basedOn w:val="Standaard"/>
    <w:uiPriority w:val="99"/>
    <w:unhideWhenUsed/>
    <w:rsid w:val="006D0571"/>
    <w:pPr>
      <w:spacing w:before="100" w:beforeAutospacing="1" w:after="100" w:afterAutospacing="1" w:line="240" w:lineRule="auto"/>
    </w:pPr>
    <w:rPr>
      <w:rFonts w:ascii="Times New Roman" w:eastAsia="Times New Roman" w:hAnsi="Times New Roman" w:cs="Times New Roman"/>
      <w:sz w:val="24"/>
      <w:szCs w:val="24"/>
      <w:lang w:eastAsia="nl-NL"/>
    </w:rPr>
  </w:style>
  <w:style w:type="table" w:customStyle="1" w:styleId="GridTable1Light1">
    <w:name w:val="Grid Table 1 Light1"/>
    <w:basedOn w:val="Standaardtabel"/>
    <w:uiPriority w:val="46"/>
    <w:rsid w:val="00175812"/>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Kop4Char">
    <w:name w:val="Kop 4 Char"/>
    <w:basedOn w:val="Standaardalinea-lettertype"/>
    <w:link w:val="Kop4"/>
    <w:uiPriority w:val="9"/>
    <w:rsid w:val="004A6839"/>
    <w:rPr>
      <w:rFonts w:ascii="Times New Roman" w:eastAsiaTheme="majorEastAsia" w:hAnsi="Times New Roman" w:cstheme="majorBidi"/>
      <w:i/>
      <w:iCs/>
      <w:color w:val="365F91" w:themeColor="accent1" w:themeShade="BF"/>
      <w:sz w:val="24"/>
      <w:szCs w:val="24"/>
      <w:lang w:eastAsia="nl-NL"/>
    </w:rPr>
  </w:style>
  <w:style w:type="character" w:customStyle="1" w:styleId="Kop5Char">
    <w:name w:val="Kop 5 Char"/>
    <w:basedOn w:val="Standaardalinea-lettertype"/>
    <w:link w:val="Kop5"/>
    <w:uiPriority w:val="9"/>
    <w:semiHidden/>
    <w:rsid w:val="004A6839"/>
    <w:rPr>
      <w:rFonts w:ascii="Times New Roman" w:eastAsiaTheme="majorEastAsia" w:hAnsi="Times New Roman" w:cstheme="majorBidi"/>
      <w:color w:val="365F91" w:themeColor="accent1" w:themeShade="BF"/>
      <w:sz w:val="24"/>
      <w:szCs w:val="24"/>
      <w:lang w:eastAsia="nl-NL"/>
    </w:rPr>
  </w:style>
  <w:style w:type="character" w:customStyle="1" w:styleId="Kop6Char">
    <w:name w:val="Kop 6 Char"/>
    <w:basedOn w:val="Standaardalinea-lettertype"/>
    <w:link w:val="Kop6"/>
    <w:uiPriority w:val="9"/>
    <w:semiHidden/>
    <w:rsid w:val="004A6839"/>
    <w:rPr>
      <w:rFonts w:ascii="Times New Roman" w:eastAsiaTheme="majorEastAsia" w:hAnsi="Times New Roman" w:cstheme="majorBidi"/>
      <w:i/>
      <w:iCs/>
      <w:color w:val="595959" w:themeColor="text1" w:themeTint="A6"/>
      <w:sz w:val="24"/>
      <w:szCs w:val="24"/>
      <w:lang w:eastAsia="nl-NL"/>
    </w:rPr>
  </w:style>
  <w:style w:type="character" w:customStyle="1" w:styleId="Kop7Char">
    <w:name w:val="Kop 7 Char"/>
    <w:basedOn w:val="Standaardalinea-lettertype"/>
    <w:link w:val="Kop7"/>
    <w:uiPriority w:val="9"/>
    <w:semiHidden/>
    <w:rsid w:val="004A6839"/>
    <w:rPr>
      <w:rFonts w:ascii="Times New Roman" w:eastAsiaTheme="majorEastAsia" w:hAnsi="Times New Roman" w:cstheme="majorBidi"/>
      <w:color w:val="595959" w:themeColor="text1" w:themeTint="A6"/>
      <w:sz w:val="24"/>
      <w:szCs w:val="24"/>
      <w:lang w:eastAsia="nl-NL"/>
    </w:rPr>
  </w:style>
  <w:style w:type="character" w:customStyle="1" w:styleId="Kop8Char">
    <w:name w:val="Kop 8 Char"/>
    <w:basedOn w:val="Standaardalinea-lettertype"/>
    <w:link w:val="Kop8"/>
    <w:uiPriority w:val="9"/>
    <w:semiHidden/>
    <w:rsid w:val="004A6839"/>
    <w:rPr>
      <w:rFonts w:ascii="Times New Roman" w:eastAsiaTheme="majorEastAsia" w:hAnsi="Times New Roman" w:cstheme="majorBidi"/>
      <w:i/>
      <w:iCs/>
      <w:color w:val="272727" w:themeColor="text1" w:themeTint="D8"/>
      <w:sz w:val="24"/>
      <w:szCs w:val="24"/>
      <w:lang w:eastAsia="nl-NL"/>
    </w:rPr>
  </w:style>
  <w:style w:type="character" w:customStyle="1" w:styleId="Kop9Char">
    <w:name w:val="Kop 9 Char"/>
    <w:basedOn w:val="Standaardalinea-lettertype"/>
    <w:link w:val="Kop9"/>
    <w:uiPriority w:val="9"/>
    <w:semiHidden/>
    <w:rsid w:val="004A6839"/>
    <w:rPr>
      <w:rFonts w:ascii="Times New Roman" w:eastAsiaTheme="majorEastAsia" w:hAnsi="Times New Roman" w:cstheme="majorBidi"/>
      <w:color w:val="272727" w:themeColor="text1" w:themeTint="D8"/>
      <w:sz w:val="24"/>
      <w:szCs w:val="24"/>
      <w:lang w:eastAsia="nl-NL"/>
    </w:rPr>
  </w:style>
  <w:style w:type="character" w:styleId="Paginanummer">
    <w:name w:val="page number"/>
    <w:basedOn w:val="Standaardalinea-lettertype"/>
    <w:uiPriority w:val="99"/>
    <w:semiHidden/>
    <w:unhideWhenUsed/>
    <w:rsid w:val="004A6839"/>
  </w:style>
  <w:style w:type="paragraph" w:styleId="Lijstnummering4">
    <w:name w:val="List Number 4"/>
    <w:basedOn w:val="Standaard"/>
    <w:uiPriority w:val="99"/>
    <w:semiHidden/>
    <w:unhideWhenUsed/>
    <w:rsid w:val="004A6839"/>
    <w:pPr>
      <w:numPr>
        <w:numId w:val="2"/>
      </w:numPr>
      <w:tabs>
        <w:tab w:val="left" w:pos="1134"/>
      </w:tabs>
      <w:spacing w:after="0" w:line="240" w:lineRule="auto"/>
      <w:ind w:left="0" w:firstLine="0"/>
      <w:contextualSpacing/>
    </w:pPr>
    <w:rPr>
      <w:rFonts w:ascii="Times New Roman" w:eastAsia="Times New Roman" w:hAnsi="Times New Roman" w:cs="Times New Roman"/>
      <w:sz w:val="24"/>
      <w:szCs w:val="24"/>
      <w:lang w:eastAsia="nl-NL"/>
    </w:rPr>
  </w:style>
  <w:style w:type="paragraph" w:styleId="Plattetekst">
    <w:name w:val="Body Text"/>
    <w:basedOn w:val="Standaard"/>
    <w:link w:val="PlattetekstChar"/>
    <w:uiPriority w:val="1"/>
    <w:rsid w:val="004A6839"/>
    <w:pPr>
      <w:spacing w:after="0" w:line="240" w:lineRule="auto"/>
      <w:ind w:left="567"/>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uiPriority w:val="1"/>
    <w:rsid w:val="004A6839"/>
    <w:rPr>
      <w:rFonts w:ascii="Times New Roman" w:eastAsia="Times New Roman" w:hAnsi="Times New Roman"/>
      <w:sz w:val="24"/>
      <w:szCs w:val="24"/>
      <w:lang w:eastAsia="nl-NL"/>
    </w:rPr>
  </w:style>
  <w:style w:type="paragraph" w:styleId="Inhopg1">
    <w:name w:val="toc 1"/>
    <w:basedOn w:val="Standaard"/>
    <w:next w:val="Standaard"/>
    <w:autoRedefine/>
    <w:uiPriority w:val="39"/>
    <w:unhideWhenUsed/>
    <w:rsid w:val="004A6839"/>
    <w:pPr>
      <w:spacing w:after="100" w:line="240" w:lineRule="auto"/>
    </w:pPr>
    <w:rPr>
      <w:rFonts w:ascii="Times New Roman" w:eastAsia="Times New Roman" w:hAnsi="Times New Roman" w:cs="Times New Roman"/>
      <w:sz w:val="24"/>
      <w:szCs w:val="24"/>
      <w:lang w:eastAsia="nl-NL"/>
    </w:rPr>
  </w:style>
  <w:style w:type="paragraph" w:styleId="Inhopg2">
    <w:name w:val="toc 2"/>
    <w:basedOn w:val="Standaard"/>
    <w:next w:val="Standaard"/>
    <w:autoRedefine/>
    <w:uiPriority w:val="39"/>
    <w:unhideWhenUsed/>
    <w:rsid w:val="004A6839"/>
    <w:pPr>
      <w:spacing w:after="100" w:line="240" w:lineRule="auto"/>
      <w:ind w:left="240"/>
    </w:pPr>
    <w:rPr>
      <w:rFonts w:ascii="Times New Roman" w:eastAsia="Times New Roman" w:hAnsi="Times New Roman" w:cs="Times New Roman"/>
      <w:sz w:val="24"/>
      <w:szCs w:val="24"/>
      <w:lang w:eastAsia="nl-NL"/>
    </w:rPr>
  </w:style>
  <w:style w:type="paragraph" w:styleId="Inhopg3">
    <w:name w:val="toc 3"/>
    <w:basedOn w:val="Standaard"/>
    <w:next w:val="Standaard"/>
    <w:autoRedefine/>
    <w:uiPriority w:val="39"/>
    <w:unhideWhenUsed/>
    <w:rsid w:val="004A6839"/>
    <w:pPr>
      <w:spacing w:after="100" w:line="240" w:lineRule="auto"/>
      <w:ind w:left="480"/>
    </w:pPr>
    <w:rPr>
      <w:rFonts w:ascii="Times New Roman" w:eastAsia="Times New Roman" w:hAnsi="Times New Roman" w:cs="Times New Roman"/>
      <w:sz w:val="24"/>
      <w:szCs w:val="24"/>
      <w:lang w:eastAsia="nl-NL"/>
    </w:rPr>
  </w:style>
  <w:style w:type="paragraph" w:customStyle="1" w:styleId="Kadertekst">
    <w:name w:val="Kader tekst"/>
    <w:basedOn w:val="Plattetekst"/>
    <w:uiPriority w:val="9"/>
    <w:qFormat/>
    <w:rsid w:val="004A6839"/>
    <w:pPr>
      <w:ind w:left="0"/>
    </w:pPr>
  </w:style>
  <w:style w:type="paragraph" w:styleId="Ondertitel">
    <w:name w:val="Subtitle"/>
    <w:basedOn w:val="Standaard"/>
    <w:next w:val="Standaard"/>
    <w:link w:val="OndertitelChar"/>
    <w:uiPriority w:val="11"/>
    <w:qFormat/>
    <w:locked/>
    <w:rsid w:val="004A6839"/>
    <w:pPr>
      <w:numPr>
        <w:ilvl w:val="1"/>
      </w:numPr>
      <w:spacing w:after="160" w:line="240" w:lineRule="auto"/>
    </w:pPr>
    <w:rPr>
      <w:rFonts w:ascii="Times New Roman" w:eastAsiaTheme="majorEastAsia" w:hAnsi="Times New Roman" w:cstheme="majorBidi"/>
      <w:color w:val="595959" w:themeColor="text1" w:themeTint="A6"/>
      <w:spacing w:val="15"/>
      <w:sz w:val="28"/>
      <w:szCs w:val="28"/>
      <w:lang w:eastAsia="nl-NL"/>
    </w:rPr>
  </w:style>
  <w:style w:type="character" w:customStyle="1" w:styleId="OndertitelChar">
    <w:name w:val="Ondertitel Char"/>
    <w:basedOn w:val="Standaardalinea-lettertype"/>
    <w:link w:val="Ondertitel"/>
    <w:uiPriority w:val="11"/>
    <w:rsid w:val="004A6839"/>
    <w:rPr>
      <w:rFonts w:ascii="Times New Roman" w:eastAsiaTheme="majorEastAsia" w:hAnsi="Times New Roman" w:cstheme="majorBidi"/>
      <w:color w:val="595959" w:themeColor="text1" w:themeTint="A6"/>
      <w:spacing w:val="15"/>
      <w:sz w:val="28"/>
      <w:szCs w:val="28"/>
      <w:lang w:eastAsia="nl-NL"/>
    </w:rPr>
  </w:style>
  <w:style w:type="paragraph" w:styleId="Citaat">
    <w:name w:val="Quote"/>
    <w:basedOn w:val="Standaard"/>
    <w:next w:val="Standaard"/>
    <w:link w:val="CitaatChar"/>
    <w:uiPriority w:val="29"/>
    <w:qFormat/>
    <w:rsid w:val="004A6839"/>
    <w:pPr>
      <w:spacing w:before="160" w:after="160" w:line="240" w:lineRule="auto"/>
      <w:jc w:val="center"/>
    </w:pPr>
    <w:rPr>
      <w:rFonts w:ascii="Times New Roman" w:eastAsia="Times New Roman" w:hAnsi="Times New Roman" w:cs="Times New Roman"/>
      <w:i/>
      <w:iCs/>
      <w:color w:val="404040" w:themeColor="text1" w:themeTint="BF"/>
      <w:sz w:val="24"/>
      <w:szCs w:val="24"/>
      <w:lang w:eastAsia="nl-NL"/>
    </w:rPr>
  </w:style>
  <w:style w:type="character" w:customStyle="1" w:styleId="CitaatChar">
    <w:name w:val="Citaat Char"/>
    <w:basedOn w:val="Standaardalinea-lettertype"/>
    <w:link w:val="Citaat"/>
    <w:uiPriority w:val="29"/>
    <w:rsid w:val="004A6839"/>
    <w:rPr>
      <w:rFonts w:ascii="Times New Roman" w:eastAsia="Times New Roman" w:hAnsi="Times New Roman"/>
      <w:i/>
      <w:iCs/>
      <w:color w:val="404040" w:themeColor="text1" w:themeTint="BF"/>
      <w:sz w:val="24"/>
      <w:szCs w:val="24"/>
      <w:lang w:eastAsia="nl-NL"/>
    </w:rPr>
  </w:style>
  <w:style w:type="character" w:styleId="Intensievebenadrukking">
    <w:name w:val="Intense Emphasis"/>
    <w:basedOn w:val="Standaardalinea-lettertype"/>
    <w:uiPriority w:val="21"/>
    <w:qFormat/>
    <w:rsid w:val="004A6839"/>
    <w:rPr>
      <w:i/>
      <w:iCs/>
      <w:color w:val="365F91" w:themeColor="accent1" w:themeShade="BF"/>
    </w:rPr>
  </w:style>
  <w:style w:type="paragraph" w:styleId="Duidelijkcitaat">
    <w:name w:val="Intense Quote"/>
    <w:basedOn w:val="Standaard"/>
    <w:next w:val="Standaard"/>
    <w:link w:val="DuidelijkcitaatChar"/>
    <w:uiPriority w:val="30"/>
    <w:qFormat/>
    <w:rsid w:val="004A6839"/>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imes New Roman" w:hAnsi="Times New Roman" w:cs="Times New Roman"/>
      <w:i/>
      <w:iCs/>
      <w:color w:val="365F91" w:themeColor="accent1" w:themeShade="BF"/>
      <w:sz w:val="24"/>
      <w:szCs w:val="24"/>
      <w:lang w:eastAsia="nl-NL"/>
    </w:rPr>
  </w:style>
  <w:style w:type="character" w:customStyle="1" w:styleId="DuidelijkcitaatChar">
    <w:name w:val="Duidelijk citaat Char"/>
    <w:basedOn w:val="Standaardalinea-lettertype"/>
    <w:link w:val="Duidelijkcitaat"/>
    <w:uiPriority w:val="30"/>
    <w:rsid w:val="004A6839"/>
    <w:rPr>
      <w:rFonts w:ascii="Times New Roman" w:eastAsia="Times New Roman" w:hAnsi="Times New Roman"/>
      <w:i/>
      <w:iCs/>
      <w:color w:val="365F91" w:themeColor="accent1" w:themeShade="BF"/>
      <w:sz w:val="24"/>
      <w:szCs w:val="24"/>
      <w:lang w:eastAsia="nl-NL"/>
    </w:rPr>
  </w:style>
  <w:style w:type="character" w:styleId="Intensieveverwijzing">
    <w:name w:val="Intense Reference"/>
    <w:basedOn w:val="Standaardalinea-lettertype"/>
    <w:uiPriority w:val="32"/>
    <w:qFormat/>
    <w:rsid w:val="004A6839"/>
    <w:rPr>
      <w:b/>
      <w:bCs/>
      <w:smallCaps/>
      <w:color w:val="365F91" w:themeColor="accent1" w:themeShade="BF"/>
      <w:spacing w:val="5"/>
    </w:rPr>
  </w:style>
  <w:style w:type="character" w:customStyle="1" w:styleId="zsysVeldMarkering">
    <w:name w:val="zsysVeldMarkering"/>
    <w:basedOn w:val="Standaardalinea-lettertype"/>
    <w:uiPriority w:val="40"/>
    <w:semiHidden/>
    <w:rsid w:val="004A6839"/>
    <w:rPr>
      <w:bdr w:val="none" w:sz="0" w:space="0" w:color="auto"/>
      <w:shd w:val="clear" w:color="auto" w:fill="A0C4E8"/>
    </w:rPr>
  </w:style>
  <w:style w:type="paragraph" w:customStyle="1" w:styleId="Inleiding">
    <w:name w:val="Inleiding"/>
    <w:next w:val="Standaard"/>
    <w:uiPriority w:val="1"/>
    <w:rsid w:val="004A6839"/>
    <w:pPr>
      <w:framePr w:wrap="around" w:vAnchor="text" w:hAnchor="text" w:y="1"/>
    </w:pPr>
    <w:rPr>
      <w:rFonts w:ascii="Times New Roman" w:eastAsiaTheme="minorHAnsi" w:hAnsi="Times New Roman" w:cstheme="minorBidi"/>
      <w:sz w:val="24"/>
      <w:szCs w:val="24"/>
    </w:rPr>
  </w:style>
  <w:style w:type="paragraph" w:customStyle="1" w:styleId="OpsommingN1Bullet">
    <w:name w:val="Opsomming N1 Bullet"/>
    <w:basedOn w:val="Plattetekst"/>
    <w:uiPriority w:val="4"/>
    <w:qFormat/>
    <w:rsid w:val="004A6839"/>
    <w:pPr>
      <w:numPr>
        <w:numId w:val="3"/>
      </w:numPr>
      <w:tabs>
        <w:tab w:val="clear" w:pos="284"/>
      </w:tabs>
      <w:ind w:left="0" w:firstLine="0"/>
    </w:pPr>
  </w:style>
  <w:style w:type="paragraph" w:customStyle="1" w:styleId="Plattetekstinspring">
    <w:name w:val="Platte tekst inspring"/>
    <w:basedOn w:val="Plattetekst"/>
    <w:uiPriority w:val="1"/>
    <w:qFormat/>
    <w:rsid w:val="004A6839"/>
    <w:pPr>
      <w:ind w:left="851"/>
    </w:pPr>
  </w:style>
  <w:style w:type="character" w:styleId="Zwaar">
    <w:name w:val="Strong"/>
    <w:basedOn w:val="Standaardalinea-lettertype"/>
    <w:uiPriority w:val="22"/>
    <w:qFormat/>
    <w:locked/>
    <w:rsid w:val="004A6839"/>
    <w:rPr>
      <w:b/>
      <w:bCs/>
    </w:rPr>
  </w:style>
  <w:style w:type="paragraph" w:customStyle="1" w:styleId="paragraph">
    <w:name w:val="paragraph"/>
    <w:basedOn w:val="Standaard"/>
    <w:rsid w:val="004A683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4A6839"/>
  </w:style>
  <w:style w:type="character" w:customStyle="1" w:styleId="eop">
    <w:name w:val="eop"/>
    <w:basedOn w:val="Standaardalinea-lettertype"/>
    <w:rsid w:val="004A6839"/>
  </w:style>
  <w:style w:type="character" w:styleId="GevolgdeHyperlink">
    <w:name w:val="FollowedHyperlink"/>
    <w:basedOn w:val="Standaardalinea-lettertype"/>
    <w:uiPriority w:val="99"/>
    <w:semiHidden/>
    <w:unhideWhenUsed/>
    <w:rsid w:val="004A6839"/>
    <w:rPr>
      <w:color w:val="800080" w:themeColor="followedHyperlink"/>
      <w:u w:val="single"/>
    </w:rPr>
  </w:style>
  <w:style w:type="paragraph" w:customStyle="1" w:styleId="Hoofdkop">
    <w:name w:val="Hoofdkop"/>
    <w:basedOn w:val="Kop1"/>
    <w:link w:val="HoofdkopChar"/>
    <w:qFormat/>
    <w:rsid w:val="00DB2C52"/>
    <w:pPr>
      <w:numPr>
        <w:numId w:val="15"/>
      </w:numPr>
      <w:ind w:hanging="720"/>
    </w:pPr>
  </w:style>
  <w:style w:type="character" w:customStyle="1" w:styleId="HoofdkopChar">
    <w:name w:val="Hoofdkop Char"/>
    <w:basedOn w:val="Kop1Char"/>
    <w:link w:val="Hoofdkop"/>
    <w:rsid w:val="00DB2C52"/>
    <w:rPr>
      <w:rFonts w:asciiTheme="minorHAnsi" w:eastAsia="Times New Roman" w:hAnsiTheme="minorHAnsi" w:cstheme="minorBidi"/>
      <w:b/>
      <w:bCs/>
      <w:sz w:val="28"/>
      <w:szCs w:val="28"/>
    </w:rPr>
  </w:style>
  <w:style w:type="paragraph" w:customStyle="1" w:styleId="Onderkop1">
    <w:name w:val="Onderkop 1"/>
    <w:basedOn w:val="Kop2"/>
    <w:link w:val="Onderkop1Char"/>
    <w:qFormat/>
    <w:rsid w:val="00DB2C52"/>
    <w:pPr>
      <w:ind w:left="709" w:hanging="709"/>
    </w:pPr>
  </w:style>
  <w:style w:type="character" w:customStyle="1" w:styleId="Onderkop1Char">
    <w:name w:val="Onderkop 1 Char"/>
    <w:basedOn w:val="Kop2Char"/>
    <w:link w:val="Onderkop1"/>
    <w:rsid w:val="00DB2C52"/>
    <w:rPr>
      <w:rFonts w:asciiTheme="minorHAnsi" w:eastAsia="Times New Roman" w:hAnsiTheme="minorHAnsi" w:cstheme="minorBidi"/>
      <w:bCs/>
      <w:i/>
      <w:sz w:val="26"/>
      <w:szCs w:val="26"/>
    </w:rPr>
  </w:style>
  <w:style w:type="paragraph" w:customStyle="1" w:styleId="Onderkop2">
    <w:name w:val="Onderkop 2"/>
    <w:aliases w:val="subartikel"/>
    <w:basedOn w:val="Kop2"/>
    <w:link w:val="Onderkop2Char"/>
    <w:qFormat/>
    <w:rsid w:val="008B732F"/>
    <w:pPr>
      <w:ind w:firstLine="708"/>
    </w:pPr>
    <w:rPr>
      <w:sz w:val="24"/>
      <w:szCs w:val="24"/>
    </w:rPr>
  </w:style>
  <w:style w:type="character" w:customStyle="1" w:styleId="Onderkop2Char">
    <w:name w:val="Onderkop 2 Char"/>
    <w:aliases w:val="subartikel Char"/>
    <w:basedOn w:val="Kop2Char"/>
    <w:link w:val="Onderkop2"/>
    <w:rsid w:val="008B732F"/>
    <w:rPr>
      <w:rFonts w:asciiTheme="minorHAnsi" w:eastAsia="Times New Roman" w:hAnsiTheme="minorHAnsi" w:cstheme="minorBidi"/>
      <w:bCs/>
      <w:i/>
      <w:sz w:val="24"/>
      <w:szCs w:val="24"/>
    </w:rPr>
  </w:style>
  <w:style w:type="table" w:styleId="Rastertabel4-Accent1">
    <w:name w:val="Grid Table 4 Accent 1"/>
    <w:basedOn w:val="Standaardtabel"/>
    <w:uiPriority w:val="49"/>
    <w:rsid w:val="00906BF5"/>
    <w:rPr>
      <w:rFonts w:asciiTheme="minorHAnsi" w:eastAsiaTheme="minorEastAsia" w:hAnsiTheme="minorHAnsi" w:cstheme="minorBidi"/>
      <w:sz w:val="24"/>
      <w:szCs w:val="24"/>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4F81BD"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Vermelding">
    <w:name w:val="Mention"/>
    <w:basedOn w:val="Standaardalinea-lettertype"/>
    <w:uiPriority w:val="99"/>
    <w:unhideWhenUsed/>
    <w:rsid w:val="007E129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5557">
      <w:bodyDiv w:val="1"/>
      <w:marLeft w:val="0"/>
      <w:marRight w:val="0"/>
      <w:marTop w:val="0"/>
      <w:marBottom w:val="0"/>
      <w:divBdr>
        <w:top w:val="none" w:sz="0" w:space="0" w:color="auto"/>
        <w:left w:val="none" w:sz="0" w:space="0" w:color="auto"/>
        <w:bottom w:val="none" w:sz="0" w:space="0" w:color="auto"/>
        <w:right w:val="none" w:sz="0" w:space="0" w:color="auto"/>
      </w:divBdr>
    </w:div>
    <w:div w:id="149368822">
      <w:bodyDiv w:val="1"/>
      <w:marLeft w:val="0"/>
      <w:marRight w:val="0"/>
      <w:marTop w:val="0"/>
      <w:marBottom w:val="0"/>
      <w:divBdr>
        <w:top w:val="none" w:sz="0" w:space="0" w:color="auto"/>
        <w:left w:val="none" w:sz="0" w:space="0" w:color="auto"/>
        <w:bottom w:val="none" w:sz="0" w:space="0" w:color="auto"/>
        <w:right w:val="none" w:sz="0" w:space="0" w:color="auto"/>
      </w:divBdr>
    </w:div>
    <w:div w:id="202407381">
      <w:bodyDiv w:val="1"/>
      <w:marLeft w:val="0"/>
      <w:marRight w:val="0"/>
      <w:marTop w:val="0"/>
      <w:marBottom w:val="0"/>
      <w:divBdr>
        <w:top w:val="none" w:sz="0" w:space="0" w:color="auto"/>
        <w:left w:val="none" w:sz="0" w:space="0" w:color="auto"/>
        <w:bottom w:val="none" w:sz="0" w:space="0" w:color="auto"/>
        <w:right w:val="none" w:sz="0" w:space="0" w:color="auto"/>
      </w:divBdr>
    </w:div>
    <w:div w:id="316302214">
      <w:bodyDiv w:val="1"/>
      <w:marLeft w:val="0"/>
      <w:marRight w:val="0"/>
      <w:marTop w:val="0"/>
      <w:marBottom w:val="0"/>
      <w:divBdr>
        <w:top w:val="none" w:sz="0" w:space="0" w:color="auto"/>
        <w:left w:val="none" w:sz="0" w:space="0" w:color="auto"/>
        <w:bottom w:val="none" w:sz="0" w:space="0" w:color="auto"/>
        <w:right w:val="none" w:sz="0" w:space="0" w:color="auto"/>
      </w:divBdr>
    </w:div>
    <w:div w:id="436752964">
      <w:bodyDiv w:val="1"/>
      <w:marLeft w:val="0"/>
      <w:marRight w:val="0"/>
      <w:marTop w:val="0"/>
      <w:marBottom w:val="0"/>
      <w:divBdr>
        <w:top w:val="none" w:sz="0" w:space="0" w:color="auto"/>
        <w:left w:val="none" w:sz="0" w:space="0" w:color="auto"/>
        <w:bottom w:val="none" w:sz="0" w:space="0" w:color="auto"/>
        <w:right w:val="none" w:sz="0" w:space="0" w:color="auto"/>
      </w:divBdr>
    </w:div>
    <w:div w:id="448547979">
      <w:bodyDiv w:val="1"/>
      <w:marLeft w:val="0"/>
      <w:marRight w:val="0"/>
      <w:marTop w:val="0"/>
      <w:marBottom w:val="0"/>
      <w:divBdr>
        <w:top w:val="none" w:sz="0" w:space="0" w:color="auto"/>
        <w:left w:val="none" w:sz="0" w:space="0" w:color="auto"/>
        <w:bottom w:val="none" w:sz="0" w:space="0" w:color="auto"/>
        <w:right w:val="none" w:sz="0" w:space="0" w:color="auto"/>
      </w:divBdr>
    </w:div>
    <w:div w:id="491988042">
      <w:bodyDiv w:val="1"/>
      <w:marLeft w:val="0"/>
      <w:marRight w:val="0"/>
      <w:marTop w:val="0"/>
      <w:marBottom w:val="0"/>
      <w:divBdr>
        <w:top w:val="none" w:sz="0" w:space="0" w:color="auto"/>
        <w:left w:val="none" w:sz="0" w:space="0" w:color="auto"/>
        <w:bottom w:val="none" w:sz="0" w:space="0" w:color="auto"/>
        <w:right w:val="none" w:sz="0" w:space="0" w:color="auto"/>
      </w:divBdr>
    </w:div>
    <w:div w:id="1035690340">
      <w:bodyDiv w:val="1"/>
      <w:marLeft w:val="0"/>
      <w:marRight w:val="0"/>
      <w:marTop w:val="0"/>
      <w:marBottom w:val="0"/>
      <w:divBdr>
        <w:top w:val="none" w:sz="0" w:space="0" w:color="auto"/>
        <w:left w:val="none" w:sz="0" w:space="0" w:color="auto"/>
        <w:bottom w:val="none" w:sz="0" w:space="0" w:color="auto"/>
        <w:right w:val="none" w:sz="0" w:space="0" w:color="auto"/>
      </w:divBdr>
    </w:div>
    <w:div w:id="1104031418">
      <w:bodyDiv w:val="1"/>
      <w:marLeft w:val="0"/>
      <w:marRight w:val="0"/>
      <w:marTop w:val="0"/>
      <w:marBottom w:val="0"/>
      <w:divBdr>
        <w:top w:val="none" w:sz="0" w:space="0" w:color="auto"/>
        <w:left w:val="none" w:sz="0" w:space="0" w:color="auto"/>
        <w:bottom w:val="none" w:sz="0" w:space="0" w:color="auto"/>
        <w:right w:val="none" w:sz="0" w:space="0" w:color="auto"/>
      </w:divBdr>
    </w:div>
    <w:div w:id="1222982561">
      <w:bodyDiv w:val="1"/>
      <w:marLeft w:val="0"/>
      <w:marRight w:val="0"/>
      <w:marTop w:val="0"/>
      <w:marBottom w:val="0"/>
      <w:divBdr>
        <w:top w:val="none" w:sz="0" w:space="0" w:color="auto"/>
        <w:left w:val="none" w:sz="0" w:space="0" w:color="auto"/>
        <w:bottom w:val="none" w:sz="0" w:space="0" w:color="auto"/>
        <w:right w:val="none" w:sz="0" w:space="0" w:color="auto"/>
      </w:divBdr>
    </w:div>
    <w:div w:id="1451437984">
      <w:bodyDiv w:val="1"/>
      <w:marLeft w:val="0"/>
      <w:marRight w:val="0"/>
      <w:marTop w:val="0"/>
      <w:marBottom w:val="0"/>
      <w:divBdr>
        <w:top w:val="none" w:sz="0" w:space="0" w:color="auto"/>
        <w:left w:val="none" w:sz="0" w:space="0" w:color="auto"/>
        <w:bottom w:val="none" w:sz="0" w:space="0" w:color="auto"/>
        <w:right w:val="none" w:sz="0" w:space="0" w:color="auto"/>
      </w:divBdr>
    </w:div>
    <w:div w:id="1593467924">
      <w:bodyDiv w:val="1"/>
      <w:marLeft w:val="0"/>
      <w:marRight w:val="0"/>
      <w:marTop w:val="0"/>
      <w:marBottom w:val="0"/>
      <w:divBdr>
        <w:top w:val="none" w:sz="0" w:space="0" w:color="auto"/>
        <w:left w:val="none" w:sz="0" w:space="0" w:color="auto"/>
        <w:bottom w:val="none" w:sz="0" w:space="0" w:color="auto"/>
        <w:right w:val="none" w:sz="0" w:space="0" w:color="auto"/>
      </w:divBdr>
    </w:div>
    <w:div w:id="1621911674">
      <w:bodyDiv w:val="1"/>
      <w:marLeft w:val="0"/>
      <w:marRight w:val="0"/>
      <w:marTop w:val="0"/>
      <w:marBottom w:val="0"/>
      <w:divBdr>
        <w:top w:val="none" w:sz="0" w:space="0" w:color="auto"/>
        <w:left w:val="none" w:sz="0" w:space="0" w:color="auto"/>
        <w:bottom w:val="none" w:sz="0" w:space="0" w:color="auto"/>
        <w:right w:val="none" w:sz="0" w:space="0" w:color="auto"/>
      </w:divBdr>
    </w:div>
    <w:div w:id="1954628644">
      <w:bodyDiv w:val="1"/>
      <w:marLeft w:val="0"/>
      <w:marRight w:val="0"/>
      <w:marTop w:val="0"/>
      <w:marBottom w:val="0"/>
      <w:divBdr>
        <w:top w:val="none" w:sz="0" w:space="0" w:color="auto"/>
        <w:left w:val="none" w:sz="0" w:space="0" w:color="auto"/>
        <w:bottom w:val="none" w:sz="0" w:space="0" w:color="auto"/>
        <w:right w:val="none" w:sz="0" w:space="0" w:color="auto"/>
      </w:divBdr>
    </w:div>
    <w:div w:id="1984576648">
      <w:bodyDiv w:val="1"/>
      <w:marLeft w:val="0"/>
      <w:marRight w:val="0"/>
      <w:marTop w:val="0"/>
      <w:marBottom w:val="0"/>
      <w:divBdr>
        <w:top w:val="none" w:sz="0" w:space="0" w:color="auto"/>
        <w:left w:val="none" w:sz="0" w:space="0" w:color="auto"/>
        <w:bottom w:val="none" w:sz="0" w:space="0" w:color="auto"/>
        <w:right w:val="none" w:sz="0" w:space="0" w:color="auto"/>
      </w:divBdr>
    </w:div>
    <w:div w:id="202474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justis.nl"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etten.overheid.nl/jci1.3:c:BWBR0036096&amp;hoofdstuk=1&amp;artikel=1&amp;z=2024-05-30&amp;g=2024-05-30" TargetMode="External"/><Relationship Id="rId2" Type="http://schemas.openxmlformats.org/officeDocument/2006/relationships/customXml" Target="../customXml/item2.xml"/><Relationship Id="rId16" Type="http://schemas.openxmlformats.org/officeDocument/2006/relationships/hyperlink" Target="https://wetten.overheid.nl/jci1.3:c:BWBR0035733&amp;hoofdstuk=1&amp;artikel=1.1&amp;z=2024-07-01&amp;g=2024-07-0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etten.overheid.nl/jci1.3:c:BWBR0035362&amp;hoofdstuk=1&amp;paragraaf=1&amp;artikel=1.1.1&amp;z=2024-07-01&amp;g=2024-07-01"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degeschillencommissiezorg.nl/over-ons/zorgcommissies/sociaal-domein-inkoop-jeugdwet-en-wm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87D7B5BB1CBA4F90F9719FF3F843C0" ma:contentTypeVersion="4" ma:contentTypeDescription="Een nieuw document maken." ma:contentTypeScope="" ma:versionID="98ea0b148f28a30f27013fc96f626cf8">
  <xsd:schema xmlns:xsd="http://www.w3.org/2001/XMLSchema" xmlns:xs="http://www.w3.org/2001/XMLSchema" xmlns:p="http://schemas.microsoft.com/office/2006/metadata/properties" xmlns:ns2="e50bb7f6-1799-4197-9919-425fe0b5a183" xmlns:ns3="daa4b93a-e401-463b-9485-f1a8626bb410" targetNamespace="http://schemas.microsoft.com/office/2006/metadata/properties" ma:root="true" ma:fieldsID="18d7ab135176ebf4493f40e80009244a" ns2:_="" ns3:_="">
    <xsd:import namespace="e50bb7f6-1799-4197-9919-425fe0b5a183"/>
    <xsd:import namespace="daa4b93a-e401-463b-9485-f1a8626bb410"/>
    <xsd:element name="properties">
      <xsd:complexType>
        <xsd:sequence>
          <xsd:element name="documentManagement">
            <xsd:complexType>
              <xsd:all>
                <xsd:element ref="ns2:Vernietigingsdatum" minOccurs="0"/>
                <xsd:element ref="ns3:MediaServiceFastMetadata" minOccurs="0"/>
                <xsd:element ref="ns3:MediaServiceSearchProperties" minOccurs="0"/>
                <xsd:element ref="ns3:MediaServiceObjectDetectorVersions" minOccurs="0"/>
                <xsd:element ref="ns3: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bb7f6-1799-4197-9919-425fe0b5a183" elementFormDefault="qualified">
    <xsd:import namespace="http://schemas.microsoft.com/office/2006/documentManagement/types"/>
    <xsd:import namespace="http://schemas.microsoft.com/office/infopath/2007/PartnerControls"/>
    <xsd:element name="Vernietigingsdatum" ma:index="8" nillable="true" ma:displayName="Vernietigingsdatum" ma:format="DateOnly" ma:hidden="true" ma:internalName="Vernietigingsdatum"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aa4b93a-e401-463b-9485-f1a8626bb410"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f08ba3-c1db-409b-a945-a885b0896f61"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ernietigingsdatum xmlns="e50bb7f6-1799-4197-9919-425fe0b5a183" xsi:nil="true"/>
  </documentManagement>
</p:properties>
</file>

<file path=customXml/itemProps1.xml><?xml version="1.0" encoding="utf-8"?>
<ds:datastoreItem xmlns:ds="http://schemas.openxmlformats.org/officeDocument/2006/customXml" ds:itemID="{ACFE040A-BD53-457E-8CC0-794FCD88D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bb7f6-1799-4197-9919-425fe0b5a183"/>
    <ds:schemaRef ds:uri="daa4b93a-e401-463b-9485-f1a8626bb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04D262-43C0-43FB-933D-A8FAEF7CFD4B}">
  <ds:schemaRefs>
    <ds:schemaRef ds:uri="http://schemas.openxmlformats.org/officeDocument/2006/bibliography"/>
  </ds:schemaRefs>
</ds:datastoreItem>
</file>

<file path=customXml/itemProps3.xml><?xml version="1.0" encoding="utf-8"?>
<ds:datastoreItem xmlns:ds="http://schemas.openxmlformats.org/officeDocument/2006/customXml" ds:itemID="{E6B5F52E-D432-4F04-AF5C-1156AEB412C8}">
  <ds:schemaRefs>
    <ds:schemaRef ds:uri="Microsoft.SharePoint.Taxonomy.ContentTypeSync"/>
  </ds:schemaRefs>
</ds:datastoreItem>
</file>

<file path=customXml/itemProps4.xml><?xml version="1.0" encoding="utf-8"?>
<ds:datastoreItem xmlns:ds="http://schemas.openxmlformats.org/officeDocument/2006/customXml" ds:itemID="{848B60A9-1654-4479-975F-F5FD703F2A95}">
  <ds:schemaRefs>
    <ds:schemaRef ds:uri="http://schemas.microsoft.com/sharepoint/v3/contenttype/forms"/>
  </ds:schemaRefs>
</ds:datastoreItem>
</file>

<file path=customXml/itemProps5.xml><?xml version="1.0" encoding="utf-8"?>
<ds:datastoreItem xmlns:ds="http://schemas.openxmlformats.org/officeDocument/2006/customXml" ds:itemID="{9A353EE4-9BDB-4B28-B87B-78AD228E8CE1}">
  <ds:schemaRefs>
    <ds:schemaRef ds:uri="http://schemas.microsoft.com/office/2006/metadata/properties"/>
    <ds:schemaRef ds:uri="http://schemas.microsoft.com/office/infopath/2007/PartnerControls"/>
    <ds:schemaRef ds:uri="e50bb7f6-1799-4197-9919-425fe0b5a183"/>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22</Pages>
  <Words>5953</Words>
  <Characters>32742</Characters>
  <Application>Microsoft Office Word</Application>
  <DocSecurity>0</DocSecurity>
  <Lines>272</Lines>
  <Paragraphs>77</Paragraphs>
  <ScaleCrop>false</ScaleCrop>
  <Company>Gemeente Oss</Company>
  <LinksUpToDate>false</LinksUpToDate>
  <CharactersWithSpaces>38618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ARasing</dc:creator>
  <cp:keywords/>
  <cp:lastModifiedBy>Nimwegen, Leontine van</cp:lastModifiedBy>
  <cp:revision>136</cp:revision>
  <cp:lastPrinted>2024-06-23T02:06:00Z</cp:lastPrinted>
  <dcterms:created xsi:type="dcterms:W3CDTF">2026-04-17T09:01:00Z</dcterms:created>
  <dcterms:modified xsi:type="dcterms:W3CDTF">2026-04-23T15:44:00Z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0x0101004987D7B5BB1CBA4F90F9719FF3F843C0</vt:lpwstr>
  </property>
  <property fmtid="{D5CDD505-2E9C-101B-9397-08002B2CF9AE}" pid="3" name="MediaServiceImageTags">
    <vt:lpwstr/>
  </property>
  <property fmtid="{D5CDD505-2E9C-101B-9397-08002B2CF9AE}" pid="4" name="Order">
    <vt:r8>34000</vt:r8>
  </property>
  <property fmtid="{D5CDD505-2E9C-101B-9397-08002B2CF9AE}" pid="5" name="xd_Signature">
    <vt:bool>false</vt:bool>
  </property>
  <property fmtid="{D5CDD505-2E9C-101B-9397-08002B2CF9AE}" pid="6" name="xd_ProgID">
    <vt:lpwstr/>
  </property>
  <property fmtid="{D5CDD505-2E9C-101B-9397-08002B2CF9AE}" pid="7" name="DocumentSetDescription">
    <vt:lpwstr/>
  </property>
  <property fmtid="{D5CDD505-2E9C-101B-9397-08002B2CF9AE}" pid="8" name="Documentset">
    <vt:lpwstr/>
  </property>
  <property fmtid="{D5CDD505-2E9C-101B-9397-08002B2CF9AE}" pid="9" name="DossierAfdeling">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k6bac6e1770f44b9a70ca25f0aef6288">
    <vt:lpwstr/>
  </property>
  <property fmtid="{D5CDD505-2E9C-101B-9397-08002B2CF9AE}" pid="14" name="Dossierstatus">
    <vt:lpwstr/>
  </property>
  <property fmtid="{D5CDD505-2E9C-101B-9397-08002B2CF9AE}" pid="15" name="TriggerFlowInfo">
    <vt:lpwstr/>
  </property>
  <property fmtid="{D5CDD505-2E9C-101B-9397-08002B2CF9AE}" pid="16" name="TaxCatchAll">
    <vt:lpwstr/>
  </property>
</Properties>
</file>