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524" w14:textId="5A0E2185" w:rsidR="00EB1B77" w:rsidRPr="00407430" w:rsidRDefault="00CF592F" w:rsidP="00407430">
      <w:pPr>
        <w:pStyle w:val="Kop1zondernummerVRU"/>
        <w:spacing w:before="0" w:after="280" w:line="500" w:lineRule="atLeast"/>
        <w:rPr>
          <w:color w:val="D10A0F"/>
          <w:sz w:val="40"/>
        </w:rPr>
      </w:pPr>
      <w:r w:rsidRPr="00407430">
        <w:rPr>
          <w:noProof/>
          <w:color w:val="D10A0F"/>
          <w:sz w:val="40"/>
        </w:rPr>
        <w:drawing>
          <wp:anchor distT="0" distB="0" distL="114300" distR="114300" simplePos="0" relativeHeight="251689984" behindDoc="1" locked="1" layoutInCell="1" allowOverlap="1" wp14:anchorId="7E130D39" wp14:editId="3BEF4110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49FD84E" wp14:editId="633A0BD7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10E2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4E51956" wp14:editId="2409D71A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8F2A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288DD8A3" wp14:editId="64BCB709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210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EB1B77" w:rsidRPr="00407430">
        <w:rPr>
          <w:color w:val="D10A0F"/>
          <w:sz w:val="40"/>
        </w:rPr>
        <w:t>Invulformulier 2 Verklaring combinatie</w:t>
      </w:r>
    </w:p>
    <w:p w14:paraId="590ACFB2" w14:textId="6B28D796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2F9A8E67" w14:textId="475C43BE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  <w:highlight w:val="yellow"/>
        </w:rPr>
        <w:t>[Naam]</w:t>
      </w:r>
      <w:r w:rsidRPr="00407430">
        <w:rPr>
          <w:sz w:val="18"/>
          <w:szCs w:val="18"/>
        </w:rPr>
        <w:t xml:space="preserve"> zal optreden als vertegenwoordiger van de combinatie en bevoegd is de combinatie in alle opzichten te vertegenwoordigen en te binden en als enig aanspreekpunt voor de Aanbestedende Dienst dient.</w:t>
      </w:r>
    </w:p>
    <w:p w14:paraId="117FF9E3" w14:textId="24C18054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30" w:rsidRPr="00407430">
        <w:rPr>
          <w:sz w:val="18"/>
          <w:szCs w:val="18"/>
        </w:rPr>
        <w:t>……………………………………</w:t>
      </w:r>
    </w:p>
    <w:p w14:paraId="6D0FA3C7" w14:textId="77777777" w:rsidR="00EB1B77" w:rsidRPr="00407430" w:rsidRDefault="00EB1B77" w:rsidP="00EB1B77">
      <w:pPr>
        <w:pStyle w:val="BasistekstVRU"/>
        <w:spacing w:after="0"/>
        <w:rPr>
          <w:sz w:val="18"/>
          <w:szCs w:val="18"/>
        </w:rPr>
      </w:pPr>
      <w:r w:rsidRPr="00407430">
        <w:rPr>
          <w:sz w:val="18"/>
          <w:szCs w:val="18"/>
        </w:rPr>
        <w:t xml:space="preserve">De Aanbestedende Dienst wenst te vernemen welke onderdelen van de opdracht door welke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 xml:space="preserve"> worden vervuld:</w:t>
      </w:r>
    </w:p>
    <w:p w14:paraId="3BF4E72B" w14:textId="77777777" w:rsidR="00407430" w:rsidRDefault="00407430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7707" w14:textId="7B31AE33" w:rsidR="005A17F3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zij deze verklaring naar waarheid hebben ondertekend en tevens dat zij daartoe, namens de betreffende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>, rechtens bevoegd zijn.</w:t>
      </w: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4BCBC66F" w14:textId="77777777" w:rsidTr="00407430">
        <w:tc>
          <w:tcPr>
            <w:tcW w:w="2835" w:type="dxa"/>
            <w:shd w:val="clear" w:color="auto" w:fill="FDEED9"/>
          </w:tcPr>
          <w:p w14:paraId="32D37AAE" w14:textId="17975C96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76162D1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41BEEE89" w14:textId="77777777" w:rsidTr="00407430">
        <w:tc>
          <w:tcPr>
            <w:tcW w:w="2835" w:type="dxa"/>
            <w:shd w:val="clear" w:color="auto" w:fill="FDEED9"/>
          </w:tcPr>
          <w:p w14:paraId="6388617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2102DF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8453D0A" w14:textId="77777777" w:rsidTr="00407430">
        <w:tc>
          <w:tcPr>
            <w:tcW w:w="2835" w:type="dxa"/>
            <w:shd w:val="clear" w:color="auto" w:fill="FDEED9"/>
          </w:tcPr>
          <w:p w14:paraId="54D1C6E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EC86131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11EACEC6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534370D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D4DAC05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7CD1E9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631AB05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9D97B8E" w14:textId="77777777" w:rsidTr="00407430">
        <w:tc>
          <w:tcPr>
            <w:tcW w:w="2835" w:type="dxa"/>
            <w:shd w:val="clear" w:color="auto" w:fill="FDEED9"/>
          </w:tcPr>
          <w:p w14:paraId="780B3002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03DB1C3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9C380F4" w14:textId="77777777" w:rsidR="00EB1B77" w:rsidRDefault="00EB1B77" w:rsidP="00EB1B77">
      <w:pPr>
        <w:pStyle w:val="BasistekstVRU"/>
        <w:rPr>
          <w:sz w:val="20"/>
          <w:szCs w:val="20"/>
        </w:rPr>
      </w:pP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0EB5CEE1" w14:textId="77777777" w:rsidTr="00407430">
        <w:tc>
          <w:tcPr>
            <w:tcW w:w="2835" w:type="dxa"/>
            <w:shd w:val="clear" w:color="auto" w:fill="FDEED9"/>
          </w:tcPr>
          <w:p w14:paraId="4B6CAB61" w14:textId="48F26EF4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22F7925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0C921C2D" w14:textId="77777777" w:rsidTr="00407430">
        <w:tc>
          <w:tcPr>
            <w:tcW w:w="2835" w:type="dxa"/>
            <w:shd w:val="clear" w:color="auto" w:fill="FDEED9"/>
          </w:tcPr>
          <w:p w14:paraId="6FCE34D9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54CE61F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7AF7E98F" w14:textId="77777777" w:rsidTr="00407430">
        <w:tc>
          <w:tcPr>
            <w:tcW w:w="2835" w:type="dxa"/>
            <w:shd w:val="clear" w:color="auto" w:fill="FDEED9"/>
          </w:tcPr>
          <w:p w14:paraId="5C4FA816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6F0479A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EA385DC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13C814A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DCD0E5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AB872E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56DC175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F5599D4" w14:textId="77777777" w:rsidTr="00407430">
        <w:tc>
          <w:tcPr>
            <w:tcW w:w="2835" w:type="dxa"/>
            <w:shd w:val="clear" w:color="auto" w:fill="FDEED9"/>
          </w:tcPr>
          <w:p w14:paraId="12533964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1DCD7D8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1B0551" w14:textId="77777777" w:rsidR="00EB1B77" w:rsidRPr="00EB1B77" w:rsidRDefault="00EB1B77" w:rsidP="00407430">
      <w:pPr>
        <w:pStyle w:val="BasistekstVRU"/>
        <w:rPr>
          <w:sz w:val="20"/>
          <w:szCs w:val="20"/>
        </w:rPr>
      </w:pPr>
    </w:p>
    <w:sectPr w:rsidR="00EB1B77" w:rsidRPr="00EB1B77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3179" w14:textId="77777777" w:rsidR="00EB1B77" w:rsidRDefault="00EB1B77" w:rsidP="007910B2">
      <w:pPr>
        <w:spacing w:line="240" w:lineRule="auto"/>
      </w:pPr>
      <w:r>
        <w:separator/>
      </w:r>
    </w:p>
  </w:endnote>
  <w:endnote w:type="continuationSeparator" w:id="0">
    <w:p w14:paraId="5D9B5AA3" w14:textId="77777777" w:rsidR="00EB1B77" w:rsidRDefault="00EB1B77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961F" w14:textId="77777777" w:rsidR="0074674D" w:rsidRDefault="007467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70C9EDD" w14:textId="77777777" w:rsidTr="00060370">
      <w:tc>
        <w:tcPr>
          <w:tcW w:w="1417" w:type="dxa"/>
        </w:tcPr>
        <w:p w14:paraId="7EA1FA4F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A3748FF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8646B6" w14:paraId="74D7E503" w14:textId="77777777" w:rsidTr="007B6922">
      <w:tc>
        <w:tcPr>
          <w:tcW w:w="1417" w:type="dxa"/>
        </w:tcPr>
        <w:p w14:paraId="6539C8C4" w14:textId="77777777" w:rsidR="00E230C5" w:rsidRPr="008646B6" w:rsidRDefault="00E230C5" w:rsidP="00E230C5">
          <w:pPr>
            <w:pStyle w:val="PaginanummerVRU"/>
            <w:rPr>
              <w:sz w:val="18"/>
              <w:szCs w:val="18"/>
            </w:rPr>
          </w:pPr>
          <w:r w:rsidRPr="008646B6">
            <w:rPr>
              <w:sz w:val="18"/>
              <w:szCs w:val="18"/>
            </w:rPr>
            <w:fldChar w:fldCharType="begin"/>
          </w:r>
          <w:r w:rsidRPr="008646B6">
            <w:rPr>
              <w:sz w:val="18"/>
              <w:szCs w:val="18"/>
            </w:rPr>
            <w:instrText xml:space="preserve"> PAGE   \* MERGEFORMAT </w:instrText>
          </w:r>
          <w:r w:rsidRPr="008646B6">
            <w:rPr>
              <w:sz w:val="18"/>
              <w:szCs w:val="18"/>
            </w:rPr>
            <w:fldChar w:fldCharType="separate"/>
          </w:r>
          <w:r w:rsidRPr="008646B6">
            <w:rPr>
              <w:noProof/>
              <w:sz w:val="18"/>
              <w:szCs w:val="18"/>
            </w:rPr>
            <w:t>2</w:t>
          </w:r>
          <w:r w:rsidRPr="008646B6">
            <w:rPr>
              <w:sz w:val="18"/>
              <w:szCs w:val="18"/>
            </w:rPr>
            <w:fldChar w:fldCharType="end"/>
          </w:r>
        </w:p>
      </w:tc>
    </w:tr>
  </w:tbl>
  <w:p w14:paraId="19798DD1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BB99" w14:textId="77777777" w:rsidR="00EB1B77" w:rsidRDefault="00EB1B77" w:rsidP="007910B2">
      <w:pPr>
        <w:spacing w:line="240" w:lineRule="auto"/>
      </w:pPr>
      <w:r>
        <w:separator/>
      </w:r>
    </w:p>
  </w:footnote>
  <w:footnote w:type="continuationSeparator" w:id="0">
    <w:p w14:paraId="02C4612E" w14:textId="77777777" w:rsidR="00EB1B77" w:rsidRDefault="00EB1B77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EDF4" w14:textId="77777777" w:rsidR="0074674D" w:rsidRDefault="007467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4A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C917620" wp14:editId="536D8A8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63D42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C6771BF" wp14:editId="178382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93E4E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6ED5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2B2037FC" wp14:editId="0E10988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2DB89F61" wp14:editId="1EC71D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C9DC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07430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4674D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46B6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1B77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3B42"/>
  <w15:chartTrackingRefBased/>
  <w15:docId w15:val="{57FE6704-0DD0-4BEE-9B82-A436369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EB1B77"/>
    <w:pPr>
      <w:spacing w:after="0" w:line="240" w:lineRule="atLeast"/>
    </w:pPr>
    <w:rPr>
      <w:rFonts w:eastAsia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derwerp/>
  <Uw_20_kenmerk/>
  <Ons_20_kenmerk/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163C47723DD4684025DC6A15310EA" ma:contentTypeVersion="11" ma:contentTypeDescription="Een nieuw document maken." ma:contentTypeScope="" ma:versionID="0cf48c28fd179edf1ae60df4024fccc1">
  <xsd:schema xmlns:xsd="http://www.w3.org/2001/XMLSchema" xmlns:xs="http://www.w3.org/2001/XMLSchema" xmlns:p="http://schemas.microsoft.com/office/2006/metadata/properties" xmlns:ns2="6956dc84-0419-409e-8aa2-4c25d339785c" xmlns:ns3="eb568a3c-ce42-47b3-b690-f15401372096" targetNamespace="http://schemas.microsoft.com/office/2006/metadata/properties" ma:root="true" ma:fieldsID="f4b6ea837e640d4ba2b06bd0468157c1" ns2:_="" ns3:_="">
    <xsd:import namespace="6956dc84-0419-409e-8aa2-4c25d339785c"/>
    <xsd:import namespace="eb568a3c-ce42-47b3-b690-f15401372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6dc84-0419-409e-8aa2-4c25d3397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68a3c-ce42-47b3-b690-f154013720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1b9c1-4943-4519-a6ae-5dcbb47c1984}" ma:internalName="TaxCatchAll" ma:showField="CatchAllData" ma:web="eb568a3c-ce42-47b3-b690-f15401372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568a3c-ce42-47b3-b690-f15401372096" xsi:nil="true"/>
    <lcf76f155ced4ddcb4097134ff3c332f xmlns="6956dc84-0419-409e-8aa2-4c25d3397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53C3F0D3-2066-443C-9B04-F1E534028977}"/>
</file>

<file path=customXml/itemProps4.xml><?xml version="1.0" encoding="utf-8"?>
<ds:datastoreItem xmlns:ds="http://schemas.openxmlformats.org/officeDocument/2006/customXml" ds:itemID="{F5EF486E-9F94-41C7-B72A-1A27A352FFDD}"/>
</file>

<file path=customXml/itemProps5.xml><?xml version="1.0" encoding="utf-8"?>
<ds:datastoreItem xmlns:ds="http://schemas.openxmlformats.org/officeDocument/2006/customXml" ds:itemID="{C5C7E984-2EEA-46D2-A476-173D50E99723}"/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10</TotalTime>
  <Pages>1</Pages>
  <Words>136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Nowee, Petra</cp:lastModifiedBy>
  <cp:revision>3</cp:revision>
  <cp:lastPrinted>2023-10-02T13:24:00Z</cp:lastPrinted>
  <dcterms:created xsi:type="dcterms:W3CDTF">2023-11-10T13:00:00Z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  <property fmtid="{D5CDD505-2E9C-101B-9397-08002B2CF9AE}" pid="3" name="ContentTypeId">
    <vt:lpwstr>0x010100FDC163C47723DD4684025DC6A15310EA</vt:lpwstr>
  </property>
  <property fmtid="{D5CDD505-2E9C-101B-9397-08002B2CF9AE}" pid="4" name="Order">
    <vt:r8>503000</vt:r8>
  </property>
</Properties>
</file>