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747A" w14:textId="77777777" w:rsidR="00882E3C" w:rsidRPr="00882E3C" w:rsidRDefault="00882E3C" w:rsidP="00882E3C">
      <w:pPr>
        <w:keepNext/>
        <w:pageBreakBefore/>
        <w:widowControl w:val="0"/>
        <w:tabs>
          <w:tab w:val="clear" w:pos="-567"/>
          <w:tab w:val="left" w:pos="0"/>
          <w:tab w:val="left" w:pos="567"/>
        </w:tabs>
        <w:spacing w:before="360" w:after="120" w:line="240" w:lineRule="auto"/>
        <w:ind w:left="2160" w:hanging="2160"/>
        <w:outlineLvl w:val="0"/>
        <w:rPr>
          <w:b/>
          <w:kern w:val="28"/>
          <w:sz w:val="32"/>
          <w:szCs w:val="32"/>
          <w:lang w:val="nl"/>
        </w:rPr>
      </w:pPr>
      <w:bookmarkStart w:id="0" w:name="_Toc350865346"/>
      <w:bookmarkStart w:id="1" w:name="_Toc351544550"/>
      <w:bookmarkStart w:id="2" w:name="_Toc351545471"/>
      <w:bookmarkStart w:id="3" w:name="_Toc352931496"/>
      <w:bookmarkStart w:id="4" w:name="_Toc354400195"/>
      <w:bookmarkStart w:id="5" w:name="_Toc354409857"/>
      <w:bookmarkStart w:id="6" w:name="_Toc285541208"/>
      <w:bookmarkStart w:id="7" w:name="_Toc285541677"/>
      <w:bookmarkStart w:id="8" w:name="_Toc285547218"/>
      <w:bookmarkStart w:id="9" w:name="_Toc289803634"/>
      <w:bookmarkStart w:id="10" w:name="_Toc313527873"/>
      <w:bookmarkStart w:id="11" w:name="_Toc313528576"/>
      <w:bookmarkStart w:id="12" w:name="_Toc313528648"/>
      <w:bookmarkStart w:id="13" w:name="_Toc313535547"/>
      <w:bookmarkStart w:id="14" w:name="_Toc338065476"/>
      <w:bookmarkStart w:id="15" w:name="_Toc338081645"/>
      <w:bookmarkStart w:id="16" w:name="_Toc347476624"/>
      <w:bookmarkStart w:id="17" w:name="_Toc350513676"/>
      <w:bookmarkStart w:id="18" w:name="_Toc350514016"/>
      <w:bookmarkStart w:id="19" w:name="_Toc350514115"/>
      <w:bookmarkStart w:id="20" w:name="_Toc350860232"/>
      <w:bookmarkStart w:id="21" w:name="_Toc227570719"/>
      <w:r w:rsidRPr="00882E3C">
        <w:rPr>
          <w:b/>
          <w:kern w:val="28"/>
          <w:sz w:val="32"/>
          <w:szCs w:val="32"/>
          <w:lang w:val="nl"/>
        </w:rPr>
        <w:t>Bijlage 4</w:t>
      </w:r>
      <w:r w:rsidRPr="00882E3C">
        <w:rPr>
          <w:b/>
          <w:kern w:val="28"/>
          <w:sz w:val="32"/>
          <w:szCs w:val="32"/>
          <w:lang w:val="nl"/>
        </w:rPr>
        <w:tab/>
      </w:r>
      <w:bookmarkEnd w:id="0"/>
      <w:bookmarkEnd w:id="1"/>
      <w:bookmarkEnd w:id="2"/>
      <w:bookmarkEnd w:id="3"/>
      <w:bookmarkEnd w:id="4"/>
      <w:bookmarkEnd w:id="5"/>
      <w:r w:rsidRPr="00882E3C">
        <w:rPr>
          <w:b/>
          <w:kern w:val="28"/>
          <w:sz w:val="32"/>
          <w:szCs w:val="32"/>
          <w:lang w:val="nl"/>
        </w:rPr>
        <w:t>Programma van eisen</w:t>
      </w:r>
      <w:bookmarkEnd w:id="21"/>
      <w:r w:rsidRPr="00882E3C">
        <w:rPr>
          <w:b/>
          <w:kern w:val="28"/>
          <w:sz w:val="32"/>
          <w:szCs w:val="32"/>
          <w:lang w:val="nl"/>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ABB3201" w14:textId="77777777" w:rsidR="00882E3C" w:rsidRPr="00882E3C" w:rsidRDefault="00882E3C" w:rsidP="00882E3C">
      <w:pPr>
        <w:rPr>
          <w:lang w:val="nl"/>
        </w:rPr>
      </w:pPr>
    </w:p>
    <w:p w14:paraId="3A7A275B" w14:textId="77777777" w:rsidR="00882E3C" w:rsidRPr="00882E3C" w:rsidRDefault="00882E3C" w:rsidP="00882E3C">
      <w:r w:rsidRPr="00882E3C">
        <w:t>In deze Bijlage is het Programma van eisen opgenomen. Van Inschrijver wordt verwacht dat hij de eisen accepteert door deze Bijlage te ondertekenen en bij te voegen bij de Inschrijving.</w:t>
      </w:r>
    </w:p>
    <w:p w14:paraId="7B44A379" w14:textId="77777777" w:rsidR="00882E3C" w:rsidRPr="00882E3C" w:rsidRDefault="00882E3C" w:rsidP="00882E3C">
      <w:pPr>
        <w:rPr>
          <w:highlight w:val="yellow"/>
          <w:lang w:val="nl"/>
        </w:rPr>
      </w:pPr>
    </w:p>
    <w:tbl>
      <w:tblPr>
        <w:tblW w:w="8402" w:type="dxa"/>
        <w:tblInd w:w="-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93"/>
        <w:gridCol w:w="7409"/>
      </w:tblGrid>
      <w:tr w:rsidR="00882E3C" w:rsidRPr="00882E3C" w14:paraId="49AE9700" w14:textId="77777777" w:rsidTr="007B58E0">
        <w:tc>
          <w:tcPr>
            <w:tcW w:w="993" w:type="dxa"/>
            <w:tcBorders>
              <w:bottom w:val="single" w:sz="8" w:space="0" w:color="4F81BD"/>
            </w:tcBorders>
            <w:shd w:val="clear" w:color="auto" w:fill="4F81BD"/>
          </w:tcPr>
          <w:p w14:paraId="13405BDC" w14:textId="77777777" w:rsidR="00882E3C" w:rsidRPr="00882E3C" w:rsidRDefault="00882E3C" w:rsidP="00882E3C">
            <w:pPr>
              <w:spacing w:before="90" w:after="54" w:line="312" w:lineRule="auto"/>
              <w:jc w:val="center"/>
              <w:rPr>
                <w:b/>
                <w:bCs/>
                <w:color w:val="FFFFFF"/>
              </w:rPr>
            </w:pPr>
            <w:r w:rsidRPr="00882E3C">
              <w:rPr>
                <w:b/>
                <w:bCs/>
                <w:color w:val="FFFFFF"/>
              </w:rPr>
              <w:t>Nummer</w:t>
            </w:r>
          </w:p>
        </w:tc>
        <w:tc>
          <w:tcPr>
            <w:tcW w:w="7409" w:type="dxa"/>
            <w:shd w:val="clear" w:color="auto" w:fill="4F81BD"/>
          </w:tcPr>
          <w:p w14:paraId="2710C6FD" w14:textId="77777777" w:rsidR="00882E3C" w:rsidRPr="00882E3C" w:rsidRDefault="00882E3C" w:rsidP="00882E3C">
            <w:pPr>
              <w:spacing w:before="90" w:after="54" w:line="312" w:lineRule="auto"/>
              <w:jc w:val="center"/>
              <w:rPr>
                <w:b/>
                <w:bCs/>
                <w:color w:val="FFFFFF"/>
              </w:rPr>
            </w:pPr>
            <w:r w:rsidRPr="00882E3C">
              <w:rPr>
                <w:b/>
                <w:bCs/>
                <w:color w:val="FFFFFF"/>
              </w:rPr>
              <w:t>Algemene eisen</w:t>
            </w:r>
          </w:p>
        </w:tc>
      </w:tr>
      <w:tr w:rsidR="00882E3C" w:rsidRPr="00882E3C" w14:paraId="6B2B55B7" w14:textId="77777777" w:rsidTr="007B58E0">
        <w:tc>
          <w:tcPr>
            <w:tcW w:w="993" w:type="dxa"/>
            <w:shd w:val="clear" w:color="auto" w:fill="8DB3E2"/>
          </w:tcPr>
          <w:p w14:paraId="49E3B297" w14:textId="77777777" w:rsidR="00882E3C" w:rsidRPr="00882E3C" w:rsidRDefault="00882E3C" w:rsidP="00882E3C">
            <w:pPr>
              <w:numPr>
                <w:ilvl w:val="0"/>
                <w:numId w:val="1"/>
              </w:numPr>
              <w:tabs>
                <w:tab w:val="clear" w:pos="-567"/>
                <w:tab w:val="num" w:pos="426"/>
              </w:tabs>
              <w:spacing w:before="90" w:after="54" w:line="312" w:lineRule="auto"/>
              <w:ind w:left="567"/>
            </w:pPr>
          </w:p>
        </w:tc>
        <w:tc>
          <w:tcPr>
            <w:tcW w:w="7409" w:type="dxa"/>
          </w:tcPr>
          <w:p w14:paraId="3F4731A8" w14:textId="77777777" w:rsidR="00882E3C" w:rsidRPr="00882E3C" w:rsidRDefault="00882E3C" w:rsidP="00882E3C">
            <w:pPr>
              <w:rPr>
                <w:spacing w:val="-2"/>
              </w:rPr>
            </w:pPr>
            <w:r w:rsidRPr="00882E3C">
              <w:rPr>
                <w:spacing w:val="-2"/>
              </w:rPr>
              <w:t xml:space="preserve">Contractant is gehouden om zich bij de uitvoering van de Opdracht te houden aan alle geldende regelgeving. Alle eventuele schade die volgt uit het niet naleven van wetgeving zal door de Contractant worden vergoed aan de Gemeente. </w:t>
            </w:r>
          </w:p>
          <w:p w14:paraId="2948DBF7" w14:textId="77777777" w:rsidR="00882E3C" w:rsidRPr="00882E3C" w:rsidRDefault="00882E3C" w:rsidP="00882E3C">
            <w:pPr>
              <w:rPr>
                <w:spacing w:val="-2"/>
              </w:rPr>
            </w:pPr>
            <w:proofErr w:type="gramStart"/>
            <w:r w:rsidRPr="00882E3C">
              <w:rPr>
                <w:spacing w:val="-2"/>
              </w:rPr>
              <w:t>Indien</w:t>
            </w:r>
            <w:proofErr w:type="gramEnd"/>
            <w:r w:rsidRPr="00882E3C">
              <w:rPr>
                <w:spacing w:val="-2"/>
              </w:rPr>
              <w:t xml:space="preserve"> tijdens de uitvoering van de Opdracht gebruik wordt gemaakt van werknemers die volgens de Wet Arbeid Vreemdelingen (WAV) niet bevoegd zijn om in Nederland te werken en de Gemeente wegens het brede werkgeversbegrip in deze wet wordt beboet, zal Contractant de boete welke de Gemeente wordt opgelegd vergoeden aan de Gemeente. </w:t>
            </w:r>
          </w:p>
        </w:tc>
      </w:tr>
      <w:tr w:rsidR="00882E3C" w:rsidRPr="00882E3C" w14:paraId="4145BC8E" w14:textId="77777777" w:rsidTr="007B58E0">
        <w:tc>
          <w:tcPr>
            <w:tcW w:w="993" w:type="dxa"/>
            <w:shd w:val="clear" w:color="auto" w:fill="8DB3E2"/>
          </w:tcPr>
          <w:p w14:paraId="78843627" w14:textId="77777777" w:rsidR="00882E3C" w:rsidRPr="00882E3C" w:rsidRDefault="00882E3C" w:rsidP="00882E3C">
            <w:pPr>
              <w:numPr>
                <w:ilvl w:val="0"/>
                <w:numId w:val="1"/>
              </w:numPr>
              <w:tabs>
                <w:tab w:val="clear" w:pos="-567"/>
                <w:tab w:val="num" w:pos="426"/>
              </w:tabs>
              <w:spacing w:before="90" w:after="54" w:line="312" w:lineRule="auto"/>
              <w:ind w:left="567"/>
              <w:rPr>
                <w:rFonts w:cs="Tahoma"/>
              </w:rPr>
            </w:pPr>
          </w:p>
        </w:tc>
        <w:tc>
          <w:tcPr>
            <w:tcW w:w="7409" w:type="dxa"/>
          </w:tcPr>
          <w:p w14:paraId="031E6CEF" w14:textId="77777777" w:rsidR="00882E3C" w:rsidRPr="00882E3C" w:rsidRDefault="00882E3C" w:rsidP="00882E3C">
            <w:r w:rsidRPr="00882E3C">
              <w:rPr>
                <w:rFonts w:cs="Arial"/>
              </w:rPr>
              <w:t>In het kader van Wet Aanpak Schijnconstructies (WAS) houdt Contractant zich bij de uitvoering van de Opdracht aan de geldende wet- en regelgeving op het gebied van arbeidsvoorwaarden en aan de CAO die voor zijn medewerkers van toepassing is. Contractant vrijwaart de Gemeente voor alle aanspraken van derden die zij op grond van de Wet Aanpak Schijnconstructies hebben ingesteld.</w:t>
            </w:r>
          </w:p>
        </w:tc>
      </w:tr>
      <w:tr w:rsidR="00882E3C" w:rsidRPr="00882E3C" w14:paraId="00AA5992" w14:textId="77777777" w:rsidTr="007B58E0">
        <w:tc>
          <w:tcPr>
            <w:tcW w:w="993" w:type="dxa"/>
            <w:shd w:val="clear" w:color="auto" w:fill="8DB3E2"/>
          </w:tcPr>
          <w:p w14:paraId="2B5F621D" w14:textId="77777777" w:rsidR="00882E3C" w:rsidRPr="00882E3C" w:rsidRDefault="00882E3C" w:rsidP="00882E3C">
            <w:pPr>
              <w:numPr>
                <w:ilvl w:val="0"/>
                <w:numId w:val="1"/>
              </w:numPr>
              <w:tabs>
                <w:tab w:val="clear" w:pos="-567"/>
                <w:tab w:val="num" w:pos="426"/>
              </w:tabs>
              <w:spacing w:before="90" w:after="54" w:line="312" w:lineRule="auto"/>
              <w:ind w:left="567"/>
              <w:rPr>
                <w:rFonts w:cs="Tahoma"/>
              </w:rPr>
            </w:pPr>
          </w:p>
        </w:tc>
        <w:tc>
          <w:tcPr>
            <w:tcW w:w="7409" w:type="dxa"/>
          </w:tcPr>
          <w:p w14:paraId="0543CACE" w14:textId="77777777" w:rsidR="00882E3C" w:rsidRPr="00882E3C" w:rsidRDefault="00882E3C" w:rsidP="00882E3C">
            <w:pPr>
              <w:tabs>
                <w:tab w:val="left" w:pos="1080"/>
              </w:tabs>
              <w:rPr>
                <w:spacing w:val="-2"/>
              </w:rPr>
            </w:pPr>
            <w:r w:rsidRPr="00882E3C">
              <w:rPr>
                <w:spacing w:val="-2"/>
              </w:rPr>
              <w:t>Inschrijver verklaart het volgende:</w:t>
            </w:r>
          </w:p>
          <w:p w14:paraId="14C7F344" w14:textId="77777777" w:rsidR="00882E3C" w:rsidRPr="00882E3C" w:rsidRDefault="00882E3C" w:rsidP="00882E3C">
            <w:pPr>
              <w:tabs>
                <w:tab w:val="left" w:pos="1080"/>
              </w:tabs>
              <w:rPr>
                <w:spacing w:val="-2"/>
              </w:rPr>
            </w:pPr>
          </w:p>
          <w:p w14:paraId="55CC348B" w14:textId="77777777" w:rsidR="00882E3C" w:rsidRPr="00882E3C" w:rsidRDefault="00882E3C" w:rsidP="00882E3C">
            <w:pPr>
              <w:tabs>
                <w:tab w:val="left" w:pos="1080"/>
              </w:tabs>
              <w:rPr>
                <w:spacing w:val="-2"/>
              </w:rPr>
            </w:pPr>
            <w:r w:rsidRPr="00882E3C">
              <w:rPr>
                <w:spacing w:val="-2"/>
              </w:rPr>
              <w:t xml:space="preserve">Hierbij verklaar ik naar eer en geweten dat er geen sprake is van Russische betrokkenheid bij de uitvoering van deze overeenkomst die de drempels van artikel 5 </w:t>
            </w:r>
            <w:proofErr w:type="spellStart"/>
            <w:r w:rsidRPr="00882E3C">
              <w:rPr>
                <w:spacing w:val="-2"/>
              </w:rPr>
              <w:t>duodecies</w:t>
            </w:r>
            <w:proofErr w:type="spellEnd"/>
            <w:r w:rsidRPr="00882E3C">
              <w:rPr>
                <w:spacing w:val="-2"/>
              </w:rPr>
              <w:t xml:space="preserve"> van EU Verordening (EU) 833/2014 van 31 juli 2014 </w:t>
            </w:r>
            <w:proofErr w:type="gramStart"/>
            <w:r w:rsidRPr="00882E3C">
              <w:rPr>
                <w:spacing w:val="-2"/>
              </w:rPr>
              <w:t>betreffende</w:t>
            </w:r>
            <w:proofErr w:type="gramEnd"/>
            <w:r w:rsidRPr="00882E3C">
              <w:rPr>
                <w:spacing w:val="-2"/>
              </w:rPr>
              <w:t xml:space="preserve"> de betreffende beperkende maatregelen naar aanleiding van de acties van Rusland die de situatie in Oekraïne destabiliseren, zoals gewijzigd bij Verordening 2022/578 van 8 april 2022 overschrijdt.</w:t>
            </w:r>
          </w:p>
          <w:p w14:paraId="1608A538" w14:textId="77777777" w:rsidR="00882E3C" w:rsidRPr="00882E3C" w:rsidRDefault="00882E3C" w:rsidP="00882E3C">
            <w:pPr>
              <w:tabs>
                <w:tab w:val="left" w:pos="1080"/>
              </w:tabs>
              <w:rPr>
                <w:spacing w:val="-2"/>
              </w:rPr>
            </w:pPr>
          </w:p>
          <w:p w14:paraId="64B71E52" w14:textId="77777777" w:rsidR="00882E3C" w:rsidRPr="00882E3C" w:rsidRDefault="00882E3C" w:rsidP="00882E3C">
            <w:pPr>
              <w:tabs>
                <w:tab w:val="left" w:pos="1080"/>
              </w:tabs>
              <w:rPr>
                <w:spacing w:val="-2"/>
              </w:rPr>
            </w:pPr>
            <w:r w:rsidRPr="00882E3C">
              <w:rPr>
                <w:spacing w:val="-2"/>
              </w:rPr>
              <w:t>Ik verklaar in het bijzonder dat:</w:t>
            </w:r>
          </w:p>
          <w:p w14:paraId="60132CD8" w14:textId="77777777" w:rsidR="00882E3C" w:rsidRPr="00882E3C" w:rsidRDefault="00882E3C" w:rsidP="00882E3C">
            <w:pPr>
              <w:tabs>
                <w:tab w:val="left" w:pos="1080"/>
              </w:tabs>
              <w:rPr>
                <w:spacing w:val="-2"/>
              </w:rPr>
            </w:pPr>
            <w:r w:rsidRPr="00882E3C">
              <w:rPr>
                <w:spacing w:val="-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AAC3A60" w14:textId="77777777" w:rsidR="00882E3C" w:rsidRPr="00882E3C" w:rsidRDefault="00882E3C" w:rsidP="00882E3C">
            <w:pPr>
              <w:tabs>
                <w:tab w:val="left" w:pos="1080"/>
              </w:tabs>
              <w:rPr>
                <w:spacing w:val="-2"/>
              </w:rPr>
            </w:pPr>
            <w:r w:rsidRPr="00882E3C">
              <w:rPr>
                <w:spacing w:val="-2"/>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14:paraId="1C4861E6" w14:textId="77777777" w:rsidR="00882E3C" w:rsidRPr="00882E3C" w:rsidRDefault="00882E3C" w:rsidP="00882E3C">
            <w:pPr>
              <w:tabs>
                <w:tab w:val="left" w:pos="1080"/>
              </w:tabs>
              <w:rPr>
                <w:spacing w:val="-2"/>
              </w:rPr>
            </w:pPr>
            <w:r w:rsidRPr="00882E3C">
              <w:rPr>
                <w:spacing w:val="-2"/>
              </w:rPr>
              <w:t>c) noch ik noch de Onderneming die ik vertegenwoordig een (rechts)persoon (gevestigd in Rusland of een ander land) is die handelt in belang van of op aanwijzing van een Russische partij, zoals bedoeld onder a) en b);</w:t>
            </w:r>
          </w:p>
          <w:p w14:paraId="1FE0730C" w14:textId="77777777" w:rsidR="00882E3C" w:rsidRPr="00882E3C" w:rsidRDefault="00882E3C" w:rsidP="00882E3C">
            <w:pPr>
              <w:rPr>
                <w:rFonts w:cs="Arial"/>
              </w:rPr>
            </w:pPr>
            <w:r w:rsidRPr="00882E3C">
              <w:rPr>
                <w:spacing w:val="-2"/>
              </w:rPr>
              <w:t>d) er geen Onderaannemers, leveranciers of Ondernemingen deelnemen wier capaciteit wordt ingeroepen door de opdrachtnemer die ik vertegenwoordig én die een aandeel hebben van meer dan 10% van de contractwaarde waarbij een situatie als onder a) t/m c) zich voordoet.</w:t>
            </w:r>
          </w:p>
        </w:tc>
      </w:tr>
      <w:tr w:rsidR="00882E3C" w:rsidRPr="00882E3C" w14:paraId="2518683D" w14:textId="77777777" w:rsidTr="007B58E0">
        <w:tc>
          <w:tcPr>
            <w:tcW w:w="993" w:type="dxa"/>
            <w:shd w:val="clear" w:color="auto" w:fill="8DB3E2"/>
          </w:tcPr>
          <w:p w14:paraId="223AF116" w14:textId="77777777" w:rsidR="00882E3C" w:rsidRPr="00882E3C" w:rsidRDefault="00882E3C" w:rsidP="00882E3C">
            <w:pPr>
              <w:numPr>
                <w:ilvl w:val="0"/>
                <w:numId w:val="1"/>
              </w:numPr>
              <w:tabs>
                <w:tab w:val="clear" w:pos="-567"/>
                <w:tab w:val="num" w:pos="426"/>
              </w:tabs>
              <w:spacing w:before="90" w:after="54" w:line="312" w:lineRule="auto"/>
              <w:ind w:left="567"/>
            </w:pPr>
          </w:p>
        </w:tc>
        <w:tc>
          <w:tcPr>
            <w:tcW w:w="7409" w:type="dxa"/>
          </w:tcPr>
          <w:p w14:paraId="4A3F9190" w14:textId="77777777" w:rsidR="00882E3C" w:rsidRPr="00882E3C" w:rsidRDefault="00882E3C" w:rsidP="00882E3C">
            <w:pPr>
              <w:spacing w:line="260" w:lineRule="exact"/>
            </w:pPr>
            <w:r w:rsidRPr="00882E3C">
              <w:t xml:space="preserve">De Gemeente wil bij deze Opdracht gebruik kunnen maken van de Wet bevordering integriteitsbeoordelingen door het openbaar bestuur (hierna: Wet </w:t>
            </w:r>
            <w:proofErr w:type="spellStart"/>
            <w:r w:rsidRPr="00882E3C">
              <w:t>Bibob</w:t>
            </w:r>
            <w:proofErr w:type="spellEnd"/>
            <w:r w:rsidRPr="00882E3C">
              <w:t xml:space="preserve">). De Wet </w:t>
            </w:r>
            <w:proofErr w:type="spellStart"/>
            <w:r w:rsidRPr="00882E3C">
              <w:t>Bibob</w:t>
            </w:r>
            <w:proofErr w:type="spellEnd"/>
            <w:r w:rsidRPr="00882E3C">
              <w:t xml:space="preserve"> beoogt te voorkomen dat de overheid ongewild criminele activiteiten faciliteert.</w:t>
            </w:r>
          </w:p>
          <w:p w14:paraId="03C02BFA" w14:textId="77777777" w:rsidR="00882E3C" w:rsidRPr="00882E3C" w:rsidRDefault="00882E3C" w:rsidP="00882E3C">
            <w:pPr>
              <w:spacing w:line="260" w:lineRule="exact"/>
            </w:pPr>
          </w:p>
          <w:p w14:paraId="7E63CBC4" w14:textId="77777777" w:rsidR="00882E3C" w:rsidRPr="00882E3C" w:rsidRDefault="00882E3C" w:rsidP="00882E3C">
            <w:pPr>
              <w:spacing w:line="260" w:lineRule="exact"/>
            </w:pPr>
            <w:r w:rsidRPr="00882E3C">
              <w:lastRenderedPageBreak/>
              <w:t>De Gemeente behoudt zich daarom zowel gedurende de aanbesteding als tijdens de looptijd van de Overeenkomst het recht voor om gegadigde te screenen. Bij de screening maakt de Gemeente gebruik van de (wettelijke) middelen die hem ter beschikking staan. Deze middelen bestaan in ieder geval uit:</w:t>
            </w:r>
          </w:p>
          <w:p w14:paraId="558D1603" w14:textId="77777777" w:rsidR="00882E3C" w:rsidRPr="00882E3C" w:rsidRDefault="00882E3C" w:rsidP="00882E3C">
            <w:pPr>
              <w:spacing w:line="260" w:lineRule="exact"/>
            </w:pPr>
          </w:p>
          <w:p w14:paraId="20925C04" w14:textId="77777777" w:rsidR="00882E3C" w:rsidRPr="00882E3C" w:rsidRDefault="00882E3C" w:rsidP="00882E3C">
            <w:pPr>
              <w:numPr>
                <w:ilvl w:val="0"/>
                <w:numId w:val="2"/>
              </w:numPr>
              <w:tabs>
                <w:tab w:val="clear" w:pos="-567"/>
              </w:tabs>
              <w:spacing w:line="260" w:lineRule="exact"/>
            </w:pPr>
            <w:r w:rsidRPr="00882E3C">
              <w:t>het door gegadigde laten indienen van een Gedragsverklaring Aanbesteden (GVA);</w:t>
            </w:r>
          </w:p>
          <w:p w14:paraId="29E0C0A6" w14:textId="77777777" w:rsidR="00882E3C" w:rsidRPr="00882E3C" w:rsidRDefault="00882E3C" w:rsidP="00882E3C">
            <w:pPr>
              <w:numPr>
                <w:ilvl w:val="0"/>
                <w:numId w:val="2"/>
              </w:numPr>
              <w:tabs>
                <w:tab w:val="clear" w:pos="-567"/>
              </w:tabs>
              <w:spacing w:line="260" w:lineRule="exact"/>
            </w:pPr>
            <w:r w:rsidRPr="00882E3C">
              <w:t xml:space="preserve">het door gegadigde laten invullen van een </w:t>
            </w:r>
            <w:proofErr w:type="spellStart"/>
            <w:r w:rsidRPr="00882E3C">
              <w:t>Bibob</w:t>
            </w:r>
            <w:proofErr w:type="spellEnd"/>
            <w:r w:rsidRPr="00882E3C">
              <w:t>-vragenformulier;</w:t>
            </w:r>
          </w:p>
          <w:p w14:paraId="2E4B66D0" w14:textId="77777777" w:rsidR="00882E3C" w:rsidRPr="00882E3C" w:rsidRDefault="00882E3C" w:rsidP="00882E3C">
            <w:pPr>
              <w:numPr>
                <w:ilvl w:val="0"/>
                <w:numId w:val="2"/>
              </w:numPr>
              <w:tabs>
                <w:tab w:val="clear" w:pos="-567"/>
              </w:tabs>
              <w:spacing w:line="260" w:lineRule="exact"/>
            </w:pPr>
            <w:r w:rsidRPr="00882E3C">
              <w:t xml:space="preserve">het doen van eigen onderzoek in open bronnen (op grond van de wet </w:t>
            </w:r>
            <w:proofErr w:type="spellStart"/>
            <w:r w:rsidRPr="00882E3C">
              <w:t>Bibob</w:t>
            </w:r>
            <w:proofErr w:type="spellEnd"/>
            <w:r w:rsidRPr="00882E3C">
              <w:t>);</w:t>
            </w:r>
          </w:p>
          <w:p w14:paraId="1DB4107B" w14:textId="77777777" w:rsidR="00882E3C" w:rsidRPr="00882E3C" w:rsidRDefault="00882E3C" w:rsidP="00882E3C">
            <w:pPr>
              <w:numPr>
                <w:ilvl w:val="0"/>
                <w:numId w:val="2"/>
              </w:numPr>
              <w:tabs>
                <w:tab w:val="clear" w:pos="-567"/>
              </w:tabs>
              <w:spacing w:line="260" w:lineRule="exact"/>
            </w:pPr>
            <w:r w:rsidRPr="00882E3C">
              <w:t xml:space="preserve">het doen van eigen onderzoek in gesloten bronnen op grond van de Wet </w:t>
            </w:r>
            <w:proofErr w:type="spellStart"/>
            <w:r w:rsidRPr="00882E3C">
              <w:t>Bibob</w:t>
            </w:r>
            <w:proofErr w:type="spellEnd"/>
            <w:r w:rsidRPr="00882E3C">
              <w:t>;</w:t>
            </w:r>
          </w:p>
          <w:p w14:paraId="1FE90D23" w14:textId="77777777" w:rsidR="00882E3C" w:rsidRPr="00882E3C" w:rsidRDefault="00882E3C" w:rsidP="00882E3C">
            <w:pPr>
              <w:numPr>
                <w:ilvl w:val="0"/>
                <w:numId w:val="2"/>
              </w:numPr>
              <w:tabs>
                <w:tab w:val="clear" w:pos="-567"/>
              </w:tabs>
              <w:spacing w:line="260" w:lineRule="exact"/>
            </w:pPr>
            <w:r w:rsidRPr="00882E3C">
              <w:t xml:space="preserve">het vragen van een </w:t>
            </w:r>
            <w:proofErr w:type="spellStart"/>
            <w:r w:rsidRPr="00882E3C">
              <w:t>Bibob</w:t>
            </w:r>
            <w:proofErr w:type="spellEnd"/>
            <w:r w:rsidRPr="00882E3C">
              <w:t xml:space="preserve">-advies aan het Landelijk Bureau </w:t>
            </w:r>
            <w:proofErr w:type="spellStart"/>
            <w:r w:rsidRPr="00882E3C">
              <w:t>Bibob</w:t>
            </w:r>
            <w:proofErr w:type="spellEnd"/>
            <w:r w:rsidRPr="00882E3C">
              <w:t xml:space="preserve"> (LBB).</w:t>
            </w:r>
          </w:p>
          <w:p w14:paraId="4AA9B202" w14:textId="77777777" w:rsidR="00882E3C" w:rsidRPr="00882E3C" w:rsidRDefault="00882E3C" w:rsidP="00882E3C">
            <w:pPr>
              <w:spacing w:line="260" w:lineRule="exact"/>
            </w:pPr>
            <w:r w:rsidRPr="00882E3C">
              <w:t> </w:t>
            </w:r>
          </w:p>
          <w:p w14:paraId="6B1EDCB4" w14:textId="77777777" w:rsidR="00882E3C" w:rsidRPr="00882E3C" w:rsidRDefault="00882E3C" w:rsidP="00882E3C">
            <w:pPr>
              <w:spacing w:line="260" w:lineRule="exact"/>
            </w:pPr>
            <w:r w:rsidRPr="00882E3C">
              <w:t xml:space="preserve">Gegadigden zijn gehouden hun medewerking aan een screening te verlenen. </w:t>
            </w:r>
            <w:proofErr w:type="gramStart"/>
            <w:r w:rsidRPr="00882E3C">
              <w:t>Indien</w:t>
            </w:r>
            <w:proofErr w:type="gramEnd"/>
            <w:r w:rsidRPr="00882E3C">
              <w:t xml:space="preserve"> een gegadigde geen of onvoldoende medewerking verleent aan een screening, is de Gemeente gerechtigd de gegadigde uit te sluiten van deelname aan de aanbesteding, dan wel tot wijziging, opschorting of beëindiging van de Overeenkomst voor zover de screening plaatsvindt gedurende de looptijd van de Overeenkomst.</w:t>
            </w:r>
          </w:p>
          <w:p w14:paraId="1A05C766" w14:textId="77777777" w:rsidR="00882E3C" w:rsidRPr="00882E3C" w:rsidRDefault="00882E3C" w:rsidP="00882E3C">
            <w:pPr>
              <w:spacing w:line="260" w:lineRule="exact"/>
            </w:pPr>
          </w:p>
          <w:p w14:paraId="6ABF5E02" w14:textId="77777777" w:rsidR="00882E3C" w:rsidRPr="00882E3C" w:rsidRDefault="00882E3C" w:rsidP="00882E3C">
            <w:pPr>
              <w:spacing w:line="260" w:lineRule="exact"/>
            </w:pPr>
            <w:r w:rsidRPr="00882E3C">
              <w:t xml:space="preserve">De Gemeente stelt gegadigde op de hoogte </w:t>
            </w:r>
            <w:proofErr w:type="gramStart"/>
            <w:r w:rsidRPr="00882E3C">
              <w:t>indien</w:t>
            </w:r>
            <w:proofErr w:type="gramEnd"/>
            <w:r w:rsidRPr="00882E3C">
              <w:t xml:space="preserve"> een </w:t>
            </w:r>
            <w:proofErr w:type="spellStart"/>
            <w:r w:rsidRPr="00882E3C">
              <w:t>Bibob</w:t>
            </w:r>
            <w:proofErr w:type="spellEnd"/>
            <w:r w:rsidRPr="00882E3C">
              <w:t>-advies aan het LBB wordt gevraagd. Het advies van het LBB geeft de Gemeente ondersteuning bij zijn eigen inhoudelijke afweging om:</w:t>
            </w:r>
          </w:p>
          <w:p w14:paraId="4A865748" w14:textId="77777777" w:rsidR="00882E3C" w:rsidRPr="00882E3C" w:rsidRDefault="00882E3C" w:rsidP="00882E3C">
            <w:pPr>
              <w:spacing w:line="260" w:lineRule="exact"/>
            </w:pPr>
          </w:p>
          <w:p w14:paraId="1ECF35DB" w14:textId="77777777" w:rsidR="00882E3C" w:rsidRPr="00882E3C" w:rsidRDefault="00882E3C" w:rsidP="00882E3C">
            <w:pPr>
              <w:numPr>
                <w:ilvl w:val="0"/>
                <w:numId w:val="3"/>
              </w:numPr>
              <w:tabs>
                <w:tab w:val="clear" w:pos="-567"/>
              </w:tabs>
              <w:spacing w:line="260" w:lineRule="exact"/>
            </w:pPr>
            <w:r w:rsidRPr="00882E3C">
              <w:t>een overheidsopdracht wel of niet aan gegadigde te gunnen;</w:t>
            </w:r>
          </w:p>
          <w:p w14:paraId="0E51DE17" w14:textId="77777777" w:rsidR="00882E3C" w:rsidRPr="00882E3C" w:rsidRDefault="00882E3C" w:rsidP="00882E3C">
            <w:pPr>
              <w:numPr>
                <w:ilvl w:val="0"/>
                <w:numId w:val="3"/>
              </w:numPr>
              <w:tabs>
                <w:tab w:val="clear" w:pos="-567"/>
              </w:tabs>
              <w:spacing w:line="260" w:lineRule="exact"/>
            </w:pPr>
            <w:r w:rsidRPr="00882E3C">
              <w:t xml:space="preserve">een overeenkomst </w:t>
            </w:r>
            <w:proofErr w:type="gramStart"/>
            <w:r w:rsidRPr="00882E3C">
              <w:t>inzake</w:t>
            </w:r>
            <w:proofErr w:type="gramEnd"/>
            <w:r w:rsidRPr="00882E3C">
              <w:t xml:space="preserve"> een overheidsopdracht te ontbinden; of</w:t>
            </w:r>
          </w:p>
          <w:p w14:paraId="75C1CF6D" w14:textId="77777777" w:rsidR="00882E3C" w:rsidRPr="00882E3C" w:rsidRDefault="00882E3C" w:rsidP="00882E3C">
            <w:pPr>
              <w:numPr>
                <w:ilvl w:val="0"/>
                <w:numId w:val="3"/>
              </w:numPr>
              <w:tabs>
                <w:tab w:val="clear" w:pos="-567"/>
              </w:tabs>
              <w:spacing w:line="260" w:lineRule="exact"/>
            </w:pPr>
            <w:r w:rsidRPr="00882E3C">
              <w:t xml:space="preserve">wel of niet toestemming te verlenen tot inschakeling van een (beoogde) </w:t>
            </w:r>
            <w:proofErr w:type="spellStart"/>
            <w:r w:rsidRPr="00882E3C">
              <w:t>onderopdrachtnemer</w:t>
            </w:r>
            <w:proofErr w:type="spellEnd"/>
            <w:r w:rsidRPr="00882E3C">
              <w:t>.</w:t>
            </w:r>
          </w:p>
          <w:p w14:paraId="273F75D8" w14:textId="77777777" w:rsidR="00882E3C" w:rsidRPr="00882E3C" w:rsidRDefault="00882E3C" w:rsidP="00882E3C">
            <w:pPr>
              <w:spacing w:line="260" w:lineRule="exact"/>
            </w:pPr>
            <w:r w:rsidRPr="00882E3C">
              <w:t> </w:t>
            </w:r>
          </w:p>
          <w:p w14:paraId="4898B303" w14:textId="77777777" w:rsidR="00882E3C" w:rsidRPr="00882E3C" w:rsidRDefault="00882E3C" w:rsidP="00882E3C">
            <w:pPr>
              <w:spacing w:line="260" w:lineRule="exact"/>
            </w:pPr>
            <w:r w:rsidRPr="00882E3C">
              <w:t xml:space="preserve">Het bovenstaande is eveneens van toepassing op Inschrijvers, de combinanten in een Combinatie, opdrachtnemers en (beoogde) </w:t>
            </w:r>
            <w:proofErr w:type="spellStart"/>
            <w:r w:rsidRPr="00882E3C">
              <w:t>onderopdrachtnemers</w:t>
            </w:r>
            <w:proofErr w:type="spellEnd"/>
            <w:r w:rsidRPr="00882E3C">
              <w:t>.</w:t>
            </w:r>
          </w:p>
        </w:tc>
      </w:tr>
    </w:tbl>
    <w:p w14:paraId="3463A016" w14:textId="77777777" w:rsidR="00882E3C" w:rsidRPr="00882E3C" w:rsidRDefault="00882E3C" w:rsidP="00882E3C">
      <w:pPr>
        <w:rPr>
          <w:rFonts w:cs="Arial"/>
          <w:bCs/>
        </w:rPr>
      </w:pPr>
    </w:p>
    <w:p w14:paraId="6D01411C" w14:textId="77777777" w:rsidR="00882E3C" w:rsidRPr="00882E3C" w:rsidRDefault="00882E3C" w:rsidP="00882E3C">
      <w:pPr>
        <w:rPr>
          <w:rFonts w:cs="Arial"/>
          <w:bCs/>
        </w:rPr>
      </w:pPr>
      <w:r w:rsidRPr="00882E3C">
        <w:rPr>
          <w:rFonts w:cs="Arial"/>
          <w:bCs/>
        </w:rPr>
        <w:t>Inschrijver verklaart onvoorwaardelijk akkoord te gaan met bovenstaande eisen.</w:t>
      </w:r>
    </w:p>
    <w:p w14:paraId="642BB632" w14:textId="77777777" w:rsidR="00882E3C" w:rsidRPr="00882E3C" w:rsidRDefault="00882E3C" w:rsidP="00882E3C">
      <w:pPr>
        <w:rPr>
          <w:rFonts w:cs="Arial"/>
          <w:bCs/>
        </w:rPr>
      </w:pPr>
    </w:p>
    <w:tbl>
      <w:tblPr>
        <w:tblW w:w="8364" w:type="dxa"/>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280"/>
        <w:gridCol w:w="6084"/>
      </w:tblGrid>
      <w:tr w:rsidR="00882E3C" w:rsidRPr="00882E3C" w14:paraId="74BFA008" w14:textId="77777777" w:rsidTr="00882E3C">
        <w:trPr>
          <w:trHeight w:val="284"/>
        </w:trPr>
        <w:tc>
          <w:tcPr>
            <w:tcW w:w="2280" w:type="dxa"/>
            <w:shd w:val="clear" w:color="auto" w:fill="4F81BD"/>
          </w:tcPr>
          <w:p w14:paraId="7BF99312" w14:textId="77777777" w:rsidR="00882E3C" w:rsidRPr="00882E3C" w:rsidRDefault="00882E3C" w:rsidP="00882E3C">
            <w:pPr>
              <w:spacing w:line="240" w:lineRule="auto"/>
              <w:rPr>
                <w:rFonts w:cs="Arial"/>
                <w:b/>
                <w:color w:val="FFFFFF"/>
              </w:rPr>
            </w:pPr>
            <w:r w:rsidRPr="00882E3C">
              <w:rPr>
                <w:rFonts w:cs="Arial"/>
                <w:b/>
                <w:color w:val="FFFFFF"/>
              </w:rPr>
              <w:t>Inschrijver:</w:t>
            </w:r>
          </w:p>
          <w:p w14:paraId="308C23DC" w14:textId="77777777" w:rsidR="00882E3C" w:rsidRPr="00882E3C" w:rsidRDefault="00882E3C" w:rsidP="00882E3C">
            <w:pPr>
              <w:spacing w:line="240" w:lineRule="auto"/>
              <w:rPr>
                <w:rFonts w:cs="Arial"/>
                <w:b/>
                <w:color w:val="FFFFFF"/>
              </w:rPr>
            </w:pPr>
          </w:p>
        </w:tc>
        <w:tc>
          <w:tcPr>
            <w:tcW w:w="6084" w:type="dxa"/>
          </w:tcPr>
          <w:p w14:paraId="0B486E64" w14:textId="77777777" w:rsidR="00882E3C" w:rsidRPr="00882E3C" w:rsidRDefault="00882E3C" w:rsidP="00882E3C">
            <w:pPr>
              <w:spacing w:line="240" w:lineRule="auto"/>
              <w:rPr>
                <w:rFonts w:cs="Arial"/>
              </w:rPr>
            </w:pPr>
          </w:p>
        </w:tc>
      </w:tr>
      <w:tr w:rsidR="00882E3C" w:rsidRPr="00882E3C" w14:paraId="2A4D28F5" w14:textId="77777777" w:rsidTr="00882E3C">
        <w:trPr>
          <w:trHeight w:val="546"/>
        </w:trPr>
        <w:tc>
          <w:tcPr>
            <w:tcW w:w="2280" w:type="dxa"/>
            <w:shd w:val="clear" w:color="auto" w:fill="4F81BD"/>
          </w:tcPr>
          <w:p w14:paraId="766B4B76" w14:textId="77777777" w:rsidR="00882E3C" w:rsidRPr="00882E3C" w:rsidRDefault="00882E3C" w:rsidP="00882E3C">
            <w:pPr>
              <w:spacing w:line="240" w:lineRule="auto"/>
              <w:rPr>
                <w:rFonts w:cs="Arial"/>
                <w:b/>
                <w:color w:val="FFFFFF"/>
              </w:rPr>
            </w:pPr>
            <w:r w:rsidRPr="00882E3C">
              <w:rPr>
                <w:rFonts w:cs="Arial"/>
                <w:b/>
                <w:color w:val="FFFFFF"/>
              </w:rPr>
              <w:t>Naam rechtsgeldig vertegenwoordiger:</w:t>
            </w:r>
          </w:p>
        </w:tc>
        <w:tc>
          <w:tcPr>
            <w:tcW w:w="6084" w:type="dxa"/>
          </w:tcPr>
          <w:p w14:paraId="0D3AF81D" w14:textId="77777777" w:rsidR="00882E3C" w:rsidRPr="00882E3C" w:rsidRDefault="00882E3C" w:rsidP="00882E3C">
            <w:pPr>
              <w:spacing w:line="240" w:lineRule="auto"/>
              <w:rPr>
                <w:rFonts w:cs="Arial"/>
              </w:rPr>
            </w:pPr>
          </w:p>
        </w:tc>
      </w:tr>
      <w:tr w:rsidR="00882E3C" w:rsidRPr="00882E3C" w14:paraId="19F6F51E" w14:textId="77777777" w:rsidTr="00882E3C">
        <w:trPr>
          <w:trHeight w:val="284"/>
        </w:trPr>
        <w:tc>
          <w:tcPr>
            <w:tcW w:w="2280" w:type="dxa"/>
            <w:shd w:val="clear" w:color="auto" w:fill="4F81BD"/>
          </w:tcPr>
          <w:p w14:paraId="6D291039" w14:textId="77777777" w:rsidR="00882E3C" w:rsidRPr="00882E3C" w:rsidRDefault="00882E3C" w:rsidP="00882E3C">
            <w:pPr>
              <w:spacing w:line="240" w:lineRule="auto"/>
              <w:rPr>
                <w:rFonts w:cs="Arial"/>
                <w:b/>
                <w:color w:val="FFFFFF"/>
              </w:rPr>
            </w:pPr>
            <w:r w:rsidRPr="00882E3C">
              <w:rPr>
                <w:rFonts w:cs="Arial"/>
                <w:b/>
                <w:color w:val="FFFFFF"/>
              </w:rPr>
              <w:t>Functie rechtsgeldig vertegenwoordiger:</w:t>
            </w:r>
          </w:p>
        </w:tc>
        <w:tc>
          <w:tcPr>
            <w:tcW w:w="6084" w:type="dxa"/>
          </w:tcPr>
          <w:p w14:paraId="5B605703" w14:textId="77777777" w:rsidR="00882E3C" w:rsidRPr="00882E3C" w:rsidRDefault="00882E3C" w:rsidP="00882E3C">
            <w:pPr>
              <w:spacing w:line="240" w:lineRule="auto"/>
              <w:rPr>
                <w:rFonts w:cs="Arial"/>
              </w:rPr>
            </w:pPr>
          </w:p>
        </w:tc>
      </w:tr>
      <w:tr w:rsidR="00882E3C" w:rsidRPr="00882E3C" w14:paraId="52D2D6EF" w14:textId="77777777" w:rsidTr="00882E3C">
        <w:trPr>
          <w:trHeight w:val="580"/>
        </w:trPr>
        <w:tc>
          <w:tcPr>
            <w:tcW w:w="2280" w:type="dxa"/>
            <w:shd w:val="clear" w:color="auto" w:fill="4F81BD"/>
          </w:tcPr>
          <w:p w14:paraId="3226505F" w14:textId="77777777" w:rsidR="00882E3C" w:rsidRPr="00882E3C" w:rsidRDefault="00882E3C" w:rsidP="00882E3C">
            <w:pPr>
              <w:spacing w:line="240" w:lineRule="auto"/>
              <w:rPr>
                <w:rFonts w:cs="Arial"/>
                <w:b/>
                <w:color w:val="FFFFFF"/>
              </w:rPr>
            </w:pPr>
            <w:r w:rsidRPr="00882E3C">
              <w:rPr>
                <w:rFonts w:cs="Arial"/>
                <w:b/>
                <w:color w:val="FFFFFF"/>
              </w:rPr>
              <w:t>Rechtsgeldige ondertekening:</w:t>
            </w:r>
          </w:p>
        </w:tc>
        <w:tc>
          <w:tcPr>
            <w:tcW w:w="6084" w:type="dxa"/>
          </w:tcPr>
          <w:p w14:paraId="02E62980" w14:textId="77777777" w:rsidR="00882E3C" w:rsidRPr="00882E3C" w:rsidRDefault="00882E3C" w:rsidP="00882E3C">
            <w:pPr>
              <w:spacing w:line="240" w:lineRule="auto"/>
              <w:rPr>
                <w:rFonts w:cs="Arial"/>
              </w:rPr>
            </w:pPr>
          </w:p>
        </w:tc>
      </w:tr>
      <w:tr w:rsidR="00882E3C" w:rsidRPr="00882E3C" w14:paraId="1AFE64B4" w14:textId="77777777" w:rsidTr="00882E3C">
        <w:trPr>
          <w:trHeight w:val="284"/>
        </w:trPr>
        <w:tc>
          <w:tcPr>
            <w:tcW w:w="2280" w:type="dxa"/>
            <w:shd w:val="clear" w:color="auto" w:fill="4F81BD"/>
          </w:tcPr>
          <w:p w14:paraId="7D8C7AF2" w14:textId="77777777" w:rsidR="00882E3C" w:rsidRPr="00882E3C" w:rsidRDefault="00882E3C" w:rsidP="00882E3C">
            <w:pPr>
              <w:spacing w:line="240" w:lineRule="auto"/>
              <w:rPr>
                <w:rFonts w:cs="Arial"/>
                <w:b/>
                <w:color w:val="FFFFFF"/>
              </w:rPr>
            </w:pPr>
            <w:r w:rsidRPr="00882E3C">
              <w:rPr>
                <w:rFonts w:cs="Arial"/>
                <w:b/>
                <w:color w:val="FFFFFF"/>
              </w:rPr>
              <w:t>Datum:</w:t>
            </w:r>
          </w:p>
          <w:p w14:paraId="11558AE1" w14:textId="77777777" w:rsidR="00882E3C" w:rsidRPr="00882E3C" w:rsidRDefault="00882E3C" w:rsidP="00882E3C">
            <w:pPr>
              <w:spacing w:line="240" w:lineRule="auto"/>
              <w:rPr>
                <w:rFonts w:cs="Arial"/>
                <w:b/>
                <w:color w:val="FFFFFF"/>
              </w:rPr>
            </w:pPr>
          </w:p>
        </w:tc>
        <w:tc>
          <w:tcPr>
            <w:tcW w:w="6084" w:type="dxa"/>
          </w:tcPr>
          <w:p w14:paraId="19BDA20C" w14:textId="77777777" w:rsidR="00882E3C" w:rsidRPr="00882E3C" w:rsidRDefault="00882E3C" w:rsidP="00882E3C">
            <w:pPr>
              <w:spacing w:line="240" w:lineRule="auto"/>
              <w:rPr>
                <w:rFonts w:cs="Arial"/>
              </w:rPr>
            </w:pPr>
          </w:p>
        </w:tc>
      </w:tr>
    </w:tbl>
    <w:p w14:paraId="38517357" w14:textId="77777777" w:rsidR="003649D4" w:rsidRPr="00882E3C" w:rsidRDefault="003649D4" w:rsidP="00882E3C"/>
    <w:sectPr w:rsidR="003649D4" w:rsidRPr="00882E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4187"/>
    <w:multiLevelType w:val="hybridMultilevel"/>
    <w:tmpl w:val="54C8DB32"/>
    <w:lvl w:ilvl="0" w:tplc="074EB9A4">
      <w:start w:val="1"/>
      <w:numFmt w:val="decimal"/>
      <w:lvlText w:val="A-%1."/>
      <w:lvlJc w:val="left"/>
      <w:pPr>
        <w:tabs>
          <w:tab w:val="num" w:pos="720"/>
        </w:tabs>
        <w:ind w:left="720" w:hanging="360"/>
      </w:pPr>
      <w:rPr>
        <w:rFonts w:hint="default"/>
      </w:rPr>
    </w:lvl>
    <w:lvl w:ilvl="1" w:tplc="E85229F8">
      <w:start w:val="1"/>
      <w:numFmt w:val="upperRoman"/>
      <w:lvlText w:val="Bijlage %2."/>
      <w:lvlJc w:val="left"/>
      <w:pPr>
        <w:tabs>
          <w:tab w:val="num" w:pos="1080"/>
        </w:tabs>
        <w:ind w:left="1080" w:firstLine="0"/>
      </w:pPr>
      <w:rPr>
        <w:rFonts w:ascii="Times New Roman" w:hAnsi="Times New Roman"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A47424D"/>
    <w:multiLevelType w:val="multilevel"/>
    <w:tmpl w:val="9E76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11F3E"/>
    <w:multiLevelType w:val="multilevel"/>
    <w:tmpl w:val="8EA0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434239">
    <w:abstractNumId w:val="0"/>
  </w:num>
  <w:num w:numId="2" w16cid:durableId="570232192">
    <w:abstractNumId w:val="2"/>
  </w:num>
  <w:num w:numId="3" w16cid:durableId="1033307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67"/>
    <w:rsid w:val="001B4D4F"/>
    <w:rsid w:val="003649D4"/>
    <w:rsid w:val="005E6DCD"/>
    <w:rsid w:val="00622567"/>
    <w:rsid w:val="00824D08"/>
    <w:rsid w:val="00826A0E"/>
    <w:rsid w:val="00882E3C"/>
    <w:rsid w:val="0091222A"/>
    <w:rsid w:val="00B63044"/>
    <w:rsid w:val="00D55A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B35E"/>
  <w15:chartTrackingRefBased/>
  <w15:docId w15:val="{10FAF381-BE38-4A74-B8C0-6C80C66D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2567"/>
    <w:pPr>
      <w:tabs>
        <w:tab w:val="left" w:pos="-567"/>
      </w:tabs>
      <w:spacing w:line="269" w:lineRule="auto"/>
    </w:pPr>
    <w:rPr>
      <w:rFonts w:eastAsia="Times New Roman" w:cs="Times New Roman"/>
      <w:szCs w:val="20"/>
      <w:lang w:eastAsia="nl-NL"/>
    </w:rPr>
  </w:style>
  <w:style w:type="paragraph" w:styleId="Kop1">
    <w:name w:val="heading 1"/>
    <w:basedOn w:val="Standaard"/>
    <w:next w:val="Standaard"/>
    <w:link w:val="Kop1Char"/>
    <w:uiPriority w:val="9"/>
    <w:qFormat/>
    <w:rsid w:val="00622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2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25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25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22567"/>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2256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2256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2256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2256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5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25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2567"/>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622567"/>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622567"/>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62256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62256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62256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62256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622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5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5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56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62256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22567"/>
    <w:rPr>
      <w:i/>
      <w:iCs/>
      <w:color w:val="404040" w:themeColor="text1" w:themeTint="BF"/>
    </w:rPr>
  </w:style>
  <w:style w:type="paragraph" w:styleId="Lijstalinea">
    <w:name w:val="List Paragraph"/>
    <w:basedOn w:val="Standaard"/>
    <w:uiPriority w:val="34"/>
    <w:qFormat/>
    <w:rsid w:val="00622567"/>
    <w:pPr>
      <w:ind w:left="720"/>
      <w:contextualSpacing/>
    </w:pPr>
  </w:style>
  <w:style w:type="character" w:styleId="Intensievebenadrukking">
    <w:name w:val="Intense Emphasis"/>
    <w:basedOn w:val="Standaardalinea-lettertype"/>
    <w:uiPriority w:val="21"/>
    <w:qFormat/>
    <w:rsid w:val="00622567"/>
    <w:rPr>
      <w:i/>
      <w:iCs/>
      <w:color w:val="0F4761" w:themeColor="accent1" w:themeShade="BF"/>
    </w:rPr>
  </w:style>
  <w:style w:type="paragraph" w:styleId="Duidelijkcitaat">
    <w:name w:val="Intense Quote"/>
    <w:basedOn w:val="Standaard"/>
    <w:next w:val="Standaard"/>
    <w:link w:val="DuidelijkcitaatChar"/>
    <w:uiPriority w:val="30"/>
    <w:qFormat/>
    <w:rsid w:val="00622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2567"/>
    <w:rPr>
      <w:i/>
      <w:iCs/>
      <w:color w:val="0F4761" w:themeColor="accent1" w:themeShade="BF"/>
    </w:rPr>
  </w:style>
  <w:style w:type="character" w:styleId="Intensieveverwijzing">
    <w:name w:val="Intense Reference"/>
    <w:basedOn w:val="Standaardalinea-lettertype"/>
    <w:uiPriority w:val="32"/>
    <w:qFormat/>
    <w:rsid w:val="00622567"/>
    <w:rPr>
      <w:b/>
      <w:bCs/>
      <w:smallCaps/>
      <w:color w:val="0F4761" w:themeColor="accent1" w:themeShade="BF"/>
      <w:spacing w:val="5"/>
    </w:rPr>
  </w:style>
  <w:style w:type="paragraph" w:customStyle="1" w:styleId="Kop10">
    <w:name w:val="Kop [1]"/>
    <w:basedOn w:val="Kop1"/>
    <w:link w:val="Kop1Char0"/>
    <w:qFormat/>
    <w:rsid w:val="00622567"/>
    <w:pPr>
      <w:keepLines w:val="0"/>
      <w:pageBreakBefore/>
      <w:widowControl w:val="0"/>
      <w:tabs>
        <w:tab w:val="left" w:pos="0"/>
        <w:tab w:val="left" w:pos="567"/>
      </w:tabs>
      <w:spacing w:after="120" w:line="240" w:lineRule="auto"/>
    </w:pPr>
    <w:rPr>
      <w:b/>
      <w:kern w:val="28"/>
      <w:sz w:val="32"/>
      <w:szCs w:val="32"/>
    </w:rPr>
  </w:style>
  <w:style w:type="character" w:customStyle="1" w:styleId="Kop1Char0">
    <w:name w:val="Kop [1] Char"/>
    <w:basedOn w:val="Kop1Char"/>
    <w:link w:val="Kop10"/>
    <w:rsid w:val="00622567"/>
    <w:rPr>
      <w:rFonts w:asciiTheme="majorHAnsi" w:eastAsiaTheme="majorEastAsia" w:hAnsiTheme="majorHAnsi" w:cstheme="majorBidi"/>
      <w:b/>
      <w:color w:val="0F4761" w:themeColor="accent1" w:themeShade="BF"/>
      <w:kern w:val="28"/>
      <w:sz w:val="32"/>
      <w:szCs w:val="32"/>
      <w:lang w:eastAsia="nl-NL"/>
    </w:rPr>
  </w:style>
  <w:style w:type="table" w:customStyle="1" w:styleId="Lichtelijst-accent11">
    <w:name w:val="Lichte lijst - accent 11"/>
    <w:basedOn w:val="Standaardtabel"/>
    <w:uiPriority w:val="61"/>
    <w:rsid w:val="00622567"/>
    <w:pPr>
      <w:spacing w:line="240" w:lineRule="auto"/>
    </w:pPr>
    <w:rPr>
      <w:rFonts w:ascii="Times New Roman" w:eastAsia="Times New Roman" w:hAnsi="Times New Roman" w:cs="Times New Roman"/>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707C298DEDC45B6C5D73DA55955D4" ma:contentTypeVersion="3" ma:contentTypeDescription="Een nieuw document maken." ma:contentTypeScope="" ma:versionID="bf18023f3a47b9ee590514e4d0b9efb5">
  <xsd:schema xmlns:xsd="http://www.w3.org/2001/XMLSchema" xmlns:xs="http://www.w3.org/2001/XMLSchema" xmlns:p="http://schemas.microsoft.com/office/2006/metadata/properties" xmlns:ns2="3b1d6989-8de7-4d56-8fdb-ae14822e5964" targetNamespace="http://schemas.microsoft.com/office/2006/metadata/properties" ma:root="true" ma:fieldsID="e948286562b82f65a6751d80065e8bdc" ns2:_="">
    <xsd:import namespace="3b1d6989-8de7-4d56-8fdb-ae14822e59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d6989-8de7-4d56-8fdb-ae14822e5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BC94C-0137-4706-9F9C-BEC5EF520053}"/>
</file>

<file path=customXml/itemProps2.xml><?xml version="1.0" encoding="utf-8"?>
<ds:datastoreItem xmlns:ds="http://schemas.openxmlformats.org/officeDocument/2006/customXml" ds:itemID="{275D8C66-9D98-49F3-A76D-918B033F1E21}"/>
</file>

<file path=customXml/itemProps3.xml><?xml version="1.0" encoding="utf-8"?>
<ds:datastoreItem xmlns:ds="http://schemas.openxmlformats.org/officeDocument/2006/customXml" ds:itemID="{B10F2183-DB27-4DC8-82E4-A5D8B81512FC}"/>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4049</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M.E. (Mylène)</dc:creator>
  <cp:keywords/>
  <dc:description/>
  <cp:lastModifiedBy>Blok M.E. (Mylène)</cp:lastModifiedBy>
  <cp:revision>2</cp:revision>
  <dcterms:created xsi:type="dcterms:W3CDTF">2026-04-20T07:58:00Z</dcterms:created>
  <dcterms:modified xsi:type="dcterms:W3CDTF">2026-04-20T07:58:00Z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0x01010067F707C298DEDC45B6C5D73DA55955D4</vt:lpwstr>
  </property>
</Properties>
</file>