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7AE85" w14:textId="6E8637F9" w:rsidR="00130D2F" w:rsidRPr="00034B69" w:rsidRDefault="007D46CC" w:rsidP="00130D2F">
      <w:pPr>
        <w:rPr>
          <w:b/>
          <w:bCs/>
          <w:sz w:val="28"/>
          <w:szCs w:val="28"/>
        </w:rPr>
      </w:pPr>
      <w:r>
        <w:rPr>
          <w:b/>
          <w:bCs/>
          <w:sz w:val="28"/>
          <w:szCs w:val="28"/>
        </w:rPr>
        <w:t xml:space="preserve">Bijlage 4 </w:t>
      </w:r>
      <w:r>
        <w:rPr>
          <w:b/>
          <w:bCs/>
          <w:sz w:val="28"/>
          <w:szCs w:val="28"/>
        </w:rPr>
        <w:tab/>
      </w:r>
      <w:r w:rsidR="00130D2F" w:rsidRPr="00034B69">
        <w:rPr>
          <w:b/>
          <w:bCs/>
          <w:sz w:val="28"/>
          <w:szCs w:val="28"/>
        </w:rPr>
        <w:t xml:space="preserve">Voorgestelde wijzingen </w:t>
      </w:r>
      <w:r w:rsidR="00130D2F">
        <w:rPr>
          <w:b/>
          <w:bCs/>
          <w:sz w:val="28"/>
          <w:szCs w:val="28"/>
        </w:rPr>
        <w:t xml:space="preserve">Behandeling </w:t>
      </w:r>
      <w:r w:rsidR="00130D2F" w:rsidRPr="00034B69">
        <w:rPr>
          <w:b/>
          <w:bCs/>
          <w:sz w:val="28"/>
          <w:szCs w:val="28"/>
        </w:rPr>
        <w:t xml:space="preserve">naar aanleiding van de </w:t>
      </w:r>
      <w:proofErr w:type="spellStart"/>
      <w:r w:rsidR="00130D2F" w:rsidRPr="00034B69">
        <w:rPr>
          <w:b/>
          <w:bCs/>
          <w:sz w:val="28"/>
          <w:szCs w:val="28"/>
        </w:rPr>
        <w:t>NvI</w:t>
      </w:r>
      <w:proofErr w:type="spellEnd"/>
    </w:p>
    <w:p w14:paraId="29BEDACA" w14:textId="381D0D34" w:rsidR="00130D2F" w:rsidRDefault="00130D2F" w:rsidP="00130D2F">
      <w:r>
        <w:t>Al deze wijzigingen zijn onder voorbehoud van bestuurlijke besluitvorming.</w:t>
      </w:r>
    </w:p>
    <w:tbl>
      <w:tblPr>
        <w:tblStyle w:val="Tabelraster"/>
        <w:tblW w:w="0" w:type="auto"/>
        <w:tblLook w:val="04A0" w:firstRow="1" w:lastRow="0" w:firstColumn="1" w:lastColumn="0" w:noHBand="0" w:noVBand="1"/>
      </w:tblPr>
      <w:tblGrid>
        <w:gridCol w:w="4531"/>
        <w:gridCol w:w="4531"/>
      </w:tblGrid>
      <w:tr w:rsidR="00130D2F" w:rsidRPr="0081065A" w14:paraId="23BB92AD" w14:textId="77777777" w:rsidTr="00210A27">
        <w:tc>
          <w:tcPr>
            <w:tcW w:w="4531" w:type="dxa"/>
          </w:tcPr>
          <w:p w14:paraId="19DC533F" w14:textId="37144291" w:rsidR="00130D2F" w:rsidRPr="0081065A" w:rsidRDefault="00130D2F" w:rsidP="00210A27">
            <w:pPr>
              <w:rPr>
                <w:rFonts w:ascii="Calibri" w:hAnsi="Calibri" w:cs="Calibri"/>
                <w:b/>
                <w:bCs/>
                <w:sz w:val="22"/>
                <w:szCs w:val="22"/>
              </w:rPr>
            </w:pPr>
            <w:r w:rsidRPr="0081065A">
              <w:rPr>
                <w:rFonts w:ascii="Calibri" w:hAnsi="Calibri" w:cs="Calibri"/>
                <w:b/>
                <w:bCs/>
                <w:sz w:val="22"/>
                <w:szCs w:val="22"/>
              </w:rPr>
              <w:t xml:space="preserve">Wijziging </w:t>
            </w:r>
            <w:r>
              <w:rPr>
                <w:rFonts w:ascii="Calibri" w:hAnsi="Calibri" w:cs="Calibri"/>
                <w:b/>
                <w:bCs/>
                <w:sz w:val="22"/>
                <w:szCs w:val="22"/>
              </w:rPr>
              <w:t xml:space="preserve">Behandeling </w:t>
            </w:r>
            <w:r w:rsidRPr="0081065A">
              <w:rPr>
                <w:rFonts w:ascii="Calibri" w:hAnsi="Calibri" w:cs="Calibri"/>
                <w:b/>
                <w:bCs/>
                <w:sz w:val="22"/>
                <w:szCs w:val="22"/>
              </w:rPr>
              <w:t xml:space="preserve">na </w:t>
            </w:r>
            <w:proofErr w:type="spellStart"/>
            <w:r w:rsidRPr="0081065A">
              <w:rPr>
                <w:rFonts w:ascii="Calibri" w:hAnsi="Calibri" w:cs="Calibri"/>
                <w:b/>
                <w:bCs/>
                <w:sz w:val="22"/>
                <w:szCs w:val="22"/>
              </w:rPr>
              <w:t>NvI</w:t>
            </w:r>
            <w:proofErr w:type="spellEnd"/>
            <w:r w:rsidR="00AD0CEA">
              <w:rPr>
                <w:rFonts w:ascii="Calibri" w:hAnsi="Calibri" w:cs="Calibri"/>
                <w:b/>
                <w:bCs/>
                <w:sz w:val="22"/>
                <w:szCs w:val="22"/>
              </w:rPr>
              <w:t xml:space="preserve"> 1</w:t>
            </w:r>
          </w:p>
        </w:tc>
        <w:tc>
          <w:tcPr>
            <w:tcW w:w="4531" w:type="dxa"/>
          </w:tcPr>
          <w:p w14:paraId="347265E3" w14:textId="77777777" w:rsidR="00130D2F" w:rsidRPr="0081065A" w:rsidRDefault="00130D2F" w:rsidP="00210A27">
            <w:pPr>
              <w:rPr>
                <w:rFonts w:ascii="Calibri" w:hAnsi="Calibri" w:cs="Calibri"/>
                <w:b/>
                <w:bCs/>
                <w:sz w:val="22"/>
                <w:szCs w:val="22"/>
              </w:rPr>
            </w:pPr>
            <w:r>
              <w:rPr>
                <w:rFonts w:ascii="Calibri" w:hAnsi="Calibri" w:cs="Calibri"/>
                <w:b/>
                <w:bCs/>
                <w:sz w:val="22"/>
                <w:szCs w:val="22"/>
              </w:rPr>
              <w:t>Toelichting</w:t>
            </w:r>
          </w:p>
        </w:tc>
      </w:tr>
      <w:tr w:rsidR="00130D2F" w:rsidRPr="0081065A" w14:paraId="6A801165" w14:textId="77777777" w:rsidTr="00210A27">
        <w:tc>
          <w:tcPr>
            <w:tcW w:w="4531" w:type="dxa"/>
          </w:tcPr>
          <w:p w14:paraId="6DF6CF30" w14:textId="77777777" w:rsidR="00130D2F" w:rsidRPr="0081065A" w:rsidRDefault="00130D2F" w:rsidP="00130D2F">
            <w:pPr>
              <w:pStyle w:val="Lijstalinea"/>
              <w:numPr>
                <w:ilvl w:val="0"/>
                <w:numId w:val="1"/>
              </w:numPr>
              <w:rPr>
                <w:rFonts w:ascii="Calibri" w:eastAsiaTheme="minorEastAsia" w:hAnsi="Calibri" w:cs="Calibri"/>
                <w:kern w:val="24"/>
                <w:sz w:val="22"/>
                <w:szCs w:val="22"/>
              </w:rPr>
            </w:pPr>
            <w:proofErr w:type="gramStart"/>
            <w:r w:rsidRPr="0081065A">
              <w:rPr>
                <w:rFonts w:ascii="Calibri" w:eastAsiaTheme="minorEastAsia" w:hAnsi="Calibri" w:cs="Calibri"/>
                <w:kern w:val="24"/>
                <w:sz w:val="22"/>
                <w:szCs w:val="22"/>
              </w:rPr>
              <w:t>GGZ salarisschalenmix</w:t>
            </w:r>
            <w:proofErr w:type="gramEnd"/>
            <w:r w:rsidRPr="0081065A">
              <w:rPr>
                <w:rFonts w:ascii="Calibri" w:eastAsiaTheme="minorEastAsia" w:hAnsi="Calibri" w:cs="Calibri"/>
                <w:kern w:val="24"/>
                <w:sz w:val="22"/>
                <w:szCs w:val="22"/>
              </w:rPr>
              <w:t xml:space="preserve"> aangepast naar waarden uit 4e concept Eindrapportage</w:t>
            </w:r>
          </w:p>
        </w:tc>
        <w:tc>
          <w:tcPr>
            <w:tcW w:w="4531" w:type="dxa"/>
          </w:tcPr>
          <w:p w14:paraId="30774432" w14:textId="5B4052AD" w:rsidR="00130D2F" w:rsidRPr="0081065A" w:rsidRDefault="00130D2F" w:rsidP="00210A27">
            <w:pPr>
              <w:rPr>
                <w:rFonts w:ascii="Calibri" w:eastAsiaTheme="minorEastAsia" w:hAnsi="Calibri" w:cs="Calibri"/>
                <w:kern w:val="24"/>
                <w:sz w:val="22"/>
                <w:szCs w:val="22"/>
              </w:rPr>
            </w:pPr>
            <w:r>
              <w:rPr>
                <w:rFonts w:ascii="Calibri" w:eastAsiaTheme="minorEastAsia" w:hAnsi="Calibri" w:cs="Calibri"/>
                <w:kern w:val="24"/>
                <w:sz w:val="22"/>
                <w:szCs w:val="22"/>
              </w:rPr>
              <w:t>In de tariefberekening stond een afwijkend percentage voor de salari</w:t>
            </w:r>
            <w:r w:rsidR="00B7264C">
              <w:rPr>
                <w:rFonts w:ascii="Calibri" w:eastAsiaTheme="minorEastAsia" w:hAnsi="Calibri" w:cs="Calibri"/>
                <w:kern w:val="24"/>
                <w:sz w:val="22"/>
                <w:szCs w:val="22"/>
              </w:rPr>
              <w:t>s</w:t>
            </w:r>
            <w:r>
              <w:rPr>
                <w:rFonts w:ascii="Calibri" w:eastAsiaTheme="minorEastAsia" w:hAnsi="Calibri" w:cs="Calibri"/>
                <w:kern w:val="24"/>
                <w:sz w:val="22"/>
                <w:szCs w:val="22"/>
              </w:rPr>
              <w:t>schalenmix ten opzichte van salarisschalenmix die stond opgenomen in de 4</w:t>
            </w:r>
            <w:r w:rsidRPr="0081065A">
              <w:rPr>
                <w:rFonts w:ascii="Calibri" w:eastAsiaTheme="minorEastAsia" w:hAnsi="Calibri" w:cs="Calibri"/>
                <w:kern w:val="24"/>
                <w:sz w:val="22"/>
                <w:szCs w:val="22"/>
                <w:vertAlign w:val="superscript"/>
              </w:rPr>
              <w:t>e</w:t>
            </w:r>
            <w:r>
              <w:rPr>
                <w:rFonts w:ascii="Calibri" w:eastAsiaTheme="minorEastAsia" w:hAnsi="Calibri" w:cs="Calibri"/>
                <w:kern w:val="24"/>
                <w:sz w:val="22"/>
                <w:szCs w:val="22"/>
              </w:rPr>
              <w:t xml:space="preserve"> conceptrapportage. De mix in de conceptrapportage was actueel, deze is overgenomen in de tariefonderbouwing.</w:t>
            </w:r>
          </w:p>
        </w:tc>
      </w:tr>
      <w:tr w:rsidR="00130D2F" w:rsidRPr="0081065A" w14:paraId="5257CE38" w14:textId="77777777" w:rsidTr="00210A27">
        <w:tc>
          <w:tcPr>
            <w:tcW w:w="4531" w:type="dxa"/>
          </w:tcPr>
          <w:p w14:paraId="4E284AB9"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Cao-mix jeugdzorg – gehandicaptenzorg naar 80% - 20% (was: 50%-50%)</w:t>
            </w:r>
          </w:p>
        </w:tc>
        <w:tc>
          <w:tcPr>
            <w:tcW w:w="4531" w:type="dxa"/>
          </w:tcPr>
          <w:p w14:paraId="7AC77EC9" w14:textId="77777777" w:rsidR="00130D2F" w:rsidRPr="0081065A" w:rsidRDefault="00130D2F" w:rsidP="00210A27">
            <w:pPr>
              <w:rPr>
                <w:rFonts w:ascii="Calibri" w:hAnsi="Calibri" w:cs="Calibri"/>
                <w:sz w:val="22"/>
                <w:szCs w:val="22"/>
              </w:rPr>
            </w:pPr>
            <w:r>
              <w:rPr>
                <w:rFonts w:ascii="Calibri" w:hAnsi="Calibri" w:cs="Calibri"/>
                <w:sz w:val="22"/>
                <w:szCs w:val="22"/>
              </w:rPr>
              <w:t xml:space="preserve">In de </w:t>
            </w:r>
            <w:r>
              <w:rPr>
                <w:rFonts w:ascii="Calibri" w:eastAsiaTheme="minorEastAsia" w:hAnsi="Calibri" w:cs="Calibri"/>
                <w:kern w:val="24"/>
                <w:sz w:val="22"/>
                <w:szCs w:val="22"/>
              </w:rPr>
              <w:t>4</w:t>
            </w:r>
            <w:r w:rsidRPr="0081065A">
              <w:rPr>
                <w:rFonts w:ascii="Calibri" w:eastAsiaTheme="minorEastAsia" w:hAnsi="Calibri" w:cs="Calibri"/>
                <w:kern w:val="24"/>
                <w:sz w:val="22"/>
                <w:szCs w:val="22"/>
                <w:vertAlign w:val="superscript"/>
              </w:rPr>
              <w:t>e</w:t>
            </w:r>
            <w:r>
              <w:rPr>
                <w:rFonts w:ascii="Calibri" w:eastAsiaTheme="minorEastAsia" w:hAnsi="Calibri" w:cs="Calibri"/>
                <w:kern w:val="24"/>
                <w:sz w:val="22"/>
                <w:szCs w:val="22"/>
              </w:rPr>
              <w:t xml:space="preserve"> conceptrapportage was een cao-verdeling van 50%-50% opgenomen om de ontbrekende gegevens vanuit de sector Gehandicaptenzorg op te vullen. Deze mix is nu aangepast op basis van de omzetverdeling tussen instellingen met deze cao’s in 2025.</w:t>
            </w:r>
          </w:p>
        </w:tc>
      </w:tr>
      <w:tr w:rsidR="00130D2F" w:rsidRPr="0081065A" w14:paraId="42700F77" w14:textId="77777777" w:rsidTr="00210A27">
        <w:tc>
          <w:tcPr>
            <w:tcW w:w="4531" w:type="dxa"/>
          </w:tcPr>
          <w:p w14:paraId="0D8F1516"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Schaal 8 en FWG45 verwijderd uit de salarisschalenmix, toegevoegd aan schaal 9 en FWG50</w:t>
            </w:r>
          </w:p>
        </w:tc>
        <w:tc>
          <w:tcPr>
            <w:tcW w:w="4531" w:type="dxa"/>
          </w:tcPr>
          <w:p w14:paraId="45289F32" w14:textId="77777777" w:rsidR="00130D2F" w:rsidRPr="0081065A" w:rsidRDefault="00130D2F" w:rsidP="00210A27">
            <w:pPr>
              <w:rPr>
                <w:rFonts w:ascii="Calibri" w:hAnsi="Calibri" w:cs="Calibri"/>
                <w:sz w:val="22"/>
                <w:szCs w:val="22"/>
              </w:rPr>
            </w:pPr>
            <w:r>
              <w:rPr>
                <w:rFonts w:ascii="Calibri" w:hAnsi="Calibri" w:cs="Calibri"/>
                <w:sz w:val="22"/>
                <w:szCs w:val="22"/>
              </w:rPr>
              <w:t>In de onderzoeksdata is inzet van schaal 8 gerapporteerd. De nieuwe productbeschrijvingen zijn niet passend voor de inzet van schaal 8, dus deze is – samen met de FWG45 – uit salarisschalenmix gehaald. De percentages zijn toegevoegd aan schaal 9 en FWG50.</w:t>
            </w:r>
          </w:p>
        </w:tc>
      </w:tr>
      <w:tr w:rsidR="00130D2F" w:rsidRPr="0081065A" w14:paraId="09614B66" w14:textId="77777777" w:rsidTr="00210A27">
        <w:tc>
          <w:tcPr>
            <w:tcW w:w="4531" w:type="dxa"/>
          </w:tcPr>
          <w:p w14:paraId="600E1AF3"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 xml:space="preserve">Effecten van wijzigingen </w:t>
            </w:r>
            <w:proofErr w:type="gramStart"/>
            <w:r w:rsidRPr="0081065A">
              <w:rPr>
                <w:rFonts w:ascii="Calibri" w:eastAsiaTheme="minorEastAsia" w:hAnsi="Calibri" w:cs="Calibri"/>
                <w:kern w:val="24"/>
                <w:sz w:val="22"/>
                <w:szCs w:val="22"/>
              </w:rPr>
              <w:t>cao ggz</w:t>
            </w:r>
            <w:proofErr w:type="gramEnd"/>
            <w:r w:rsidRPr="0081065A">
              <w:rPr>
                <w:rFonts w:ascii="Calibri" w:eastAsiaTheme="minorEastAsia" w:hAnsi="Calibri" w:cs="Calibri"/>
                <w:kern w:val="24"/>
                <w:sz w:val="22"/>
                <w:szCs w:val="22"/>
              </w:rPr>
              <w:t xml:space="preserve"> 2025-2026 toegevoegd </w:t>
            </w:r>
            <w:r w:rsidRPr="0081065A">
              <w:sym w:font="Wingdings" w:char="F0E0"/>
            </w:r>
            <w:r w:rsidRPr="0081065A">
              <w:rPr>
                <w:rFonts w:ascii="Calibri" w:eastAsiaTheme="minorEastAsia" w:hAnsi="Calibri" w:cs="Calibri"/>
                <w:kern w:val="24"/>
                <w:sz w:val="22"/>
                <w:szCs w:val="22"/>
              </w:rPr>
              <w:t xml:space="preserve"> + €1.600 extra overheadopslag per fte + vakantiegeld 8,33%</w:t>
            </w:r>
          </w:p>
        </w:tc>
        <w:tc>
          <w:tcPr>
            <w:tcW w:w="4531" w:type="dxa"/>
          </w:tcPr>
          <w:p w14:paraId="182CCA80" w14:textId="77777777" w:rsidR="00130D2F" w:rsidRPr="0081065A" w:rsidRDefault="00130D2F" w:rsidP="00210A27">
            <w:pPr>
              <w:rPr>
                <w:rFonts w:ascii="Calibri" w:hAnsi="Calibri" w:cs="Calibri"/>
                <w:sz w:val="22"/>
                <w:szCs w:val="22"/>
              </w:rPr>
            </w:pPr>
            <w:r>
              <w:rPr>
                <w:rFonts w:ascii="Calibri" w:hAnsi="Calibri" w:cs="Calibri"/>
                <w:sz w:val="22"/>
                <w:szCs w:val="22"/>
              </w:rPr>
              <w:t xml:space="preserve">De financiële gegevens zijn gebaseerd op het boekjaar 2024. In 2025 is voor de ggz een nieuwe cao van kracht geworden, waarvan de effecten (dus) niet in de gerapporteerde kosten zitten. Meerdere zorgaanbieders hebben hier in de </w:t>
            </w:r>
            <w:proofErr w:type="spellStart"/>
            <w:r>
              <w:rPr>
                <w:rFonts w:ascii="Calibri" w:hAnsi="Calibri" w:cs="Calibri"/>
                <w:sz w:val="22"/>
                <w:szCs w:val="22"/>
              </w:rPr>
              <w:t>NvI</w:t>
            </w:r>
            <w:proofErr w:type="spellEnd"/>
            <w:r>
              <w:rPr>
                <w:rFonts w:ascii="Calibri" w:hAnsi="Calibri" w:cs="Calibri"/>
                <w:sz w:val="22"/>
                <w:szCs w:val="22"/>
              </w:rPr>
              <w:t xml:space="preserve"> vragen over gesteld, helaas heeft geen zorgaanbieder inzicht gegeven over de omvang het effect. Deze is om die reden door ons zelf benaderd. De eindrapportage bevat een overzicht van de aannames en de uitkomsten.</w:t>
            </w:r>
          </w:p>
        </w:tc>
      </w:tr>
      <w:tr w:rsidR="00130D2F" w:rsidRPr="0081065A" w14:paraId="07BFE390" w14:textId="77777777" w:rsidTr="00210A27">
        <w:tc>
          <w:tcPr>
            <w:tcW w:w="4531" w:type="dxa"/>
          </w:tcPr>
          <w:p w14:paraId="749632B0"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 xml:space="preserve">Behandeling A: overheadnorm 21% hoger naar €41.000, </w:t>
            </w:r>
            <w:proofErr w:type="spellStart"/>
            <w:r w:rsidRPr="0081065A">
              <w:rPr>
                <w:rFonts w:ascii="Calibri" w:eastAsiaTheme="minorEastAsia" w:hAnsi="Calibri" w:cs="Calibri"/>
                <w:kern w:val="24"/>
                <w:sz w:val="22"/>
                <w:szCs w:val="22"/>
              </w:rPr>
              <w:t>declarabiliteit</w:t>
            </w:r>
            <w:proofErr w:type="spellEnd"/>
            <w:r w:rsidRPr="0081065A">
              <w:rPr>
                <w:rFonts w:ascii="Calibri" w:eastAsiaTheme="minorEastAsia" w:hAnsi="Calibri" w:cs="Calibri"/>
                <w:kern w:val="24"/>
                <w:sz w:val="22"/>
                <w:szCs w:val="22"/>
              </w:rPr>
              <w:t xml:space="preserve"> naar 1.220, tariefdaling 3,5%</w:t>
            </w:r>
          </w:p>
        </w:tc>
        <w:tc>
          <w:tcPr>
            <w:tcW w:w="4531" w:type="dxa"/>
          </w:tcPr>
          <w:p w14:paraId="41237157" w14:textId="4DB09688" w:rsidR="00130D2F" w:rsidRPr="0081065A" w:rsidRDefault="00130D2F" w:rsidP="00210A27">
            <w:pPr>
              <w:rPr>
                <w:rFonts w:ascii="Calibri" w:hAnsi="Calibri" w:cs="Calibri"/>
                <w:sz w:val="22"/>
                <w:szCs w:val="22"/>
              </w:rPr>
            </w:pPr>
            <w:r>
              <w:rPr>
                <w:rFonts w:ascii="Calibri" w:hAnsi="Calibri" w:cs="Calibri"/>
                <w:sz w:val="22"/>
                <w:szCs w:val="22"/>
              </w:rPr>
              <w:t>Behandeling A was grotendeels gemodelleerd naar vrijg</w:t>
            </w:r>
            <w:r w:rsidR="00B7264C">
              <w:rPr>
                <w:rFonts w:ascii="Calibri" w:hAnsi="Calibri" w:cs="Calibri"/>
                <w:sz w:val="22"/>
                <w:szCs w:val="22"/>
              </w:rPr>
              <w:t>e</w:t>
            </w:r>
            <w:r>
              <w:rPr>
                <w:rFonts w:ascii="Calibri" w:hAnsi="Calibri" w:cs="Calibri"/>
                <w:sz w:val="22"/>
                <w:szCs w:val="22"/>
              </w:rPr>
              <w:t xml:space="preserve">vestigden en kleine praktijken. Dat leidde tot verwarring. Dit is aangepast, Behandeling A is nu gemodelleerd op basis van instellingen. De overhead is gebaseerd op de instellingen zonder verblijf, de productiviteit is </w:t>
            </w:r>
            <w:proofErr w:type="gramStart"/>
            <w:r>
              <w:rPr>
                <w:rFonts w:ascii="Calibri" w:hAnsi="Calibri" w:cs="Calibri"/>
                <w:sz w:val="22"/>
                <w:szCs w:val="22"/>
              </w:rPr>
              <w:t>gelijk getrokken</w:t>
            </w:r>
            <w:proofErr w:type="gramEnd"/>
            <w:r>
              <w:rPr>
                <w:rFonts w:ascii="Calibri" w:hAnsi="Calibri" w:cs="Calibri"/>
                <w:sz w:val="22"/>
                <w:szCs w:val="22"/>
              </w:rPr>
              <w:t xml:space="preserve"> met Behandeling B-F.</w:t>
            </w:r>
          </w:p>
        </w:tc>
      </w:tr>
      <w:tr w:rsidR="00130D2F" w:rsidRPr="0081065A" w14:paraId="3F761AF4" w14:textId="77777777" w:rsidTr="00210A27">
        <w:tc>
          <w:tcPr>
            <w:tcW w:w="4531" w:type="dxa"/>
          </w:tcPr>
          <w:p w14:paraId="6789AD54"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Behandeling B: overheadnorm 5,2% hoger naar €50.000</w:t>
            </w:r>
          </w:p>
        </w:tc>
        <w:tc>
          <w:tcPr>
            <w:tcW w:w="4531" w:type="dxa"/>
          </w:tcPr>
          <w:p w14:paraId="27CB5B30" w14:textId="77777777" w:rsidR="00130D2F" w:rsidRPr="0081065A" w:rsidRDefault="00130D2F" w:rsidP="00210A27">
            <w:pPr>
              <w:rPr>
                <w:rFonts w:ascii="Calibri" w:hAnsi="Calibri" w:cs="Calibri"/>
                <w:sz w:val="22"/>
                <w:szCs w:val="22"/>
              </w:rPr>
            </w:pPr>
            <w:r>
              <w:rPr>
                <w:rFonts w:ascii="Calibri" w:hAnsi="Calibri" w:cs="Calibri"/>
                <w:sz w:val="22"/>
                <w:szCs w:val="22"/>
              </w:rPr>
              <w:t>In het gemiddelde van Behandeling B bleek één instelling te zijn opgenomen die géén verblijf bleek te hebben. Deze is uit het gemiddelde verwijderd. Verder zijn twee instellingen toegevoegd die onder Behandeling C vallen, dit omdat Behandeling B en C dezelfde omvang van de overhead hebben. De overhead van €50.000 is nu gebaseerd op 5 meetwaarden met een spreiding van €45.000 tot €55.000 op prijspeil 2026.</w:t>
            </w:r>
          </w:p>
        </w:tc>
      </w:tr>
      <w:tr w:rsidR="00130D2F" w:rsidRPr="0081065A" w14:paraId="723708CF" w14:textId="77777777" w:rsidTr="00210A27">
        <w:tc>
          <w:tcPr>
            <w:tcW w:w="4531" w:type="dxa"/>
          </w:tcPr>
          <w:p w14:paraId="30F4C64D"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lastRenderedPageBreak/>
              <w:t>Medicatiecontrole: overheadnorm 28% hoger naar €64.000 (gelijk aan Behandeling E)</w:t>
            </w:r>
          </w:p>
        </w:tc>
        <w:tc>
          <w:tcPr>
            <w:tcW w:w="4531" w:type="dxa"/>
          </w:tcPr>
          <w:p w14:paraId="396852A3" w14:textId="77777777" w:rsidR="00130D2F" w:rsidRPr="0081065A" w:rsidRDefault="00130D2F" w:rsidP="00210A27">
            <w:pPr>
              <w:rPr>
                <w:rFonts w:ascii="Calibri" w:hAnsi="Calibri" w:cs="Calibri"/>
                <w:sz w:val="22"/>
                <w:szCs w:val="22"/>
              </w:rPr>
            </w:pPr>
            <w:r>
              <w:rPr>
                <w:rFonts w:ascii="Calibri" w:hAnsi="Calibri" w:cs="Calibri"/>
                <w:sz w:val="22"/>
                <w:szCs w:val="22"/>
              </w:rPr>
              <w:t>Tijdens de marktconsultatie bleek dat de onderbouwing van de overheadomvang medicatiecontrole nog onduidelijk was. Deze is nu aangepast, naar het niveau van Behandeling E. In Behandeling E zijn de meeste kinderpsychiaters gerapporteerd.</w:t>
            </w:r>
          </w:p>
        </w:tc>
      </w:tr>
      <w:tr w:rsidR="00130D2F" w:rsidRPr="0081065A" w14:paraId="62530A91" w14:textId="77777777" w:rsidTr="00210A27">
        <w:tc>
          <w:tcPr>
            <w:tcW w:w="4531" w:type="dxa"/>
          </w:tcPr>
          <w:p w14:paraId="4459E5FC"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Toegangscriterium ‘geen cao ggz, wel &gt;64% wo’ geschrapt. Toegang tot Behandeling C met cao ggz</w:t>
            </w:r>
          </w:p>
        </w:tc>
        <w:tc>
          <w:tcPr>
            <w:tcW w:w="4531" w:type="dxa"/>
          </w:tcPr>
          <w:p w14:paraId="47D8C6E5" w14:textId="77777777" w:rsidR="00130D2F" w:rsidRPr="0081065A" w:rsidRDefault="00130D2F" w:rsidP="00210A27">
            <w:pPr>
              <w:rPr>
                <w:rFonts w:ascii="Calibri" w:hAnsi="Calibri" w:cs="Calibri"/>
                <w:sz w:val="22"/>
                <w:szCs w:val="22"/>
              </w:rPr>
            </w:pPr>
            <w:r>
              <w:rPr>
                <w:rFonts w:ascii="Calibri" w:hAnsi="Calibri" w:cs="Calibri"/>
                <w:sz w:val="22"/>
                <w:szCs w:val="22"/>
              </w:rPr>
              <w:t xml:space="preserve">Het criterium ‘&gt;64% wo’ leidde tot veel vragen. Het doel van dit criterium was om eventuele zorgaanbieders die wel ggz-zorg leveren, maar een geheel ander cao hanteren (zoals Onderwijs), alsnog toegang te geven tot Behandeling C. Dit naar aanleiding ervaringen in Twente. Wij hebben dit criterium geschrapt, omdat wij </w:t>
            </w:r>
            <w:proofErr w:type="gramStart"/>
            <w:r>
              <w:rPr>
                <w:rFonts w:ascii="Calibri" w:hAnsi="Calibri" w:cs="Calibri"/>
                <w:sz w:val="22"/>
                <w:szCs w:val="22"/>
              </w:rPr>
              <w:t>er vanuit</w:t>
            </w:r>
            <w:proofErr w:type="gramEnd"/>
            <w:r>
              <w:rPr>
                <w:rFonts w:ascii="Calibri" w:hAnsi="Calibri" w:cs="Calibri"/>
                <w:sz w:val="22"/>
                <w:szCs w:val="22"/>
              </w:rPr>
              <w:t xml:space="preserve"> gaan dat een dergelijke situatie zich in Zorgregio Midden-IJssel/Oost-Veluwe niet voordoet. Hierdoor is de tariefdifferentiatie Behandeling </w:t>
            </w:r>
            <w:proofErr w:type="gramStart"/>
            <w:r>
              <w:rPr>
                <w:rFonts w:ascii="Calibri" w:hAnsi="Calibri" w:cs="Calibri"/>
                <w:sz w:val="22"/>
                <w:szCs w:val="22"/>
              </w:rPr>
              <w:t>C  uitsluitend</w:t>
            </w:r>
            <w:proofErr w:type="gramEnd"/>
            <w:r>
              <w:rPr>
                <w:rFonts w:ascii="Calibri" w:hAnsi="Calibri" w:cs="Calibri"/>
                <w:sz w:val="22"/>
                <w:szCs w:val="22"/>
              </w:rPr>
              <w:t xml:space="preserve"> toegankelijk voor instellingen met behandelaren in loondienst conform en op basis van de cao ggz.</w:t>
            </w:r>
          </w:p>
        </w:tc>
      </w:tr>
      <w:tr w:rsidR="00130D2F" w:rsidRPr="0081065A" w14:paraId="326A81A0" w14:textId="77777777" w:rsidTr="00210A27">
        <w:tc>
          <w:tcPr>
            <w:tcW w:w="4531" w:type="dxa"/>
          </w:tcPr>
          <w:p w14:paraId="26C9528A"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Toegangscriterium ‘&gt;3% kinderpsychiater’ gewijzigd naar ‘&gt;3% klinisch psycholoog, arts &amp; KP’.</w:t>
            </w:r>
          </w:p>
        </w:tc>
        <w:tc>
          <w:tcPr>
            <w:tcW w:w="4531" w:type="dxa"/>
          </w:tcPr>
          <w:p w14:paraId="14704743" w14:textId="77777777" w:rsidR="00130D2F" w:rsidRPr="0081065A" w:rsidRDefault="00130D2F" w:rsidP="00210A27">
            <w:pPr>
              <w:rPr>
                <w:rFonts w:ascii="Calibri" w:hAnsi="Calibri" w:cs="Calibri"/>
                <w:sz w:val="22"/>
                <w:szCs w:val="22"/>
              </w:rPr>
            </w:pPr>
            <w:r>
              <w:rPr>
                <w:rFonts w:ascii="Calibri" w:hAnsi="Calibri" w:cs="Calibri"/>
                <w:sz w:val="22"/>
                <w:szCs w:val="22"/>
              </w:rPr>
              <w:t xml:space="preserve">Het criterium ‘&gt;3% kinderpsychiater’ leidde tot meerdere reacties. Deze reacties hebben ertoe geleid dat de &gt;3% norm niet meer alleen betrekking heeft op de inzet van de kinderpsychiater, maar ook op de uren van de </w:t>
            </w:r>
            <w:r w:rsidRPr="0081065A">
              <w:rPr>
                <w:rFonts w:ascii="Calibri" w:eastAsiaTheme="minorEastAsia" w:hAnsi="Calibri" w:cs="Calibri"/>
                <w:kern w:val="24"/>
                <w:sz w:val="22"/>
                <w:szCs w:val="22"/>
              </w:rPr>
              <w:t>klinisch (neuro)psycholoog</w:t>
            </w:r>
            <w:r>
              <w:rPr>
                <w:rFonts w:ascii="Calibri" w:eastAsiaTheme="minorEastAsia" w:hAnsi="Calibri" w:cs="Calibri"/>
                <w:kern w:val="24"/>
                <w:sz w:val="22"/>
                <w:szCs w:val="22"/>
              </w:rPr>
              <w:t xml:space="preserve">, </w:t>
            </w:r>
            <w:r w:rsidRPr="0081065A">
              <w:rPr>
                <w:rFonts w:ascii="Calibri" w:eastAsiaTheme="minorEastAsia" w:hAnsi="Calibri" w:cs="Calibri"/>
                <w:kern w:val="24"/>
                <w:sz w:val="22"/>
                <w:szCs w:val="22"/>
              </w:rPr>
              <w:t xml:space="preserve">Arts </w:t>
            </w:r>
            <w:proofErr w:type="gramStart"/>
            <w:r w:rsidRPr="0081065A">
              <w:rPr>
                <w:rFonts w:ascii="Calibri" w:eastAsiaTheme="minorEastAsia" w:hAnsi="Calibri" w:cs="Calibri"/>
                <w:kern w:val="24"/>
                <w:sz w:val="22"/>
                <w:szCs w:val="22"/>
              </w:rPr>
              <w:t>VG /</w:t>
            </w:r>
            <w:proofErr w:type="gramEnd"/>
            <w:r w:rsidRPr="0081065A">
              <w:rPr>
                <w:rFonts w:ascii="Calibri" w:eastAsiaTheme="minorEastAsia" w:hAnsi="Calibri" w:cs="Calibri"/>
                <w:kern w:val="24"/>
                <w:sz w:val="22"/>
                <w:szCs w:val="22"/>
              </w:rPr>
              <w:t xml:space="preserve"> Verslavingsarts / kinderarts</w:t>
            </w:r>
            <w:r>
              <w:rPr>
                <w:rFonts w:ascii="Calibri" w:eastAsiaTheme="minorEastAsia" w:hAnsi="Calibri" w:cs="Calibri"/>
                <w:kern w:val="24"/>
                <w:sz w:val="22"/>
                <w:szCs w:val="22"/>
              </w:rPr>
              <w:t xml:space="preserve">. </w:t>
            </w:r>
          </w:p>
        </w:tc>
      </w:tr>
      <w:tr w:rsidR="00130D2F" w:rsidRPr="0081065A" w14:paraId="60CA1C37" w14:textId="77777777" w:rsidTr="00210A27">
        <w:tc>
          <w:tcPr>
            <w:tcW w:w="4531" w:type="dxa"/>
          </w:tcPr>
          <w:p w14:paraId="3AFB9803"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 xml:space="preserve">Toegangscriterium ‘multidisciplinair team’ wordt ‘minimaal 3 BIG-geregistreerde behandelaars met verschillende functies, met tenminste een klinisch (neuro)psycholoog of </w:t>
            </w:r>
            <w:proofErr w:type="gramStart"/>
            <w:r w:rsidRPr="0081065A">
              <w:rPr>
                <w:rFonts w:ascii="Calibri" w:eastAsiaTheme="minorEastAsia" w:hAnsi="Calibri" w:cs="Calibri"/>
                <w:kern w:val="24"/>
                <w:sz w:val="22"/>
                <w:szCs w:val="22"/>
              </w:rPr>
              <w:t>kinderpsychiater /</w:t>
            </w:r>
            <w:proofErr w:type="gramEnd"/>
            <w:r w:rsidRPr="0081065A">
              <w:rPr>
                <w:rFonts w:ascii="Calibri" w:eastAsiaTheme="minorEastAsia" w:hAnsi="Calibri" w:cs="Calibri"/>
                <w:kern w:val="24"/>
                <w:sz w:val="22"/>
                <w:szCs w:val="22"/>
              </w:rPr>
              <w:t xml:space="preserve"> Arts VG / Verslavingsarts / kinderarts</w:t>
            </w:r>
          </w:p>
        </w:tc>
        <w:tc>
          <w:tcPr>
            <w:tcW w:w="4531" w:type="dxa"/>
          </w:tcPr>
          <w:p w14:paraId="61039077" w14:textId="77777777" w:rsidR="00130D2F" w:rsidRPr="0081065A" w:rsidRDefault="00130D2F" w:rsidP="00210A27">
            <w:pPr>
              <w:rPr>
                <w:rFonts w:ascii="Calibri" w:hAnsi="Calibri" w:cs="Calibri"/>
                <w:sz w:val="22"/>
                <w:szCs w:val="22"/>
              </w:rPr>
            </w:pPr>
            <w:r>
              <w:rPr>
                <w:rFonts w:ascii="Calibri" w:hAnsi="Calibri" w:cs="Calibri"/>
                <w:sz w:val="22"/>
                <w:szCs w:val="22"/>
              </w:rPr>
              <w:t xml:space="preserve">Het criterium ‘multidisciplinair team’ is aangepast naar </w:t>
            </w:r>
            <w:r w:rsidRPr="0081065A">
              <w:rPr>
                <w:rFonts w:ascii="Calibri" w:eastAsiaTheme="minorEastAsia" w:hAnsi="Calibri" w:cs="Calibri"/>
                <w:kern w:val="24"/>
                <w:sz w:val="22"/>
                <w:szCs w:val="22"/>
              </w:rPr>
              <w:t xml:space="preserve">‘multidisciplinair team’ wordt ‘minimaal 3 BIG-geregistreerde behandelaars met verschillende functies, met tenminste een klinisch (neuro)psycholoog of </w:t>
            </w:r>
            <w:proofErr w:type="gramStart"/>
            <w:r w:rsidRPr="0081065A">
              <w:rPr>
                <w:rFonts w:ascii="Calibri" w:eastAsiaTheme="minorEastAsia" w:hAnsi="Calibri" w:cs="Calibri"/>
                <w:kern w:val="24"/>
                <w:sz w:val="22"/>
                <w:szCs w:val="22"/>
              </w:rPr>
              <w:t>kinderpsychiater /</w:t>
            </w:r>
            <w:proofErr w:type="gramEnd"/>
            <w:r w:rsidRPr="0081065A">
              <w:rPr>
                <w:rFonts w:ascii="Calibri" w:eastAsiaTheme="minorEastAsia" w:hAnsi="Calibri" w:cs="Calibri"/>
                <w:kern w:val="24"/>
                <w:sz w:val="22"/>
                <w:szCs w:val="22"/>
              </w:rPr>
              <w:t xml:space="preserve"> Arts VG / Verslavingsarts / kinderarts</w:t>
            </w:r>
            <w:r>
              <w:rPr>
                <w:rFonts w:ascii="Calibri" w:eastAsiaTheme="minorEastAsia" w:hAnsi="Calibri" w:cs="Calibri"/>
                <w:kern w:val="24"/>
                <w:sz w:val="22"/>
                <w:szCs w:val="22"/>
              </w:rPr>
              <w:t>. Hiermee is onder meer de rol erkend van de Arts (VG) in de gehandicaptenzorg, die veelal vergelijkbare taken en verantwoordelijkheden heeft als de kinderpsychiater. Verder is BIG-registratie toegevoegd om waardoor het multidisciplinaire team een zwaardere samenstelling krijgt.</w:t>
            </w:r>
          </w:p>
        </w:tc>
      </w:tr>
      <w:tr w:rsidR="00130D2F" w:rsidRPr="0081065A" w14:paraId="434DFB46" w14:textId="77777777" w:rsidTr="00210A27">
        <w:tc>
          <w:tcPr>
            <w:tcW w:w="4531" w:type="dxa"/>
          </w:tcPr>
          <w:p w14:paraId="44A954E7"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Nieuw product ‘Behandeling Polikliniek’ toegevoegd, voor (ggz)-behandeling op poliklinieken.</w:t>
            </w:r>
          </w:p>
        </w:tc>
        <w:tc>
          <w:tcPr>
            <w:tcW w:w="4531" w:type="dxa"/>
          </w:tcPr>
          <w:p w14:paraId="2F2B037A" w14:textId="77777777" w:rsidR="00130D2F" w:rsidRPr="00F503CC" w:rsidRDefault="00130D2F" w:rsidP="00210A27">
            <w:pPr>
              <w:rPr>
                <w:rFonts w:ascii="Calibri" w:hAnsi="Calibri" w:cs="Calibri"/>
                <w:sz w:val="22"/>
                <w:szCs w:val="22"/>
              </w:rPr>
            </w:pPr>
            <w:r>
              <w:rPr>
                <w:rFonts w:ascii="Calibri" w:hAnsi="Calibri" w:cs="Calibri"/>
                <w:sz w:val="22"/>
                <w:szCs w:val="22"/>
              </w:rPr>
              <w:t>Enkele zorgaanbieders gaven aan feitelijk meerdere soorten behandeling te geven</w:t>
            </w:r>
            <w:r w:rsidRPr="00F503CC">
              <w:rPr>
                <w:rFonts w:ascii="Calibri" w:hAnsi="Calibri" w:cs="Calibri"/>
                <w:sz w:val="22"/>
                <w:szCs w:val="22"/>
              </w:rPr>
              <w:t>: ggz en niet-ggz. Met alleen Behandeling B is het mixtarief te laag om beide (gezame</w:t>
            </w:r>
            <w:r>
              <w:rPr>
                <w:rFonts w:ascii="Calibri" w:hAnsi="Calibri" w:cs="Calibri"/>
                <w:sz w:val="22"/>
                <w:szCs w:val="22"/>
              </w:rPr>
              <w:t>n</w:t>
            </w:r>
            <w:r w:rsidRPr="00F503CC">
              <w:rPr>
                <w:rFonts w:ascii="Calibri" w:hAnsi="Calibri" w:cs="Calibri"/>
                <w:sz w:val="22"/>
                <w:szCs w:val="22"/>
              </w:rPr>
              <w:t>lijk) kostendekkend aan te bieden</w:t>
            </w:r>
          </w:p>
          <w:p w14:paraId="203125D5" w14:textId="77777777" w:rsidR="00130D2F" w:rsidRPr="00F503CC" w:rsidRDefault="00130D2F" w:rsidP="00210A27">
            <w:pPr>
              <w:rPr>
                <w:rFonts w:ascii="Calibri" w:hAnsi="Calibri" w:cs="Calibri"/>
                <w:sz w:val="22"/>
                <w:szCs w:val="22"/>
              </w:rPr>
            </w:pPr>
            <w:r w:rsidRPr="00F503CC">
              <w:rPr>
                <w:rFonts w:ascii="Calibri" w:hAnsi="Calibri" w:cs="Calibri"/>
                <w:sz w:val="22"/>
                <w:szCs w:val="22"/>
              </w:rPr>
              <w:t xml:space="preserve">Wij zien </w:t>
            </w:r>
            <w:r>
              <w:rPr>
                <w:rFonts w:ascii="Calibri" w:hAnsi="Calibri" w:cs="Calibri"/>
                <w:sz w:val="22"/>
                <w:szCs w:val="22"/>
              </w:rPr>
              <w:t xml:space="preserve">dat </w:t>
            </w:r>
            <w:r w:rsidRPr="00F503CC">
              <w:rPr>
                <w:rFonts w:ascii="Calibri" w:hAnsi="Calibri" w:cs="Calibri"/>
                <w:sz w:val="22"/>
                <w:szCs w:val="22"/>
              </w:rPr>
              <w:t xml:space="preserve">dit knelpunt voornamelijk speelt in de behandelzorg die wordt geleverd in poliklinieken. Deze behandeling wordt veelal geleverd door een team met een gemiddeld een relatief hoog opleidingsniveau. De behandeling heeft daarmee ook veel gemeen met de behandeling C-F. Om die reden hebben wij </w:t>
            </w:r>
            <w:r w:rsidRPr="00F503CC">
              <w:rPr>
                <w:rFonts w:ascii="Calibri" w:hAnsi="Calibri" w:cs="Calibri"/>
                <w:sz w:val="22"/>
                <w:szCs w:val="22"/>
              </w:rPr>
              <w:lastRenderedPageBreak/>
              <w:t>besloten een extra product toe te voegen: Behandeling Polikliniek. Op dit product kunnen zorgaanbieders een behandeling declareren, buiten de reguliere producten Behandeling A-F. Dit is analoog aan de situatie met het product Forensische zorg, waarvoor dezelfde regeling geldt (declareren naast of buiten de eigen Behandelcategorie A-F). Het product Behandeling Polikliniek is gebaseerd op de salarisschalenmix van Behandeling C-F, maar dan in de cao GHZ. De AMS schaal is als FWG80 opgenomen. De overhead is identiek aan die van Behandeling B.</w:t>
            </w:r>
          </w:p>
          <w:p w14:paraId="18850CEF" w14:textId="77777777" w:rsidR="00130D2F" w:rsidRPr="0081065A" w:rsidRDefault="00130D2F" w:rsidP="00210A27">
            <w:pPr>
              <w:rPr>
                <w:rFonts w:ascii="Calibri" w:hAnsi="Calibri" w:cs="Calibri"/>
                <w:sz w:val="22"/>
                <w:szCs w:val="22"/>
              </w:rPr>
            </w:pPr>
            <w:r w:rsidRPr="00F503CC">
              <w:rPr>
                <w:rFonts w:ascii="Calibri" w:hAnsi="Calibri" w:cs="Calibri"/>
                <w:sz w:val="22"/>
                <w:szCs w:val="22"/>
              </w:rPr>
              <w:t>Door de poliklinische behandeling een eigen product te geven, zal het overig behandeldeel wél kostendekkend vanuit Behandeling B geleverd kunnen worden.</w:t>
            </w:r>
          </w:p>
        </w:tc>
      </w:tr>
      <w:tr w:rsidR="00D40329" w:rsidRPr="0081065A" w14:paraId="6E7723BD" w14:textId="77777777" w:rsidTr="00210A27">
        <w:tc>
          <w:tcPr>
            <w:tcW w:w="4531" w:type="dxa"/>
          </w:tcPr>
          <w:p w14:paraId="3C87E180" w14:textId="79DC9294" w:rsidR="00D40329" w:rsidRPr="0081065A" w:rsidRDefault="00D40329" w:rsidP="00130D2F">
            <w:pPr>
              <w:pStyle w:val="Lijstalinea"/>
              <w:numPr>
                <w:ilvl w:val="0"/>
                <w:numId w:val="1"/>
              </w:numPr>
              <w:rPr>
                <w:rFonts w:ascii="Calibri" w:eastAsiaTheme="minorEastAsia" w:hAnsi="Calibri" w:cs="Calibri"/>
                <w:kern w:val="24"/>
                <w:sz w:val="22"/>
                <w:szCs w:val="22"/>
              </w:rPr>
            </w:pPr>
            <w:r>
              <w:rPr>
                <w:rFonts w:ascii="Calibri" w:eastAsiaTheme="minorEastAsia" w:hAnsi="Calibri" w:cs="Calibri"/>
                <w:kern w:val="24"/>
                <w:sz w:val="22"/>
                <w:szCs w:val="22"/>
              </w:rPr>
              <w:lastRenderedPageBreak/>
              <w:t>Nieuw product ‘Behandeling Medisch specialist toegevoegd, voor vrijgevestigde kinderpsychiaters en artsen</w:t>
            </w:r>
          </w:p>
        </w:tc>
        <w:tc>
          <w:tcPr>
            <w:tcW w:w="4531" w:type="dxa"/>
          </w:tcPr>
          <w:p w14:paraId="2755E86A" w14:textId="77777777" w:rsidR="00D40329" w:rsidRDefault="00D40329" w:rsidP="00210A27">
            <w:pPr>
              <w:rPr>
                <w:rFonts w:ascii="Calibri" w:hAnsi="Calibri" w:cs="Calibri"/>
                <w:sz w:val="22"/>
                <w:szCs w:val="22"/>
              </w:rPr>
            </w:pPr>
            <w:r>
              <w:rPr>
                <w:rFonts w:ascii="Calibri" w:hAnsi="Calibri" w:cs="Calibri"/>
                <w:sz w:val="22"/>
                <w:szCs w:val="22"/>
              </w:rPr>
              <w:t xml:space="preserve">Uit de input van de zorgaanbieders in de </w:t>
            </w:r>
            <w:proofErr w:type="spellStart"/>
            <w:r>
              <w:rPr>
                <w:rFonts w:ascii="Calibri" w:hAnsi="Calibri" w:cs="Calibri"/>
                <w:sz w:val="22"/>
                <w:szCs w:val="22"/>
              </w:rPr>
              <w:t>NvI</w:t>
            </w:r>
            <w:proofErr w:type="spellEnd"/>
            <w:r>
              <w:rPr>
                <w:rFonts w:ascii="Calibri" w:hAnsi="Calibri" w:cs="Calibri"/>
                <w:sz w:val="22"/>
                <w:szCs w:val="22"/>
              </w:rPr>
              <w:t xml:space="preserve"> is meermaals het tekort aan kinderpsychiaters genoemd. Dit nieuwe product maakt het voor kinderpsychiaters aantrekkelijker om te werken voor jeugdigen uit MIJOV.</w:t>
            </w:r>
          </w:p>
          <w:p w14:paraId="43E2CA49" w14:textId="59D86DBF" w:rsidR="00D40329" w:rsidRDefault="00D40329" w:rsidP="00210A27">
            <w:pPr>
              <w:rPr>
                <w:rFonts w:ascii="Calibri" w:hAnsi="Calibri" w:cs="Calibri"/>
                <w:sz w:val="22"/>
                <w:szCs w:val="22"/>
              </w:rPr>
            </w:pPr>
            <w:r>
              <w:rPr>
                <w:rFonts w:ascii="Calibri" w:hAnsi="Calibri" w:cs="Calibri"/>
                <w:sz w:val="22"/>
                <w:szCs w:val="22"/>
              </w:rPr>
              <w:t xml:space="preserve">Verder is gebleken dat sommige vrijgevestigden nauw samenwerken met medisch specialisten. Het tarief Behandeling B is onvoldoende om de kosten van de medisch specialist mee te dekken. Het verhogen van de salarisschalenmix met méér medisch specialist is geen optie, omdat dan </w:t>
            </w:r>
            <w:r w:rsidRPr="00D40329">
              <w:rPr>
                <w:rFonts w:ascii="Calibri" w:hAnsi="Calibri" w:cs="Calibri"/>
                <w:i/>
                <w:iCs/>
                <w:sz w:val="22"/>
                <w:szCs w:val="22"/>
              </w:rPr>
              <w:t>alle</w:t>
            </w:r>
            <w:r>
              <w:rPr>
                <w:rFonts w:ascii="Calibri" w:hAnsi="Calibri" w:cs="Calibri"/>
                <w:sz w:val="22"/>
                <w:szCs w:val="22"/>
              </w:rPr>
              <w:t xml:space="preserve"> zorg duurder wordt. Door het nieuwe product Behandeling Medisch specialist kan de arts of kinderpsychiater nu op een eigen toewijzing de zorg leveren die voor de samenwerking gewenst is.</w:t>
            </w:r>
          </w:p>
        </w:tc>
      </w:tr>
      <w:tr w:rsidR="00130D2F" w:rsidRPr="0081065A" w14:paraId="1CB68E1A" w14:textId="77777777" w:rsidTr="00210A27">
        <w:tc>
          <w:tcPr>
            <w:tcW w:w="4531" w:type="dxa"/>
          </w:tcPr>
          <w:p w14:paraId="21AD8D17" w14:textId="77777777" w:rsidR="00130D2F" w:rsidRPr="0081065A" w:rsidRDefault="00130D2F" w:rsidP="00130D2F">
            <w:pPr>
              <w:pStyle w:val="Lijstalinea"/>
              <w:numPr>
                <w:ilvl w:val="0"/>
                <w:numId w:val="1"/>
              </w:numPr>
              <w:rPr>
                <w:rFonts w:ascii="Calibri" w:hAnsi="Calibri" w:cs="Calibri"/>
                <w:sz w:val="22"/>
                <w:szCs w:val="22"/>
              </w:rPr>
            </w:pPr>
            <w:r w:rsidRPr="0081065A">
              <w:rPr>
                <w:rFonts w:ascii="Calibri" w:eastAsiaTheme="minorEastAsia" w:hAnsi="Calibri" w:cs="Calibri"/>
                <w:kern w:val="24"/>
                <w:sz w:val="22"/>
                <w:szCs w:val="22"/>
              </w:rPr>
              <w:t>Berekening eindejaarsuitkering bij de ggz gewijzigd naar grondslag exclusief vakantiegeld (behalve bij doorrekening pensioenpremie).</w:t>
            </w:r>
          </w:p>
        </w:tc>
        <w:tc>
          <w:tcPr>
            <w:tcW w:w="4531" w:type="dxa"/>
          </w:tcPr>
          <w:p w14:paraId="1A0A6AF9" w14:textId="77777777" w:rsidR="00130D2F" w:rsidRPr="0081065A" w:rsidRDefault="00130D2F" w:rsidP="00210A27">
            <w:pPr>
              <w:rPr>
                <w:rFonts w:ascii="Calibri" w:hAnsi="Calibri" w:cs="Calibri"/>
                <w:sz w:val="22"/>
                <w:szCs w:val="22"/>
              </w:rPr>
            </w:pPr>
            <w:r>
              <w:rPr>
                <w:rFonts w:ascii="Calibri" w:hAnsi="Calibri" w:cs="Calibri"/>
                <w:sz w:val="22"/>
                <w:szCs w:val="22"/>
              </w:rPr>
              <w:t xml:space="preserve">De eindejaarsuitkering in de ggz heeft als grondslag het salaris. In andere cao’s wordt ook het vakantiegeld als grondslag meegenomen. Deze grondslag was ook voor de ggz-tarieven gebruikt, maar dat is nu aangepast. Voor de ggz producten wordt de eindejaarsuitkering berekend op (uitsluitend) het salaris, conform de cao ggz. Voor de berekening van de pensioenpremie is het vakantiegeld over de </w:t>
            </w:r>
            <w:proofErr w:type="spellStart"/>
            <w:r>
              <w:rPr>
                <w:rFonts w:ascii="Calibri" w:hAnsi="Calibri" w:cs="Calibri"/>
                <w:sz w:val="22"/>
                <w:szCs w:val="22"/>
              </w:rPr>
              <w:t>ort</w:t>
            </w:r>
            <w:proofErr w:type="spellEnd"/>
            <w:r>
              <w:rPr>
                <w:rFonts w:ascii="Calibri" w:hAnsi="Calibri" w:cs="Calibri"/>
                <w:sz w:val="22"/>
                <w:szCs w:val="22"/>
              </w:rPr>
              <w:t xml:space="preserve"> nog toegevoegd.</w:t>
            </w:r>
          </w:p>
        </w:tc>
      </w:tr>
      <w:tr w:rsidR="00AD0CEA" w:rsidRPr="0081065A" w14:paraId="229A97D8" w14:textId="77777777" w:rsidTr="00210A27">
        <w:tc>
          <w:tcPr>
            <w:tcW w:w="4531" w:type="dxa"/>
          </w:tcPr>
          <w:p w14:paraId="78922C53" w14:textId="40DE60DC" w:rsidR="00AD0CEA" w:rsidRPr="00AD0CEA" w:rsidRDefault="00AD0CEA" w:rsidP="00AD0CEA">
            <w:pPr>
              <w:rPr>
                <w:rFonts w:ascii="Calibri" w:eastAsiaTheme="minorEastAsia" w:hAnsi="Calibri" w:cs="Calibri"/>
                <w:kern w:val="24"/>
                <w:sz w:val="22"/>
                <w:szCs w:val="22"/>
              </w:rPr>
            </w:pPr>
            <w:r w:rsidRPr="0081065A">
              <w:rPr>
                <w:rFonts w:ascii="Calibri" w:hAnsi="Calibri" w:cs="Calibri"/>
                <w:b/>
                <w:bCs/>
                <w:sz w:val="22"/>
                <w:szCs w:val="22"/>
              </w:rPr>
              <w:t xml:space="preserve">Wijziging </w:t>
            </w:r>
            <w:r>
              <w:rPr>
                <w:rFonts w:ascii="Calibri" w:hAnsi="Calibri" w:cs="Calibri"/>
                <w:b/>
                <w:bCs/>
                <w:sz w:val="22"/>
                <w:szCs w:val="22"/>
              </w:rPr>
              <w:t xml:space="preserve">Behandeling </w:t>
            </w:r>
            <w:r w:rsidRPr="0081065A">
              <w:rPr>
                <w:rFonts w:ascii="Calibri" w:hAnsi="Calibri" w:cs="Calibri"/>
                <w:b/>
                <w:bCs/>
                <w:sz w:val="22"/>
                <w:szCs w:val="22"/>
              </w:rPr>
              <w:t xml:space="preserve">na </w:t>
            </w:r>
            <w:proofErr w:type="spellStart"/>
            <w:r w:rsidRPr="0081065A">
              <w:rPr>
                <w:rFonts w:ascii="Calibri" w:hAnsi="Calibri" w:cs="Calibri"/>
                <w:b/>
                <w:bCs/>
                <w:sz w:val="22"/>
                <w:szCs w:val="22"/>
              </w:rPr>
              <w:t>NvI</w:t>
            </w:r>
            <w:proofErr w:type="spellEnd"/>
            <w:r>
              <w:rPr>
                <w:rFonts w:ascii="Calibri" w:hAnsi="Calibri" w:cs="Calibri"/>
                <w:b/>
                <w:bCs/>
                <w:sz w:val="22"/>
                <w:szCs w:val="22"/>
              </w:rPr>
              <w:t xml:space="preserve"> 2</w:t>
            </w:r>
          </w:p>
        </w:tc>
        <w:tc>
          <w:tcPr>
            <w:tcW w:w="4531" w:type="dxa"/>
          </w:tcPr>
          <w:p w14:paraId="1ABB683C" w14:textId="1AE199E4" w:rsidR="00AD0CEA" w:rsidRDefault="00AD0CEA" w:rsidP="00AD0CEA">
            <w:pPr>
              <w:rPr>
                <w:rFonts w:ascii="Calibri" w:hAnsi="Calibri" w:cs="Calibri"/>
                <w:sz w:val="22"/>
                <w:szCs w:val="22"/>
              </w:rPr>
            </w:pPr>
            <w:r>
              <w:rPr>
                <w:rFonts w:ascii="Calibri" w:hAnsi="Calibri" w:cs="Calibri"/>
                <w:b/>
                <w:bCs/>
                <w:sz w:val="22"/>
                <w:szCs w:val="22"/>
              </w:rPr>
              <w:t>Toelichting</w:t>
            </w:r>
          </w:p>
        </w:tc>
      </w:tr>
      <w:tr w:rsidR="00AD0CEA" w:rsidRPr="0081065A" w14:paraId="6D052A9C" w14:textId="77777777" w:rsidTr="00210A27">
        <w:tc>
          <w:tcPr>
            <w:tcW w:w="4531" w:type="dxa"/>
          </w:tcPr>
          <w:p w14:paraId="43B343B6" w14:textId="1B13DDC5"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Tariefgroep Behandeling F verwijderd</w:t>
            </w:r>
          </w:p>
        </w:tc>
        <w:tc>
          <w:tcPr>
            <w:tcW w:w="4531" w:type="dxa"/>
          </w:tcPr>
          <w:p w14:paraId="4F398737" w14:textId="4C9CE957" w:rsidR="00AD0CEA" w:rsidRPr="00AD0CEA" w:rsidRDefault="00AD0CEA" w:rsidP="00AD0CEA">
            <w:pPr>
              <w:rPr>
                <w:rFonts w:ascii="Calibri" w:hAnsi="Calibri" w:cs="Calibri"/>
                <w:sz w:val="22"/>
                <w:szCs w:val="22"/>
              </w:rPr>
            </w:pPr>
            <w:r w:rsidRPr="00AD0CEA">
              <w:rPr>
                <w:rFonts w:ascii="Calibri" w:hAnsi="Calibri" w:cs="Calibri"/>
                <w:sz w:val="22"/>
                <w:szCs w:val="22"/>
              </w:rPr>
              <w:t xml:space="preserve">De </w:t>
            </w:r>
            <w:r>
              <w:rPr>
                <w:rFonts w:ascii="Calibri" w:hAnsi="Calibri" w:cs="Calibri"/>
                <w:sz w:val="22"/>
                <w:szCs w:val="22"/>
              </w:rPr>
              <w:t xml:space="preserve">academische ggz is uit deze inkoop gehaald </w:t>
            </w:r>
            <w:r w:rsidR="00F1724B">
              <w:rPr>
                <w:rFonts w:ascii="Calibri" w:hAnsi="Calibri" w:cs="Calibri"/>
                <w:sz w:val="22"/>
                <w:szCs w:val="22"/>
              </w:rPr>
              <w:t xml:space="preserve">Bestaande deel II afspraken worden gecontinueerd of opgesteld. </w:t>
            </w:r>
          </w:p>
        </w:tc>
      </w:tr>
      <w:tr w:rsidR="00AD0CEA" w:rsidRPr="0081065A" w14:paraId="6BD5A1FB" w14:textId="77777777" w:rsidTr="00210A27">
        <w:tc>
          <w:tcPr>
            <w:tcW w:w="4531" w:type="dxa"/>
          </w:tcPr>
          <w:p w14:paraId="5C974E9B" w14:textId="1006B5DE"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 xml:space="preserve">Toegevoegd Behandeling </w:t>
            </w:r>
            <w:proofErr w:type="gramStart"/>
            <w:r w:rsidRPr="00AD0CEA">
              <w:rPr>
                <w:rFonts w:ascii="Calibri" w:eastAsiaTheme="minorEastAsia" w:hAnsi="Calibri" w:cs="Calibri"/>
                <w:kern w:val="24"/>
                <w:sz w:val="22"/>
                <w:szCs w:val="22"/>
              </w:rPr>
              <w:t>Vrijgevestigd /</w:t>
            </w:r>
            <w:proofErr w:type="gramEnd"/>
            <w:r w:rsidRPr="00AD0CEA">
              <w:rPr>
                <w:rFonts w:ascii="Calibri" w:eastAsiaTheme="minorEastAsia" w:hAnsi="Calibri" w:cs="Calibri"/>
                <w:kern w:val="24"/>
                <w:sz w:val="22"/>
                <w:szCs w:val="22"/>
              </w:rPr>
              <w:t xml:space="preserve"> Groepsbehandeling Vrijgevestigd</w:t>
            </w:r>
          </w:p>
        </w:tc>
        <w:tc>
          <w:tcPr>
            <w:tcW w:w="4531" w:type="dxa"/>
          </w:tcPr>
          <w:p w14:paraId="33AF6C2C" w14:textId="2B16261D" w:rsidR="00AD0CEA" w:rsidRPr="00AD0CEA" w:rsidRDefault="00AD0CEA" w:rsidP="00AD0CEA">
            <w:pPr>
              <w:rPr>
                <w:rFonts w:ascii="Calibri" w:hAnsi="Calibri" w:cs="Calibri"/>
                <w:sz w:val="22"/>
                <w:szCs w:val="22"/>
              </w:rPr>
            </w:pPr>
            <w:r>
              <w:rPr>
                <w:rFonts w:ascii="Calibri" w:hAnsi="Calibri" w:cs="Calibri"/>
                <w:sz w:val="22"/>
                <w:szCs w:val="22"/>
              </w:rPr>
              <w:t xml:space="preserve">Vrijgevestigden en kleine praktijken gaven aan zich niet te herkennen in de parameters van Behandeling B. Om deze reden is voor hen een aparte tariefgroep toegevoegd, gebaseerd op de </w:t>
            </w:r>
            <w:r>
              <w:rPr>
                <w:rFonts w:ascii="Calibri" w:hAnsi="Calibri" w:cs="Calibri"/>
                <w:sz w:val="22"/>
                <w:szCs w:val="22"/>
              </w:rPr>
              <w:lastRenderedPageBreak/>
              <w:t>paramaters die passend zijn voor vrijgevestigden.</w:t>
            </w:r>
          </w:p>
        </w:tc>
      </w:tr>
      <w:tr w:rsidR="003D2979" w:rsidRPr="0081065A" w14:paraId="49F8F9AC" w14:textId="77777777" w:rsidTr="00210A27">
        <w:tc>
          <w:tcPr>
            <w:tcW w:w="4531" w:type="dxa"/>
          </w:tcPr>
          <w:p w14:paraId="45C96026" w14:textId="6858069C" w:rsidR="003D2979" w:rsidRPr="00AD0CEA" w:rsidRDefault="003D2979" w:rsidP="00AD0CEA">
            <w:pPr>
              <w:pStyle w:val="Lijstalinea"/>
              <w:numPr>
                <w:ilvl w:val="0"/>
                <w:numId w:val="1"/>
              </w:numPr>
              <w:rPr>
                <w:rFonts w:ascii="Calibri" w:eastAsiaTheme="minorEastAsia" w:hAnsi="Calibri" w:cs="Calibri"/>
                <w:kern w:val="24"/>
                <w:sz w:val="22"/>
                <w:szCs w:val="22"/>
              </w:rPr>
            </w:pPr>
            <w:r>
              <w:rPr>
                <w:rFonts w:ascii="Calibri" w:eastAsiaTheme="minorEastAsia" w:hAnsi="Calibri" w:cs="Calibri"/>
                <w:kern w:val="24"/>
                <w:sz w:val="22"/>
                <w:szCs w:val="22"/>
              </w:rPr>
              <w:lastRenderedPageBreak/>
              <w:t xml:space="preserve">Overhead voor vrijgevestigde </w:t>
            </w:r>
            <w:proofErr w:type="spellStart"/>
            <w:r>
              <w:rPr>
                <w:rFonts w:ascii="Calibri" w:eastAsiaTheme="minorEastAsia" w:hAnsi="Calibri" w:cs="Calibri"/>
                <w:kern w:val="24"/>
                <w:sz w:val="22"/>
                <w:szCs w:val="22"/>
              </w:rPr>
              <w:t>eenpitters</w:t>
            </w:r>
            <w:proofErr w:type="spellEnd"/>
            <w:r>
              <w:rPr>
                <w:rFonts w:ascii="Calibri" w:eastAsiaTheme="minorEastAsia" w:hAnsi="Calibri" w:cs="Calibri"/>
                <w:kern w:val="24"/>
                <w:sz w:val="22"/>
                <w:szCs w:val="22"/>
              </w:rPr>
              <w:t xml:space="preserve"> </w:t>
            </w:r>
            <w:proofErr w:type="gramStart"/>
            <w:r>
              <w:rPr>
                <w:rFonts w:ascii="Calibri" w:eastAsiaTheme="minorEastAsia" w:hAnsi="Calibri" w:cs="Calibri"/>
                <w:kern w:val="24"/>
                <w:sz w:val="22"/>
                <w:szCs w:val="22"/>
              </w:rPr>
              <w:t>is  genormeerd</w:t>
            </w:r>
            <w:proofErr w:type="gramEnd"/>
            <w:r>
              <w:rPr>
                <w:rFonts w:ascii="Calibri" w:eastAsiaTheme="minorEastAsia" w:hAnsi="Calibri" w:cs="Calibri"/>
                <w:kern w:val="24"/>
                <w:sz w:val="22"/>
                <w:szCs w:val="22"/>
              </w:rPr>
              <w:t xml:space="preserve"> op basis van de werkelijk gerapporteerde overheadomvang (jaarrekening)</w:t>
            </w:r>
          </w:p>
        </w:tc>
        <w:tc>
          <w:tcPr>
            <w:tcW w:w="4531" w:type="dxa"/>
          </w:tcPr>
          <w:p w14:paraId="597A7575" w14:textId="4E2EEB3D" w:rsidR="003D2979" w:rsidRDefault="003D2979" w:rsidP="00AD0CEA">
            <w:pPr>
              <w:rPr>
                <w:rFonts w:ascii="Calibri" w:hAnsi="Calibri" w:cs="Calibri"/>
                <w:sz w:val="22"/>
                <w:szCs w:val="22"/>
              </w:rPr>
            </w:pPr>
            <w:r>
              <w:rPr>
                <w:rFonts w:ascii="Calibri" w:hAnsi="Calibri" w:cs="Calibri"/>
                <w:sz w:val="22"/>
                <w:szCs w:val="22"/>
              </w:rPr>
              <w:t>De gerapporteerde overheadkosten betreffen de werkelijke kosten. De omrekening naar ‘overhead per fte’ levert een grotere overheadomvang op dan er feitelijk in de jaarrekening staat. Daarmee is dat géén goede afspiegeling van de werkelijke overhead.</w:t>
            </w:r>
          </w:p>
        </w:tc>
      </w:tr>
      <w:tr w:rsidR="00AD0CEA" w:rsidRPr="0081065A" w14:paraId="2B5FF498" w14:textId="77777777" w:rsidTr="00210A27">
        <w:tc>
          <w:tcPr>
            <w:tcW w:w="4531" w:type="dxa"/>
          </w:tcPr>
          <w:p w14:paraId="1C94D3A0" w14:textId="60DBB968"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Product HBO-behandeling wordt tariefgroep behandeling HBO en ook Groepsbehandeling HBO</w:t>
            </w:r>
          </w:p>
        </w:tc>
        <w:tc>
          <w:tcPr>
            <w:tcW w:w="4531" w:type="dxa"/>
          </w:tcPr>
          <w:p w14:paraId="14877353" w14:textId="43551BF3" w:rsidR="00AD0CEA" w:rsidRPr="00AD0CEA" w:rsidRDefault="00AD0CEA" w:rsidP="00AD0CEA">
            <w:pPr>
              <w:rPr>
                <w:rFonts w:ascii="Calibri" w:hAnsi="Calibri" w:cs="Calibri"/>
                <w:sz w:val="22"/>
                <w:szCs w:val="22"/>
              </w:rPr>
            </w:pPr>
            <w:r>
              <w:rPr>
                <w:rFonts w:ascii="Calibri" w:hAnsi="Calibri" w:cs="Calibri"/>
                <w:sz w:val="22"/>
                <w:szCs w:val="22"/>
              </w:rPr>
              <w:t>Zorgaanbieders die in het product HBO-behandeling vielen, herkenden zich meer in de beschrijving van (de productgroepen van) ambulante behandeling. Om die reden hebben we van dit product nu een productgroep gemaakt.</w:t>
            </w:r>
          </w:p>
        </w:tc>
      </w:tr>
      <w:tr w:rsidR="00AD0CEA" w:rsidRPr="0081065A" w14:paraId="15680B04" w14:textId="77777777" w:rsidTr="00210A27">
        <w:tc>
          <w:tcPr>
            <w:tcW w:w="4531" w:type="dxa"/>
          </w:tcPr>
          <w:p w14:paraId="00F5F8C3" w14:textId="7D367DF1"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 xml:space="preserve">Medicatiecontrole en Medisch specialist beide berekend op basis van 100% van de hoogste periodiek schaal AMS </w:t>
            </w:r>
          </w:p>
        </w:tc>
        <w:tc>
          <w:tcPr>
            <w:tcW w:w="4531" w:type="dxa"/>
          </w:tcPr>
          <w:p w14:paraId="77551087" w14:textId="47EC14D1" w:rsidR="00AD0CEA" w:rsidRPr="00AD0CEA" w:rsidRDefault="00AD0CEA" w:rsidP="00AD0CEA">
            <w:pPr>
              <w:rPr>
                <w:rFonts w:ascii="Calibri" w:hAnsi="Calibri" w:cs="Calibri"/>
                <w:sz w:val="22"/>
                <w:szCs w:val="22"/>
              </w:rPr>
            </w:pPr>
            <w:r>
              <w:rPr>
                <w:rFonts w:ascii="Calibri" w:hAnsi="Calibri" w:cs="Calibri"/>
                <w:sz w:val="22"/>
                <w:szCs w:val="22"/>
              </w:rPr>
              <w:t xml:space="preserve">De kinderpsychiater is schaars en wordt in de regel voor 100% van de maximale periodiek in dienst genomen. </w:t>
            </w:r>
          </w:p>
        </w:tc>
      </w:tr>
      <w:tr w:rsidR="00AD0CEA" w:rsidRPr="0081065A" w14:paraId="0C4B6CF6" w14:textId="77777777" w:rsidTr="00210A27">
        <w:tc>
          <w:tcPr>
            <w:tcW w:w="4531" w:type="dxa"/>
          </w:tcPr>
          <w:p w14:paraId="4255E2F9" w14:textId="10EDC80E"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0,3% van loonkosten extra toegevoegd bij de overhead cao Jeugdzorg (investeringsruimte van 1,5% naar 1,8% van de loonsom, conform cao)</w:t>
            </w:r>
          </w:p>
        </w:tc>
        <w:tc>
          <w:tcPr>
            <w:tcW w:w="4531" w:type="dxa"/>
          </w:tcPr>
          <w:p w14:paraId="73F154B4" w14:textId="70320812" w:rsidR="00AD0CEA" w:rsidRPr="00AD0CEA" w:rsidRDefault="00AD0CEA" w:rsidP="00AD0CEA">
            <w:pPr>
              <w:rPr>
                <w:rFonts w:ascii="Calibri" w:hAnsi="Calibri" w:cs="Calibri"/>
                <w:sz w:val="22"/>
                <w:szCs w:val="22"/>
              </w:rPr>
            </w:pPr>
            <w:r>
              <w:rPr>
                <w:rFonts w:ascii="Calibri" w:hAnsi="Calibri" w:cs="Calibri"/>
                <w:sz w:val="22"/>
                <w:szCs w:val="22"/>
              </w:rPr>
              <w:t>Naar aanleiding van vragen hierover in</w:t>
            </w:r>
            <w:proofErr w:type="spellStart"/>
            <w:r>
              <w:rPr>
                <w:rFonts w:ascii="Calibri" w:hAnsi="Calibri" w:cs="Calibri"/>
                <w:sz w:val="22"/>
                <w:szCs w:val="22"/>
              </w:rPr>
              <w:t xml:space="preserve"> de</w:t>
            </w:r>
            <w:proofErr w:type="spellEnd"/>
            <w:r>
              <w:rPr>
                <w:rFonts w:ascii="Calibri" w:hAnsi="Calibri" w:cs="Calibri"/>
                <w:sz w:val="22"/>
                <w:szCs w:val="22"/>
              </w:rPr>
              <w:t xml:space="preserve"> </w:t>
            </w:r>
            <w:proofErr w:type="spellStart"/>
            <w:r>
              <w:rPr>
                <w:rFonts w:ascii="Calibri" w:hAnsi="Calibri" w:cs="Calibri"/>
                <w:sz w:val="22"/>
                <w:szCs w:val="22"/>
              </w:rPr>
              <w:t>NvI</w:t>
            </w:r>
            <w:proofErr w:type="spellEnd"/>
            <w:r>
              <w:rPr>
                <w:rFonts w:ascii="Calibri" w:hAnsi="Calibri" w:cs="Calibri"/>
                <w:sz w:val="22"/>
                <w:szCs w:val="22"/>
              </w:rPr>
              <w:t xml:space="preserve"> 2.</w:t>
            </w:r>
          </w:p>
        </w:tc>
      </w:tr>
      <w:tr w:rsidR="00AD0CEA" w:rsidRPr="0081065A" w14:paraId="62BDACDC" w14:textId="77777777" w:rsidTr="00210A27">
        <w:tc>
          <w:tcPr>
            <w:tcW w:w="4531" w:type="dxa"/>
          </w:tcPr>
          <w:p w14:paraId="44264C72" w14:textId="3485C30F"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 xml:space="preserve">Eis voor toelating Behandeling D aangepast naar ‘beschikt over minimaal 3 BIG-geregistreerde behandelaars met verschillende functies, met tenminste een klinisch (neuro)psycholoog of </w:t>
            </w:r>
            <w:proofErr w:type="gramStart"/>
            <w:r w:rsidRPr="00AD0CEA">
              <w:rPr>
                <w:rFonts w:ascii="Calibri" w:eastAsiaTheme="minorEastAsia" w:hAnsi="Calibri" w:cs="Calibri"/>
                <w:kern w:val="24"/>
                <w:sz w:val="22"/>
                <w:szCs w:val="22"/>
              </w:rPr>
              <w:t>kinderpsychiater /</w:t>
            </w:r>
            <w:proofErr w:type="gramEnd"/>
            <w:r w:rsidRPr="00AD0CEA">
              <w:rPr>
                <w:rFonts w:ascii="Calibri" w:eastAsiaTheme="minorEastAsia" w:hAnsi="Calibri" w:cs="Calibri"/>
                <w:kern w:val="24"/>
                <w:sz w:val="22"/>
                <w:szCs w:val="22"/>
              </w:rPr>
              <w:t xml:space="preserve"> Arts VG / Verslavingsarts / kinderarts’ (geschrapt: artikel 14)</w:t>
            </w:r>
          </w:p>
        </w:tc>
        <w:tc>
          <w:tcPr>
            <w:tcW w:w="4531" w:type="dxa"/>
          </w:tcPr>
          <w:p w14:paraId="0C4F8C15" w14:textId="56A8576C" w:rsidR="00AD0CEA" w:rsidRPr="00AD0CEA" w:rsidRDefault="00AD0CEA" w:rsidP="00AD0CEA">
            <w:pPr>
              <w:rPr>
                <w:rFonts w:ascii="Calibri" w:hAnsi="Calibri" w:cs="Calibri"/>
                <w:sz w:val="22"/>
                <w:szCs w:val="22"/>
              </w:rPr>
            </w:pPr>
            <w:r>
              <w:rPr>
                <w:rFonts w:ascii="Calibri" w:hAnsi="Calibri" w:cs="Calibri"/>
                <w:sz w:val="22"/>
                <w:szCs w:val="22"/>
              </w:rPr>
              <w:t xml:space="preserve">Over dit punt zijn meerdere vragen binnengekomen. De ‘artikel 14’ eis bleek een te zware eis. Deze eis is </w:t>
            </w:r>
            <w:proofErr w:type="spellStart"/>
            <w:r>
              <w:rPr>
                <w:rFonts w:ascii="Calibri" w:hAnsi="Calibri" w:cs="Calibri"/>
                <w:sz w:val="22"/>
                <w:szCs w:val="22"/>
              </w:rPr>
              <w:t>ingegetrokken</w:t>
            </w:r>
            <w:proofErr w:type="spellEnd"/>
            <w:r>
              <w:rPr>
                <w:rFonts w:ascii="Calibri" w:hAnsi="Calibri" w:cs="Calibri"/>
                <w:sz w:val="22"/>
                <w:szCs w:val="22"/>
              </w:rPr>
              <w:t>.</w:t>
            </w:r>
          </w:p>
        </w:tc>
      </w:tr>
      <w:tr w:rsidR="00AD0CEA" w:rsidRPr="0081065A" w14:paraId="6F65B34A" w14:textId="77777777" w:rsidTr="00210A27">
        <w:tc>
          <w:tcPr>
            <w:tcW w:w="4531" w:type="dxa"/>
          </w:tcPr>
          <w:p w14:paraId="17D566D3" w14:textId="1619EA63" w:rsidR="00AD0CEA" w:rsidRPr="00CC3AC3" w:rsidRDefault="004135D6" w:rsidP="00AD0CEA">
            <w:pPr>
              <w:pStyle w:val="Lijstalinea"/>
              <w:numPr>
                <w:ilvl w:val="0"/>
                <w:numId w:val="1"/>
              </w:numPr>
              <w:rPr>
                <w:rFonts w:ascii="Calibri" w:eastAsiaTheme="minorEastAsia" w:hAnsi="Calibri" w:cs="Calibri"/>
                <w:kern w:val="24"/>
                <w:sz w:val="22"/>
                <w:szCs w:val="22"/>
              </w:rPr>
            </w:pPr>
            <w:r>
              <w:rPr>
                <w:rFonts w:ascii="Calibri" w:eastAsiaTheme="minorEastAsia" w:hAnsi="Calibri" w:cs="Calibri"/>
                <w:kern w:val="24"/>
                <w:sz w:val="22"/>
                <w:szCs w:val="22"/>
              </w:rPr>
              <w:t>P</w:t>
            </w:r>
            <w:r w:rsidR="00AD0CEA" w:rsidRPr="00CC3AC3">
              <w:rPr>
                <w:rFonts w:ascii="Calibri" w:eastAsiaTheme="minorEastAsia" w:hAnsi="Calibri" w:cs="Calibri"/>
                <w:kern w:val="24"/>
                <w:sz w:val="22"/>
                <w:szCs w:val="22"/>
              </w:rPr>
              <w:t>roduct</w:t>
            </w:r>
            <w:r>
              <w:rPr>
                <w:rFonts w:ascii="Calibri" w:eastAsiaTheme="minorEastAsia" w:hAnsi="Calibri" w:cs="Calibri"/>
                <w:kern w:val="24"/>
                <w:sz w:val="22"/>
                <w:szCs w:val="22"/>
              </w:rPr>
              <w:t xml:space="preserve"> Behandeling</w:t>
            </w:r>
            <w:r w:rsidR="00AD0CEA" w:rsidRPr="00CC3AC3">
              <w:rPr>
                <w:rFonts w:ascii="Calibri" w:eastAsiaTheme="minorEastAsia" w:hAnsi="Calibri" w:cs="Calibri"/>
                <w:kern w:val="24"/>
                <w:sz w:val="22"/>
                <w:szCs w:val="22"/>
              </w:rPr>
              <w:t xml:space="preserve"> </w:t>
            </w:r>
            <w:r w:rsidR="00AD0CEA" w:rsidRPr="00781333">
              <w:rPr>
                <w:rFonts w:ascii="Calibri" w:eastAsiaTheme="minorEastAsia" w:hAnsi="Calibri" w:cs="Calibri"/>
                <w:kern w:val="24"/>
                <w:sz w:val="22"/>
                <w:szCs w:val="22"/>
              </w:rPr>
              <w:t>Polikliniek</w:t>
            </w:r>
            <w:r>
              <w:rPr>
                <w:rFonts w:ascii="Calibri" w:eastAsiaTheme="minorEastAsia" w:hAnsi="Calibri" w:cs="Calibri"/>
                <w:kern w:val="24"/>
                <w:sz w:val="22"/>
                <w:szCs w:val="22"/>
              </w:rPr>
              <w:t xml:space="preserve"> </w:t>
            </w:r>
            <w:r w:rsidR="00781333">
              <w:rPr>
                <w:rFonts w:ascii="Calibri" w:eastAsiaTheme="minorEastAsia" w:hAnsi="Calibri" w:cs="Calibri"/>
                <w:kern w:val="24"/>
                <w:sz w:val="22"/>
                <w:szCs w:val="22"/>
              </w:rPr>
              <w:t xml:space="preserve">wordt </w:t>
            </w:r>
            <w:r w:rsidR="00781333" w:rsidRPr="00781333">
              <w:rPr>
                <w:rFonts w:ascii="Calibri" w:eastAsiaTheme="minorEastAsia" w:hAnsi="Calibri" w:cs="Calibri"/>
                <w:kern w:val="24"/>
                <w:sz w:val="22"/>
                <w:szCs w:val="22"/>
                <w:u w:val="single"/>
              </w:rPr>
              <w:t>niet</w:t>
            </w:r>
            <w:r w:rsidR="00781333">
              <w:rPr>
                <w:rFonts w:ascii="Calibri" w:eastAsiaTheme="minorEastAsia" w:hAnsi="Calibri" w:cs="Calibri"/>
                <w:kern w:val="24"/>
                <w:sz w:val="22"/>
                <w:szCs w:val="22"/>
              </w:rPr>
              <w:t xml:space="preserve"> toegevoegd</w:t>
            </w:r>
            <w:r>
              <w:rPr>
                <w:rFonts w:ascii="Calibri" w:eastAsiaTheme="minorEastAsia" w:hAnsi="Calibri" w:cs="Calibri"/>
                <w:kern w:val="24"/>
                <w:sz w:val="22"/>
                <w:szCs w:val="22"/>
              </w:rPr>
              <w:t>.</w:t>
            </w:r>
          </w:p>
        </w:tc>
        <w:tc>
          <w:tcPr>
            <w:tcW w:w="4531" w:type="dxa"/>
          </w:tcPr>
          <w:p w14:paraId="70D67C26" w14:textId="2664AA2F" w:rsidR="00AD0CEA" w:rsidRPr="00CC3AC3" w:rsidRDefault="004135D6" w:rsidP="00AD0CEA">
            <w:pPr>
              <w:rPr>
                <w:rFonts w:ascii="Calibri" w:hAnsi="Calibri" w:cs="Calibri"/>
                <w:sz w:val="22"/>
                <w:szCs w:val="22"/>
                <w:highlight w:val="yellow"/>
              </w:rPr>
            </w:pPr>
            <w:r w:rsidRPr="00781333">
              <w:rPr>
                <w:rFonts w:ascii="Calibri" w:hAnsi="Calibri" w:cs="Calibri"/>
                <w:sz w:val="22"/>
                <w:szCs w:val="22"/>
              </w:rPr>
              <w:t>Voor dit product worden deel 2 afspraken gemaakt met de aanbieders die een polikliniek hebben</w:t>
            </w:r>
            <w:r w:rsidR="00781333" w:rsidRPr="00781333">
              <w:rPr>
                <w:rFonts w:ascii="Calibri" w:hAnsi="Calibri" w:cs="Calibri"/>
                <w:sz w:val="22"/>
                <w:szCs w:val="22"/>
              </w:rPr>
              <w:t xml:space="preserve"> en de GHZ-cao hanteren.</w:t>
            </w:r>
          </w:p>
        </w:tc>
      </w:tr>
      <w:tr w:rsidR="00AD0CEA" w:rsidRPr="0081065A" w14:paraId="401F547D" w14:textId="77777777" w:rsidTr="00210A27">
        <w:tc>
          <w:tcPr>
            <w:tcW w:w="4531" w:type="dxa"/>
          </w:tcPr>
          <w:p w14:paraId="0432B734" w14:textId="0B007F13"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 xml:space="preserve">Overhead forensisch van €64.000 naar €81.000 </w:t>
            </w:r>
            <w:r w:rsidRPr="00AD0CEA">
              <w:rPr>
                <w:rFonts w:ascii="Calibri" w:eastAsiaTheme="minorEastAsia" w:hAnsi="Calibri" w:cs="Calibri"/>
                <w:kern w:val="24"/>
                <w:sz w:val="22"/>
                <w:szCs w:val="22"/>
              </w:rPr>
              <w:sym w:font="Wingdings" w:char="F0E0"/>
            </w:r>
            <w:r w:rsidRPr="00AD0CEA">
              <w:rPr>
                <w:rFonts w:ascii="Calibri" w:eastAsiaTheme="minorEastAsia" w:hAnsi="Calibri" w:cs="Calibri"/>
                <w:kern w:val="24"/>
                <w:sz w:val="22"/>
                <w:szCs w:val="22"/>
              </w:rPr>
              <w:t xml:space="preserve"> marktconform tarief</w:t>
            </w:r>
          </w:p>
        </w:tc>
        <w:tc>
          <w:tcPr>
            <w:tcW w:w="4531" w:type="dxa"/>
          </w:tcPr>
          <w:p w14:paraId="28AAEBA8" w14:textId="5975F8CF" w:rsidR="00AD0CEA" w:rsidRPr="00AD0CEA" w:rsidRDefault="00CC3AC3" w:rsidP="00AD0CEA">
            <w:pPr>
              <w:rPr>
                <w:rFonts w:ascii="Calibri" w:hAnsi="Calibri" w:cs="Calibri"/>
                <w:sz w:val="22"/>
                <w:szCs w:val="22"/>
              </w:rPr>
            </w:pPr>
            <w:r>
              <w:rPr>
                <w:rFonts w:ascii="Calibri" w:hAnsi="Calibri" w:cs="Calibri"/>
                <w:sz w:val="22"/>
                <w:szCs w:val="22"/>
              </w:rPr>
              <w:t>De overheadomvang van €64.000 leidde naar ons inzicht nog niet tot een marktconform tarief voor forensische behandeling. Wij hebben om die reden de overhead verhoogd, zodat wel een marktconform tarief ontstaat.</w:t>
            </w:r>
          </w:p>
        </w:tc>
      </w:tr>
      <w:tr w:rsidR="001F2DF7" w:rsidRPr="0081065A" w14:paraId="03B548FA" w14:textId="77777777" w:rsidTr="00210A27">
        <w:tc>
          <w:tcPr>
            <w:tcW w:w="4531" w:type="dxa"/>
          </w:tcPr>
          <w:p w14:paraId="29B2EF5A" w14:textId="70AAF8F8" w:rsidR="001F2DF7" w:rsidRPr="00AD0CEA" w:rsidRDefault="001F2DF7" w:rsidP="00AD0CEA">
            <w:pPr>
              <w:pStyle w:val="Lijstalinea"/>
              <w:numPr>
                <w:ilvl w:val="0"/>
                <w:numId w:val="1"/>
              </w:numPr>
              <w:rPr>
                <w:rFonts w:ascii="Calibri" w:eastAsiaTheme="minorEastAsia" w:hAnsi="Calibri" w:cs="Calibri"/>
                <w:kern w:val="24"/>
                <w:sz w:val="22"/>
                <w:szCs w:val="22"/>
              </w:rPr>
            </w:pPr>
            <w:r w:rsidRPr="001F2DF7">
              <w:rPr>
                <w:rFonts w:ascii="Calibri" w:eastAsiaTheme="minorEastAsia" w:hAnsi="Calibri" w:cs="Calibri"/>
                <w:kern w:val="24"/>
                <w:sz w:val="22"/>
                <w:szCs w:val="22"/>
              </w:rPr>
              <w:t>Toegevoegd aan toelatingscrit</w:t>
            </w:r>
            <w:r>
              <w:rPr>
                <w:rFonts w:ascii="Calibri" w:eastAsiaTheme="minorEastAsia" w:hAnsi="Calibri" w:cs="Calibri"/>
                <w:kern w:val="24"/>
                <w:sz w:val="22"/>
                <w:szCs w:val="22"/>
              </w:rPr>
              <w:t>e</w:t>
            </w:r>
            <w:r w:rsidRPr="001F2DF7">
              <w:rPr>
                <w:rFonts w:ascii="Calibri" w:eastAsiaTheme="minorEastAsia" w:hAnsi="Calibri" w:cs="Calibri"/>
                <w:kern w:val="24"/>
                <w:sz w:val="22"/>
                <w:szCs w:val="22"/>
              </w:rPr>
              <w:t>ria voor tariefgroep B: ‘Zorgaanbieder biedt verblijfszorg met een minimale omzet van €1.000.000 per jaar op prijspeil 2026’</w:t>
            </w:r>
          </w:p>
        </w:tc>
        <w:tc>
          <w:tcPr>
            <w:tcW w:w="4531" w:type="dxa"/>
          </w:tcPr>
          <w:p w14:paraId="50951E39" w14:textId="7468B869" w:rsidR="001F2DF7" w:rsidRDefault="001F2DF7" w:rsidP="00AD0CEA">
            <w:pPr>
              <w:rPr>
                <w:rFonts w:ascii="Calibri" w:hAnsi="Calibri" w:cs="Calibri"/>
                <w:sz w:val="22"/>
                <w:szCs w:val="22"/>
              </w:rPr>
            </w:pPr>
            <w:r>
              <w:rPr>
                <w:rFonts w:ascii="Calibri" w:hAnsi="Calibri" w:cs="Calibri"/>
                <w:sz w:val="22"/>
                <w:szCs w:val="22"/>
              </w:rPr>
              <w:t xml:space="preserve">Toegevoegd naar aanleiding van een vraag van een zorgaanbieder in </w:t>
            </w:r>
            <w:proofErr w:type="spellStart"/>
            <w:r>
              <w:rPr>
                <w:rFonts w:ascii="Calibri" w:hAnsi="Calibri" w:cs="Calibri"/>
                <w:sz w:val="22"/>
                <w:szCs w:val="22"/>
              </w:rPr>
              <w:t>NvI</w:t>
            </w:r>
            <w:proofErr w:type="spellEnd"/>
            <w:r>
              <w:rPr>
                <w:rFonts w:ascii="Calibri" w:hAnsi="Calibri" w:cs="Calibri"/>
                <w:sz w:val="22"/>
                <w:szCs w:val="22"/>
              </w:rPr>
              <w:t xml:space="preserve"> 2, om het risico uit te sluiten dat zorgaanbieders met een (zeer) kleine verblijfsfunctie ongewild toegang zouden krijgen tot Behandeling B.</w:t>
            </w:r>
          </w:p>
        </w:tc>
      </w:tr>
      <w:tr w:rsidR="00AD0CEA" w:rsidRPr="0081065A" w14:paraId="6084C1F0" w14:textId="77777777" w:rsidTr="00210A27">
        <w:tc>
          <w:tcPr>
            <w:tcW w:w="4531" w:type="dxa"/>
          </w:tcPr>
          <w:p w14:paraId="1335B9BF" w14:textId="65E2C117" w:rsidR="00AD0CEA" w:rsidRPr="00AD0CEA" w:rsidRDefault="00AD0CEA" w:rsidP="00AD0CEA">
            <w:pPr>
              <w:pStyle w:val="Lijstalinea"/>
              <w:numPr>
                <w:ilvl w:val="0"/>
                <w:numId w:val="1"/>
              </w:numPr>
              <w:rPr>
                <w:rFonts w:ascii="Calibri" w:eastAsiaTheme="minorEastAsia" w:hAnsi="Calibri" w:cs="Calibri"/>
                <w:kern w:val="24"/>
                <w:sz w:val="22"/>
                <w:szCs w:val="22"/>
              </w:rPr>
            </w:pPr>
            <w:r w:rsidRPr="00AD0CEA">
              <w:rPr>
                <w:rFonts w:ascii="Calibri" w:eastAsiaTheme="minorEastAsia" w:hAnsi="Calibri" w:cs="Calibri"/>
                <w:kern w:val="24"/>
                <w:sz w:val="22"/>
                <w:szCs w:val="22"/>
              </w:rPr>
              <w:t xml:space="preserve">Indexatie van cao </w:t>
            </w:r>
            <w:r w:rsidR="001F2DF7">
              <w:rPr>
                <w:rFonts w:ascii="Calibri" w:eastAsiaTheme="minorEastAsia" w:hAnsi="Calibri" w:cs="Calibri"/>
                <w:kern w:val="24"/>
                <w:sz w:val="22"/>
                <w:szCs w:val="22"/>
              </w:rPr>
              <w:t>J</w:t>
            </w:r>
            <w:r w:rsidRPr="00AD0CEA">
              <w:rPr>
                <w:rFonts w:ascii="Calibri" w:eastAsiaTheme="minorEastAsia" w:hAnsi="Calibri" w:cs="Calibri"/>
                <w:kern w:val="24"/>
                <w:sz w:val="22"/>
                <w:szCs w:val="22"/>
              </w:rPr>
              <w:t>eugdzorg zichtbaar gemaakt in productbladen</w:t>
            </w:r>
          </w:p>
        </w:tc>
        <w:tc>
          <w:tcPr>
            <w:tcW w:w="4531" w:type="dxa"/>
          </w:tcPr>
          <w:p w14:paraId="0F2383D2" w14:textId="742010E6" w:rsidR="00AD0CEA" w:rsidRPr="00AD0CEA" w:rsidRDefault="00CC3AC3" w:rsidP="00AD0CEA">
            <w:pPr>
              <w:rPr>
                <w:rFonts w:ascii="Calibri" w:hAnsi="Calibri" w:cs="Calibri"/>
                <w:sz w:val="22"/>
                <w:szCs w:val="22"/>
              </w:rPr>
            </w:pPr>
            <w:r>
              <w:rPr>
                <w:rFonts w:ascii="Calibri" w:hAnsi="Calibri" w:cs="Calibri"/>
                <w:sz w:val="22"/>
                <w:szCs w:val="22"/>
              </w:rPr>
              <w:t>In de productbladen was de indexatieregel voor de cao Jeugdzorg niet zichtbaar, dat is hersteld.</w:t>
            </w:r>
          </w:p>
        </w:tc>
      </w:tr>
    </w:tbl>
    <w:p w14:paraId="22764567" w14:textId="77777777" w:rsidR="00130D2F" w:rsidRDefault="00130D2F" w:rsidP="00130D2F"/>
    <w:p w14:paraId="2E513E9C" w14:textId="77777777" w:rsidR="00130D2F" w:rsidRDefault="00130D2F" w:rsidP="00130D2F">
      <w:pPr>
        <w:rPr>
          <w:b/>
          <w:bCs/>
          <w:sz w:val="28"/>
          <w:szCs w:val="28"/>
        </w:rPr>
      </w:pPr>
      <w:r>
        <w:rPr>
          <w:b/>
          <w:bCs/>
          <w:sz w:val="28"/>
          <w:szCs w:val="28"/>
        </w:rPr>
        <w:br w:type="page"/>
      </w:r>
    </w:p>
    <w:p w14:paraId="7DDBB75E" w14:textId="77777777" w:rsidR="00130D2F" w:rsidRDefault="00130D2F" w:rsidP="00130D2F">
      <w:pPr>
        <w:rPr>
          <w:b/>
          <w:bCs/>
          <w:sz w:val="28"/>
          <w:szCs w:val="28"/>
        </w:rPr>
      </w:pPr>
      <w:r w:rsidRPr="00034B69">
        <w:rPr>
          <w:b/>
          <w:bCs/>
          <w:sz w:val="28"/>
          <w:szCs w:val="28"/>
        </w:rPr>
        <w:lastRenderedPageBreak/>
        <w:t xml:space="preserve">Voorgestelde wijzingen </w:t>
      </w:r>
      <w:r>
        <w:rPr>
          <w:b/>
          <w:bCs/>
          <w:sz w:val="28"/>
          <w:szCs w:val="28"/>
        </w:rPr>
        <w:t xml:space="preserve">Dagbehandeling </w:t>
      </w:r>
      <w:r w:rsidRPr="00034B69">
        <w:rPr>
          <w:b/>
          <w:bCs/>
          <w:sz w:val="28"/>
          <w:szCs w:val="28"/>
        </w:rPr>
        <w:t xml:space="preserve">naar aanleiding van de </w:t>
      </w:r>
      <w:proofErr w:type="spellStart"/>
      <w:r w:rsidRPr="00034B69">
        <w:rPr>
          <w:b/>
          <w:bCs/>
          <w:sz w:val="28"/>
          <w:szCs w:val="28"/>
        </w:rPr>
        <w:t>NvI</w:t>
      </w:r>
      <w:proofErr w:type="spellEnd"/>
    </w:p>
    <w:p w14:paraId="2EF2C8A9" w14:textId="77777777" w:rsidR="00130D2F" w:rsidRDefault="00130D2F" w:rsidP="00130D2F">
      <w:r>
        <w:t>Al deze wijzigingen zijn onder voorbehoud van bestuurlijke besluitvorming.</w:t>
      </w:r>
    </w:p>
    <w:tbl>
      <w:tblPr>
        <w:tblStyle w:val="Tabelraster"/>
        <w:tblW w:w="0" w:type="auto"/>
        <w:tblLook w:val="04A0" w:firstRow="1" w:lastRow="0" w:firstColumn="1" w:lastColumn="0" w:noHBand="0" w:noVBand="1"/>
      </w:tblPr>
      <w:tblGrid>
        <w:gridCol w:w="4531"/>
        <w:gridCol w:w="4531"/>
      </w:tblGrid>
      <w:tr w:rsidR="00130D2F" w:rsidRPr="0081065A" w14:paraId="37791D7F" w14:textId="77777777" w:rsidTr="00210A27">
        <w:tc>
          <w:tcPr>
            <w:tcW w:w="4531" w:type="dxa"/>
          </w:tcPr>
          <w:p w14:paraId="71168309" w14:textId="77777777" w:rsidR="00130D2F" w:rsidRPr="0081065A" w:rsidRDefault="00130D2F" w:rsidP="00210A27">
            <w:pPr>
              <w:rPr>
                <w:rFonts w:ascii="Calibri" w:hAnsi="Calibri" w:cs="Calibri"/>
                <w:b/>
                <w:bCs/>
                <w:sz w:val="22"/>
                <w:szCs w:val="22"/>
              </w:rPr>
            </w:pPr>
            <w:r w:rsidRPr="0081065A">
              <w:rPr>
                <w:rFonts w:ascii="Calibri" w:hAnsi="Calibri" w:cs="Calibri"/>
                <w:b/>
                <w:bCs/>
                <w:sz w:val="22"/>
                <w:szCs w:val="22"/>
              </w:rPr>
              <w:t xml:space="preserve">Wijziging </w:t>
            </w:r>
            <w:r>
              <w:rPr>
                <w:rFonts w:ascii="Calibri" w:hAnsi="Calibri" w:cs="Calibri"/>
                <w:b/>
                <w:bCs/>
                <w:sz w:val="22"/>
                <w:szCs w:val="22"/>
              </w:rPr>
              <w:t xml:space="preserve">Dagbehandeling </w:t>
            </w:r>
            <w:r w:rsidRPr="0081065A">
              <w:rPr>
                <w:rFonts w:ascii="Calibri" w:hAnsi="Calibri" w:cs="Calibri"/>
                <w:b/>
                <w:bCs/>
                <w:sz w:val="22"/>
                <w:szCs w:val="22"/>
              </w:rPr>
              <w:t xml:space="preserve">na </w:t>
            </w:r>
            <w:proofErr w:type="spellStart"/>
            <w:r w:rsidRPr="0081065A">
              <w:rPr>
                <w:rFonts w:ascii="Calibri" w:hAnsi="Calibri" w:cs="Calibri"/>
                <w:b/>
                <w:bCs/>
                <w:sz w:val="22"/>
                <w:szCs w:val="22"/>
              </w:rPr>
              <w:t>NvI</w:t>
            </w:r>
            <w:proofErr w:type="spellEnd"/>
          </w:p>
        </w:tc>
        <w:tc>
          <w:tcPr>
            <w:tcW w:w="4531" w:type="dxa"/>
          </w:tcPr>
          <w:p w14:paraId="07ADF412" w14:textId="77777777" w:rsidR="00130D2F" w:rsidRPr="0081065A" w:rsidRDefault="00130D2F" w:rsidP="00210A27">
            <w:pPr>
              <w:rPr>
                <w:rFonts w:ascii="Calibri" w:hAnsi="Calibri" w:cs="Calibri"/>
                <w:b/>
                <w:bCs/>
                <w:sz w:val="22"/>
                <w:szCs w:val="22"/>
              </w:rPr>
            </w:pPr>
            <w:r>
              <w:rPr>
                <w:rFonts w:ascii="Calibri" w:hAnsi="Calibri" w:cs="Calibri"/>
                <w:b/>
                <w:bCs/>
                <w:sz w:val="22"/>
                <w:szCs w:val="22"/>
              </w:rPr>
              <w:t>Toelichting</w:t>
            </w:r>
          </w:p>
        </w:tc>
      </w:tr>
      <w:tr w:rsidR="00130D2F" w:rsidRPr="0081065A" w14:paraId="462B0266" w14:textId="77777777" w:rsidTr="00210A27">
        <w:tc>
          <w:tcPr>
            <w:tcW w:w="4531" w:type="dxa"/>
          </w:tcPr>
          <w:p w14:paraId="3C6D6B80" w14:textId="77777777" w:rsidR="00130D2F" w:rsidRPr="0081065A" w:rsidRDefault="00130D2F" w:rsidP="00130D2F">
            <w:pPr>
              <w:pStyle w:val="Lijstalinea"/>
              <w:numPr>
                <w:ilvl w:val="0"/>
                <w:numId w:val="2"/>
              </w:numPr>
              <w:rPr>
                <w:rFonts w:ascii="Calibri" w:hAnsi="Calibri" w:cs="Calibri"/>
                <w:sz w:val="22"/>
                <w:szCs w:val="22"/>
              </w:rPr>
            </w:pPr>
            <w:r w:rsidRPr="0081065A">
              <w:rPr>
                <w:rFonts w:ascii="Calibri" w:eastAsiaTheme="minorEastAsia" w:hAnsi="Calibri" w:cs="Calibri"/>
                <w:kern w:val="24"/>
                <w:sz w:val="22"/>
                <w:szCs w:val="22"/>
              </w:rPr>
              <w:t xml:space="preserve">Cao-mix jeugdzorg – gehandicaptenzorg naar </w:t>
            </w:r>
            <w:r>
              <w:rPr>
                <w:rFonts w:ascii="Calibri" w:eastAsiaTheme="minorEastAsia" w:hAnsi="Calibri" w:cs="Calibri"/>
                <w:kern w:val="24"/>
                <w:sz w:val="22"/>
                <w:szCs w:val="22"/>
              </w:rPr>
              <w:t>3</w:t>
            </w:r>
            <w:r w:rsidRPr="0081065A">
              <w:rPr>
                <w:rFonts w:ascii="Calibri" w:eastAsiaTheme="minorEastAsia" w:hAnsi="Calibri" w:cs="Calibri"/>
                <w:kern w:val="24"/>
                <w:sz w:val="22"/>
                <w:szCs w:val="22"/>
              </w:rPr>
              <w:t xml:space="preserve">0% - </w:t>
            </w:r>
            <w:r>
              <w:rPr>
                <w:rFonts w:ascii="Calibri" w:eastAsiaTheme="minorEastAsia" w:hAnsi="Calibri" w:cs="Calibri"/>
                <w:kern w:val="24"/>
                <w:sz w:val="22"/>
                <w:szCs w:val="22"/>
              </w:rPr>
              <w:t>7</w:t>
            </w:r>
            <w:r w:rsidRPr="0081065A">
              <w:rPr>
                <w:rFonts w:ascii="Calibri" w:eastAsiaTheme="minorEastAsia" w:hAnsi="Calibri" w:cs="Calibri"/>
                <w:kern w:val="24"/>
                <w:sz w:val="22"/>
                <w:szCs w:val="22"/>
              </w:rPr>
              <w:t>0% (was: 50%-50%)</w:t>
            </w:r>
          </w:p>
        </w:tc>
        <w:tc>
          <w:tcPr>
            <w:tcW w:w="4531" w:type="dxa"/>
          </w:tcPr>
          <w:p w14:paraId="4CC1E996" w14:textId="77777777" w:rsidR="00130D2F" w:rsidRPr="0081065A" w:rsidRDefault="00130D2F" w:rsidP="00210A27">
            <w:pPr>
              <w:rPr>
                <w:rFonts w:ascii="Calibri" w:hAnsi="Calibri" w:cs="Calibri"/>
                <w:sz w:val="22"/>
                <w:szCs w:val="22"/>
              </w:rPr>
            </w:pPr>
            <w:r>
              <w:rPr>
                <w:rFonts w:ascii="Calibri" w:hAnsi="Calibri" w:cs="Calibri"/>
                <w:sz w:val="22"/>
                <w:szCs w:val="22"/>
              </w:rPr>
              <w:t>Deze wijziging is doorgevoerd naar aanleiding van vragen over deze mix van cao’s bij Behandeling. De wijziging is doorgevoerd in alle drie de zorgvormen, dus ook bij Dagbehandeling en Wonen en verblijf. De verhouding is gebaseerd op de declaratiegegevens 2025.</w:t>
            </w:r>
          </w:p>
        </w:tc>
      </w:tr>
      <w:tr w:rsidR="00130D2F" w:rsidRPr="0081065A" w14:paraId="53EF6AF2" w14:textId="77777777" w:rsidTr="00210A27">
        <w:tc>
          <w:tcPr>
            <w:tcW w:w="4531" w:type="dxa"/>
          </w:tcPr>
          <w:p w14:paraId="7B07D3E6" w14:textId="77777777" w:rsidR="00130D2F" w:rsidRPr="0081065A" w:rsidRDefault="00130D2F" w:rsidP="00130D2F">
            <w:pPr>
              <w:pStyle w:val="Lijstalinea"/>
              <w:numPr>
                <w:ilvl w:val="0"/>
                <w:numId w:val="2"/>
              </w:numPr>
              <w:rPr>
                <w:rFonts w:ascii="Calibri" w:eastAsiaTheme="minorEastAsia" w:hAnsi="Calibri" w:cs="Calibri"/>
                <w:kern w:val="24"/>
                <w:sz w:val="22"/>
                <w:szCs w:val="22"/>
              </w:rPr>
            </w:pPr>
            <w:r>
              <w:rPr>
                <w:rFonts w:ascii="Calibri" w:eastAsiaTheme="minorEastAsia" w:hAnsi="Calibri" w:cs="Calibri"/>
                <w:kern w:val="24"/>
                <w:sz w:val="22"/>
                <w:szCs w:val="22"/>
              </w:rPr>
              <w:t>Objectivering van verschil tussen basis en zwaar</w:t>
            </w:r>
          </w:p>
        </w:tc>
        <w:tc>
          <w:tcPr>
            <w:tcW w:w="4531" w:type="dxa"/>
          </w:tcPr>
          <w:p w14:paraId="76591E61" w14:textId="77777777" w:rsidR="00130D2F" w:rsidRPr="0081065A" w:rsidRDefault="00130D2F" w:rsidP="00210A27">
            <w:pPr>
              <w:rPr>
                <w:rFonts w:ascii="Calibri" w:eastAsiaTheme="minorEastAsia" w:hAnsi="Calibri" w:cs="Calibri"/>
                <w:kern w:val="24"/>
                <w:sz w:val="22"/>
                <w:szCs w:val="22"/>
              </w:rPr>
            </w:pPr>
            <w:r w:rsidRPr="006A3132">
              <w:rPr>
                <w:rFonts w:ascii="Calibri" w:eastAsiaTheme="minorEastAsia" w:hAnsi="Calibri" w:cs="Calibri"/>
                <w:kern w:val="24"/>
                <w:sz w:val="22"/>
                <w:szCs w:val="22"/>
              </w:rPr>
              <w:t>Bij een begeleidingsintensiteit van 0,1 tot 0,30 is sp</w:t>
            </w:r>
            <w:r>
              <w:rPr>
                <w:rFonts w:ascii="Calibri" w:eastAsiaTheme="minorEastAsia" w:hAnsi="Calibri" w:cs="Calibri"/>
                <w:kern w:val="24"/>
                <w:sz w:val="22"/>
                <w:szCs w:val="22"/>
              </w:rPr>
              <w:t>r</w:t>
            </w:r>
            <w:r w:rsidRPr="006A3132">
              <w:rPr>
                <w:rFonts w:ascii="Calibri" w:eastAsiaTheme="minorEastAsia" w:hAnsi="Calibri" w:cs="Calibri"/>
                <w:kern w:val="24"/>
                <w:sz w:val="22"/>
                <w:szCs w:val="22"/>
              </w:rPr>
              <w:t>ake van basis. Vanaf 0,30 is sprake van intensief.</w:t>
            </w:r>
            <w:r>
              <w:rPr>
                <w:rFonts w:ascii="Calibri" w:eastAsiaTheme="minorEastAsia" w:hAnsi="Calibri" w:cs="Calibri"/>
                <w:kern w:val="24"/>
                <w:sz w:val="22"/>
                <w:szCs w:val="22"/>
              </w:rPr>
              <w:t xml:space="preserve"> De begeleidingsintensiteit is als volgt te berekenen: roosteruren van (uitsluitend) groepsbegeleiders per dag tijdens de </w:t>
            </w:r>
            <w:proofErr w:type="gramStart"/>
            <w:r>
              <w:rPr>
                <w:rFonts w:ascii="Calibri" w:eastAsiaTheme="minorEastAsia" w:hAnsi="Calibri" w:cs="Calibri"/>
                <w:kern w:val="24"/>
                <w:sz w:val="22"/>
                <w:szCs w:val="22"/>
              </w:rPr>
              <w:t>openingsuren /</w:t>
            </w:r>
            <w:proofErr w:type="gramEnd"/>
            <w:r>
              <w:rPr>
                <w:rFonts w:ascii="Calibri" w:eastAsiaTheme="minorEastAsia" w:hAnsi="Calibri" w:cs="Calibri"/>
                <w:kern w:val="24"/>
                <w:sz w:val="22"/>
                <w:szCs w:val="22"/>
              </w:rPr>
              <w:t xml:space="preserve"> gemiddeld aantal feitelijk aanwezige jeugdigen / aantal openingsuren per dag. Als niet alle dagen (of </w:t>
            </w:r>
            <w:proofErr w:type="gramStart"/>
            <w:r>
              <w:rPr>
                <w:rFonts w:ascii="Calibri" w:eastAsiaTheme="minorEastAsia" w:hAnsi="Calibri" w:cs="Calibri"/>
                <w:kern w:val="24"/>
                <w:sz w:val="22"/>
                <w:szCs w:val="22"/>
              </w:rPr>
              <w:t>weken /</w:t>
            </w:r>
            <w:proofErr w:type="gramEnd"/>
            <w:r>
              <w:rPr>
                <w:rFonts w:ascii="Calibri" w:eastAsiaTheme="minorEastAsia" w:hAnsi="Calibri" w:cs="Calibri"/>
                <w:kern w:val="24"/>
                <w:sz w:val="22"/>
                <w:szCs w:val="22"/>
              </w:rPr>
              <w:t xml:space="preserve"> maanden) op elkaar lijken, bereken dit dat op jaarbasis.</w:t>
            </w:r>
          </w:p>
        </w:tc>
      </w:tr>
      <w:tr w:rsidR="00253C9C" w:rsidRPr="0081065A" w14:paraId="2C840746" w14:textId="77777777" w:rsidTr="00210A27">
        <w:tc>
          <w:tcPr>
            <w:tcW w:w="4531" w:type="dxa"/>
          </w:tcPr>
          <w:p w14:paraId="3E78851A" w14:textId="5E6FD120" w:rsidR="00253C9C" w:rsidRPr="00253C9C" w:rsidRDefault="00253C9C" w:rsidP="00253C9C">
            <w:pPr>
              <w:rPr>
                <w:rFonts w:ascii="Calibri" w:eastAsiaTheme="minorEastAsia" w:hAnsi="Calibri" w:cs="Calibri"/>
                <w:kern w:val="24"/>
                <w:sz w:val="22"/>
                <w:szCs w:val="22"/>
              </w:rPr>
            </w:pPr>
            <w:r w:rsidRPr="00253C9C">
              <w:rPr>
                <w:rFonts w:ascii="Calibri" w:hAnsi="Calibri" w:cs="Calibri"/>
                <w:b/>
                <w:bCs/>
                <w:sz w:val="22"/>
                <w:szCs w:val="22"/>
              </w:rPr>
              <w:t xml:space="preserve">Wijziging Dagbehandeling na </w:t>
            </w:r>
            <w:proofErr w:type="spellStart"/>
            <w:r w:rsidRPr="00253C9C">
              <w:rPr>
                <w:rFonts w:ascii="Calibri" w:hAnsi="Calibri" w:cs="Calibri"/>
                <w:b/>
                <w:bCs/>
                <w:sz w:val="22"/>
                <w:szCs w:val="22"/>
              </w:rPr>
              <w:t>NvI</w:t>
            </w:r>
            <w:proofErr w:type="spellEnd"/>
            <w:r>
              <w:rPr>
                <w:rFonts w:ascii="Calibri" w:hAnsi="Calibri" w:cs="Calibri"/>
                <w:b/>
                <w:bCs/>
                <w:sz w:val="22"/>
                <w:szCs w:val="22"/>
              </w:rPr>
              <w:t xml:space="preserve"> 2</w:t>
            </w:r>
          </w:p>
        </w:tc>
        <w:tc>
          <w:tcPr>
            <w:tcW w:w="4531" w:type="dxa"/>
          </w:tcPr>
          <w:p w14:paraId="30970413" w14:textId="1F85040F" w:rsidR="00253C9C" w:rsidRPr="006A3132" w:rsidRDefault="00253C9C" w:rsidP="00253C9C">
            <w:pPr>
              <w:rPr>
                <w:rFonts w:ascii="Calibri" w:eastAsiaTheme="minorEastAsia" w:hAnsi="Calibri" w:cs="Calibri"/>
                <w:kern w:val="24"/>
                <w:sz w:val="22"/>
                <w:szCs w:val="22"/>
              </w:rPr>
            </w:pPr>
            <w:r>
              <w:rPr>
                <w:rFonts w:ascii="Calibri" w:hAnsi="Calibri" w:cs="Calibri"/>
                <w:b/>
                <w:bCs/>
                <w:sz w:val="22"/>
                <w:szCs w:val="22"/>
              </w:rPr>
              <w:t>Toelichting</w:t>
            </w:r>
          </w:p>
        </w:tc>
      </w:tr>
      <w:tr w:rsidR="00253C9C" w:rsidRPr="0081065A" w14:paraId="6B859632" w14:textId="77777777" w:rsidTr="00210A27">
        <w:tc>
          <w:tcPr>
            <w:tcW w:w="4531" w:type="dxa"/>
          </w:tcPr>
          <w:p w14:paraId="606CD826" w14:textId="113FDE94" w:rsidR="00253C9C" w:rsidRDefault="00253C9C" w:rsidP="00253C9C">
            <w:pPr>
              <w:pStyle w:val="Lijstalinea"/>
              <w:numPr>
                <w:ilvl w:val="0"/>
                <w:numId w:val="2"/>
              </w:numPr>
              <w:rPr>
                <w:rFonts w:ascii="Calibri" w:eastAsiaTheme="minorEastAsia" w:hAnsi="Calibri" w:cs="Calibri"/>
                <w:kern w:val="24"/>
                <w:sz w:val="22"/>
                <w:szCs w:val="22"/>
              </w:rPr>
            </w:pPr>
            <w:r w:rsidRPr="00AD0CEA">
              <w:rPr>
                <w:rFonts w:ascii="Calibri" w:eastAsiaTheme="minorEastAsia" w:hAnsi="Calibri" w:cs="Calibri"/>
                <w:kern w:val="24"/>
                <w:sz w:val="22"/>
                <w:szCs w:val="22"/>
              </w:rPr>
              <w:t>0,3% van loonkosten extra toegevoegd bij de overhead cao Jeugdzorg (investeringsruimte van 1,5% naar 1,8% van de loonsom, conform cao)</w:t>
            </w:r>
          </w:p>
        </w:tc>
        <w:tc>
          <w:tcPr>
            <w:tcW w:w="4531" w:type="dxa"/>
          </w:tcPr>
          <w:p w14:paraId="4AAD0AD6" w14:textId="784FE5E6" w:rsidR="00253C9C" w:rsidRPr="006A3132" w:rsidRDefault="00253C9C" w:rsidP="00253C9C">
            <w:pPr>
              <w:rPr>
                <w:rFonts w:ascii="Calibri" w:eastAsiaTheme="minorEastAsia" w:hAnsi="Calibri" w:cs="Calibri"/>
                <w:kern w:val="24"/>
                <w:sz w:val="22"/>
                <w:szCs w:val="22"/>
              </w:rPr>
            </w:pPr>
            <w:r>
              <w:rPr>
                <w:rFonts w:ascii="Calibri" w:hAnsi="Calibri" w:cs="Calibri"/>
                <w:sz w:val="22"/>
                <w:szCs w:val="22"/>
              </w:rPr>
              <w:t xml:space="preserve">Naar aanleiding van vragen hierover in de </w:t>
            </w:r>
            <w:proofErr w:type="spellStart"/>
            <w:r>
              <w:rPr>
                <w:rFonts w:ascii="Calibri" w:hAnsi="Calibri" w:cs="Calibri"/>
                <w:sz w:val="22"/>
                <w:szCs w:val="22"/>
              </w:rPr>
              <w:t>NvI</w:t>
            </w:r>
            <w:proofErr w:type="spellEnd"/>
            <w:r>
              <w:rPr>
                <w:rFonts w:ascii="Calibri" w:hAnsi="Calibri" w:cs="Calibri"/>
                <w:sz w:val="22"/>
                <w:szCs w:val="22"/>
              </w:rPr>
              <w:t xml:space="preserve"> 2.</w:t>
            </w:r>
          </w:p>
        </w:tc>
      </w:tr>
    </w:tbl>
    <w:p w14:paraId="22E69B8F" w14:textId="77777777" w:rsidR="00130D2F" w:rsidRDefault="00130D2F" w:rsidP="00130D2F"/>
    <w:p w14:paraId="03EA8808" w14:textId="77777777" w:rsidR="00130D2F" w:rsidRDefault="00130D2F" w:rsidP="00130D2F">
      <w:pPr>
        <w:rPr>
          <w:b/>
          <w:bCs/>
          <w:sz w:val="28"/>
          <w:szCs w:val="28"/>
        </w:rPr>
      </w:pPr>
      <w:r>
        <w:rPr>
          <w:b/>
          <w:bCs/>
          <w:sz w:val="28"/>
          <w:szCs w:val="28"/>
        </w:rPr>
        <w:br w:type="page"/>
      </w:r>
    </w:p>
    <w:p w14:paraId="57714E88" w14:textId="77777777" w:rsidR="00130D2F" w:rsidRDefault="00130D2F" w:rsidP="00130D2F">
      <w:pPr>
        <w:rPr>
          <w:b/>
          <w:bCs/>
          <w:sz w:val="28"/>
          <w:szCs w:val="28"/>
        </w:rPr>
      </w:pPr>
      <w:r w:rsidRPr="00034B69">
        <w:rPr>
          <w:b/>
          <w:bCs/>
          <w:sz w:val="28"/>
          <w:szCs w:val="28"/>
        </w:rPr>
        <w:lastRenderedPageBreak/>
        <w:t xml:space="preserve">Voorgestelde wijzingen </w:t>
      </w:r>
      <w:r>
        <w:rPr>
          <w:b/>
          <w:bCs/>
          <w:sz w:val="28"/>
          <w:szCs w:val="28"/>
        </w:rPr>
        <w:t xml:space="preserve">Wonen en verblijf </w:t>
      </w:r>
      <w:r w:rsidRPr="00034B69">
        <w:rPr>
          <w:b/>
          <w:bCs/>
          <w:sz w:val="28"/>
          <w:szCs w:val="28"/>
        </w:rPr>
        <w:t xml:space="preserve">naar aanleiding van de </w:t>
      </w:r>
      <w:proofErr w:type="spellStart"/>
      <w:r w:rsidRPr="00034B69">
        <w:rPr>
          <w:b/>
          <w:bCs/>
          <w:sz w:val="28"/>
          <w:szCs w:val="28"/>
        </w:rPr>
        <w:t>NvI</w:t>
      </w:r>
      <w:proofErr w:type="spellEnd"/>
    </w:p>
    <w:p w14:paraId="37649FD1" w14:textId="77777777" w:rsidR="00130D2F" w:rsidRDefault="00130D2F" w:rsidP="00130D2F">
      <w:r>
        <w:t>Al deze wijzigingen zijn onder voorbehoud van bestuurlijke besluitvorming.</w:t>
      </w:r>
    </w:p>
    <w:tbl>
      <w:tblPr>
        <w:tblStyle w:val="Tabelraster"/>
        <w:tblW w:w="0" w:type="auto"/>
        <w:tblLook w:val="04A0" w:firstRow="1" w:lastRow="0" w:firstColumn="1" w:lastColumn="0" w:noHBand="0" w:noVBand="1"/>
      </w:tblPr>
      <w:tblGrid>
        <w:gridCol w:w="4531"/>
        <w:gridCol w:w="4531"/>
      </w:tblGrid>
      <w:tr w:rsidR="00130D2F" w:rsidRPr="0081065A" w14:paraId="49FEF3EB" w14:textId="77777777" w:rsidTr="00210A27">
        <w:tc>
          <w:tcPr>
            <w:tcW w:w="4531" w:type="dxa"/>
          </w:tcPr>
          <w:p w14:paraId="30DE9704" w14:textId="189290C8" w:rsidR="00130D2F" w:rsidRPr="0081065A" w:rsidRDefault="00130D2F" w:rsidP="00210A27">
            <w:pPr>
              <w:rPr>
                <w:rFonts w:ascii="Calibri" w:hAnsi="Calibri" w:cs="Calibri"/>
                <w:b/>
                <w:bCs/>
                <w:sz w:val="22"/>
                <w:szCs w:val="22"/>
              </w:rPr>
            </w:pPr>
            <w:r w:rsidRPr="0081065A">
              <w:rPr>
                <w:rFonts w:ascii="Calibri" w:hAnsi="Calibri" w:cs="Calibri"/>
                <w:b/>
                <w:bCs/>
                <w:sz w:val="22"/>
                <w:szCs w:val="22"/>
              </w:rPr>
              <w:t xml:space="preserve">Wijziging </w:t>
            </w:r>
            <w:r w:rsidR="00F86E80">
              <w:rPr>
                <w:rFonts w:ascii="Calibri" w:hAnsi="Calibri" w:cs="Calibri"/>
                <w:b/>
                <w:bCs/>
                <w:sz w:val="22"/>
                <w:szCs w:val="22"/>
              </w:rPr>
              <w:t>Wonen en verblijf</w:t>
            </w:r>
            <w:r>
              <w:rPr>
                <w:rFonts w:ascii="Calibri" w:hAnsi="Calibri" w:cs="Calibri"/>
                <w:b/>
                <w:bCs/>
                <w:sz w:val="22"/>
                <w:szCs w:val="22"/>
              </w:rPr>
              <w:t xml:space="preserve"> </w:t>
            </w:r>
            <w:r w:rsidRPr="0081065A">
              <w:rPr>
                <w:rFonts w:ascii="Calibri" w:hAnsi="Calibri" w:cs="Calibri"/>
                <w:b/>
                <w:bCs/>
                <w:sz w:val="22"/>
                <w:szCs w:val="22"/>
              </w:rPr>
              <w:t xml:space="preserve">na </w:t>
            </w:r>
            <w:proofErr w:type="spellStart"/>
            <w:r w:rsidRPr="0081065A">
              <w:rPr>
                <w:rFonts w:ascii="Calibri" w:hAnsi="Calibri" w:cs="Calibri"/>
                <w:b/>
                <w:bCs/>
                <w:sz w:val="22"/>
                <w:szCs w:val="22"/>
              </w:rPr>
              <w:t>NvI</w:t>
            </w:r>
            <w:proofErr w:type="spellEnd"/>
            <w:r w:rsidR="00F86E80">
              <w:rPr>
                <w:rFonts w:ascii="Calibri" w:hAnsi="Calibri" w:cs="Calibri"/>
                <w:b/>
                <w:bCs/>
                <w:sz w:val="22"/>
                <w:szCs w:val="22"/>
              </w:rPr>
              <w:t xml:space="preserve"> 1</w:t>
            </w:r>
          </w:p>
        </w:tc>
        <w:tc>
          <w:tcPr>
            <w:tcW w:w="4531" w:type="dxa"/>
          </w:tcPr>
          <w:p w14:paraId="66544599" w14:textId="77777777" w:rsidR="00130D2F" w:rsidRPr="0081065A" w:rsidRDefault="00130D2F" w:rsidP="00210A27">
            <w:pPr>
              <w:rPr>
                <w:rFonts w:ascii="Calibri" w:hAnsi="Calibri" w:cs="Calibri"/>
                <w:b/>
                <w:bCs/>
                <w:sz w:val="22"/>
                <w:szCs w:val="22"/>
              </w:rPr>
            </w:pPr>
            <w:r>
              <w:rPr>
                <w:rFonts w:ascii="Calibri" w:hAnsi="Calibri" w:cs="Calibri"/>
                <w:b/>
                <w:bCs/>
                <w:sz w:val="22"/>
                <w:szCs w:val="22"/>
              </w:rPr>
              <w:t>Toelichting</w:t>
            </w:r>
          </w:p>
        </w:tc>
      </w:tr>
      <w:tr w:rsidR="00130D2F" w:rsidRPr="0081065A" w14:paraId="0CA6D021" w14:textId="77777777" w:rsidTr="00210A27">
        <w:tc>
          <w:tcPr>
            <w:tcW w:w="4531" w:type="dxa"/>
          </w:tcPr>
          <w:p w14:paraId="54E06971" w14:textId="77777777" w:rsidR="00130D2F" w:rsidRPr="0081065A" w:rsidRDefault="00130D2F" w:rsidP="00130D2F">
            <w:pPr>
              <w:pStyle w:val="Lijstalinea"/>
              <w:numPr>
                <w:ilvl w:val="0"/>
                <w:numId w:val="3"/>
              </w:numPr>
              <w:rPr>
                <w:rFonts w:ascii="Calibri" w:hAnsi="Calibri" w:cs="Calibri"/>
                <w:sz w:val="22"/>
                <w:szCs w:val="22"/>
              </w:rPr>
            </w:pPr>
            <w:r w:rsidRPr="0081065A">
              <w:rPr>
                <w:rFonts w:ascii="Calibri" w:eastAsiaTheme="minorEastAsia" w:hAnsi="Calibri" w:cs="Calibri"/>
                <w:kern w:val="24"/>
                <w:sz w:val="22"/>
                <w:szCs w:val="22"/>
              </w:rPr>
              <w:t xml:space="preserve">Cao-mix jeugdzorg – gehandicaptenzorg naar </w:t>
            </w:r>
            <w:r>
              <w:rPr>
                <w:rFonts w:ascii="Calibri" w:eastAsiaTheme="minorEastAsia" w:hAnsi="Calibri" w:cs="Calibri"/>
                <w:kern w:val="24"/>
                <w:sz w:val="22"/>
                <w:szCs w:val="22"/>
              </w:rPr>
              <w:t>66,6%</w:t>
            </w:r>
            <w:r w:rsidRPr="0081065A">
              <w:rPr>
                <w:rFonts w:ascii="Calibri" w:eastAsiaTheme="minorEastAsia" w:hAnsi="Calibri" w:cs="Calibri"/>
                <w:kern w:val="24"/>
                <w:sz w:val="22"/>
                <w:szCs w:val="22"/>
              </w:rPr>
              <w:t xml:space="preserve">% - </w:t>
            </w:r>
            <w:r>
              <w:rPr>
                <w:rFonts w:ascii="Calibri" w:eastAsiaTheme="minorEastAsia" w:hAnsi="Calibri" w:cs="Calibri"/>
                <w:kern w:val="24"/>
                <w:sz w:val="22"/>
                <w:szCs w:val="22"/>
              </w:rPr>
              <w:t>33,3</w:t>
            </w:r>
            <w:r w:rsidRPr="0081065A">
              <w:rPr>
                <w:rFonts w:ascii="Calibri" w:eastAsiaTheme="minorEastAsia" w:hAnsi="Calibri" w:cs="Calibri"/>
                <w:kern w:val="24"/>
                <w:sz w:val="22"/>
                <w:szCs w:val="22"/>
              </w:rPr>
              <w:t>% (was: 50%-50%)</w:t>
            </w:r>
          </w:p>
        </w:tc>
        <w:tc>
          <w:tcPr>
            <w:tcW w:w="4531" w:type="dxa"/>
          </w:tcPr>
          <w:p w14:paraId="403A038B" w14:textId="77777777" w:rsidR="00130D2F" w:rsidRPr="0081065A" w:rsidRDefault="00130D2F" w:rsidP="00210A27">
            <w:pPr>
              <w:rPr>
                <w:rFonts w:ascii="Calibri" w:hAnsi="Calibri" w:cs="Calibri"/>
                <w:sz w:val="22"/>
                <w:szCs w:val="22"/>
              </w:rPr>
            </w:pPr>
            <w:r>
              <w:rPr>
                <w:rFonts w:ascii="Calibri" w:hAnsi="Calibri" w:cs="Calibri"/>
                <w:sz w:val="22"/>
                <w:szCs w:val="22"/>
              </w:rPr>
              <w:t>Deze wijziging is doorgevoerd naar aanleiding van vragen over deze mix van cao’s bij Behandeling. De wijziging is doorgevoerd in alle drie de zorgvormen, dus ook bij Dagbehandeling en Wonen en verblijf. De verhouding is gebaseerd op de declaratiegegevens 2025.</w:t>
            </w:r>
          </w:p>
        </w:tc>
      </w:tr>
      <w:tr w:rsidR="00130D2F" w:rsidRPr="0081065A" w14:paraId="6869638D" w14:textId="77777777" w:rsidTr="00210A27">
        <w:tc>
          <w:tcPr>
            <w:tcW w:w="4531" w:type="dxa"/>
          </w:tcPr>
          <w:p w14:paraId="768B334A" w14:textId="58B596F6" w:rsidR="00130D2F" w:rsidRPr="0081065A" w:rsidRDefault="00130D2F" w:rsidP="00130D2F">
            <w:pPr>
              <w:pStyle w:val="Lijstalinea"/>
              <w:numPr>
                <w:ilvl w:val="0"/>
                <w:numId w:val="3"/>
              </w:numPr>
              <w:rPr>
                <w:rFonts w:ascii="Calibri" w:eastAsiaTheme="minorEastAsia" w:hAnsi="Calibri" w:cs="Calibri"/>
                <w:kern w:val="24"/>
                <w:sz w:val="22"/>
                <w:szCs w:val="22"/>
              </w:rPr>
            </w:pPr>
            <w:r>
              <w:rPr>
                <w:rFonts w:ascii="Calibri" w:eastAsiaTheme="minorEastAsia" w:hAnsi="Calibri" w:cs="Calibri"/>
                <w:kern w:val="24"/>
                <w:sz w:val="22"/>
                <w:szCs w:val="22"/>
              </w:rPr>
              <w:t xml:space="preserve">Respijtzorg/logeren wordt gedeclareerd per </w:t>
            </w:r>
            <w:proofErr w:type="spellStart"/>
            <w:r w:rsidR="007D38B5">
              <w:rPr>
                <w:rFonts w:ascii="Calibri" w:eastAsiaTheme="minorEastAsia" w:hAnsi="Calibri" w:cs="Calibri"/>
                <w:kern w:val="24"/>
                <w:sz w:val="22"/>
                <w:szCs w:val="22"/>
              </w:rPr>
              <w:t>aanwezigheidsdag</w:t>
            </w:r>
            <w:proofErr w:type="spellEnd"/>
            <w:r>
              <w:rPr>
                <w:rFonts w:ascii="Calibri" w:eastAsiaTheme="minorEastAsia" w:hAnsi="Calibri" w:cs="Calibri"/>
                <w:kern w:val="24"/>
                <w:sz w:val="22"/>
                <w:szCs w:val="22"/>
              </w:rPr>
              <w:t xml:space="preserve"> en niet per overnachting.</w:t>
            </w:r>
          </w:p>
        </w:tc>
        <w:tc>
          <w:tcPr>
            <w:tcW w:w="4531" w:type="dxa"/>
          </w:tcPr>
          <w:p w14:paraId="553B8BA7" w14:textId="77777777" w:rsidR="00130D2F" w:rsidRPr="0081065A" w:rsidRDefault="00130D2F" w:rsidP="00210A27">
            <w:pPr>
              <w:rPr>
                <w:rFonts w:ascii="Calibri" w:eastAsiaTheme="minorEastAsia" w:hAnsi="Calibri" w:cs="Calibri"/>
                <w:kern w:val="24"/>
                <w:sz w:val="22"/>
                <w:szCs w:val="22"/>
              </w:rPr>
            </w:pPr>
            <w:r>
              <w:rPr>
                <w:rFonts w:ascii="Calibri" w:eastAsiaTheme="minorEastAsia" w:hAnsi="Calibri" w:cs="Calibri"/>
                <w:kern w:val="24"/>
                <w:sz w:val="22"/>
                <w:szCs w:val="22"/>
              </w:rPr>
              <w:t xml:space="preserve">In de </w:t>
            </w:r>
            <w:proofErr w:type="spellStart"/>
            <w:r>
              <w:rPr>
                <w:rFonts w:ascii="Calibri" w:eastAsiaTheme="minorEastAsia" w:hAnsi="Calibri" w:cs="Calibri"/>
                <w:kern w:val="24"/>
                <w:sz w:val="22"/>
                <w:szCs w:val="22"/>
              </w:rPr>
              <w:t>Wlz</w:t>
            </w:r>
            <w:proofErr w:type="spellEnd"/>
            <w:r>
              <w:rPr>
                <w:rFonts w:ascii="Calibri" w:eastAsiaTheme="minorEastAsia" w:hAnsi="Calibri" w:cs="Calibri"/>
                <w:kern w:val="24"/>
                <w:sz w:val="22"/>
                <w:szCs w:val="22"/>
              </w:rPr>
              <w:t xml:space="preserve"> is de declaratie van logeren gebaseerd op aanwezigheidsdagen en niet op basis van etmalen met overnachting. Omwille van de administratieve eenvoud hebben we besloten hierop aan te sluiten. </w:t>
            </w:r>
            <w:r w:rsidRPr="00BE156B">
              <w:rPr>
                <w:rFonts w:ascii="Calibri" w:eastAsiaTheme="minorEastAsia" w:hAnsi="Calibri" w:cs="Calibri"/>
                <w:kern w:val="24"/>
                <w:sz w:val="22"/>
                <w:szCs w:val="22"/>
              </w:rPr>
              <w:t>Voor de rekentool betekent dit dat er bij 'openingsdagen per jaar ' nu voor ieder weekend van vrijdag tot zondag 3 dagen moeten worden ingevoerd. Dus: stel dat een logeerfunctie alle 52 weekenden open zou zijn, dan zijn dat 104 overnachtingen (oude situatie) en dat worden nu 156 openingsdagen.</w:t>
            </w:r>
          </w:p>
        </w:tc>
      </w:tr>
      <w:tr w:rsidR="00130D2F" w:rsidRPr="0081065A" w14:paraId="35189417" w14:textId="77777777" w:rsidTr="00210A27">
        <w:tc>
          <w:tcPr>
            <w:tcW w:w="4531" w:type="dxa"/>
          </w:tcPr>
          <w:p w14:paraId="2E1D08EB" w14:textId="77777777" w:rsidR="00130D2F" w:rsidRDefault="00130D2F" w:rsidP="00130D2F">
            <w:pPr>
              <w:pStyle w:val="Lijstalinea"/>
              <w:numPr>
                <w:ilvl w:val="0"/>
                <w:numId w:val="3"/>
              </w:numPr>
              <w:rPr>
                <w:rFonts w:ascii="Calibri" w:eastAsiaTheme="minorEastAsia" w:hAnsi="Calibri" w:cs="Calibri"/>
                <w:kern w:val="24"/>
                <w:sz w:val="22"/>
                <w:szCs w:val="22"/>
              </w:rPr>
            </w:pPr>
            <w:r>
              <w:rPr>
                <w:rFonts w:ascii="Calibri" w:eastAsiaTheme="minorEastAsia" w:hAnsi="Calibri" w:cs="Calibri"/>
                <w:kern w:val="24"/>
                <w:sz w:val="22"/>
                <w:szCs w:val="22"/>
              </w:rPr>
              <w:t>Respijtzorg/logeren krijgt een maximale normatieve bezettingsgraad van 90%</w:t>
            </w:r>
          </w:p>
        </w:tc>
        <w:tc>
          <w:tcPr>
            <w:tcW w:w="4531" w:type="dxa"/>
          </w:tcPr>
          <w:p w14:paraId="2AEBDA0B" w14:textId="77777777" w:rsidR="00130D2F" w:rsidRDefault="00130D2F" w:rsidP="00210A27">
            <w:pPr>
              <w:rPr>
                <w:rFonts w:ascii="Calibri" w:eastAsiaTheme="minorEastAsia" w:hAnsi="Calibri" w:cs="Calibri"/>
                <w:kern w:val="24"/>
                <w:sz w:val="22"/>
                <w:szCs w:val="22"/>
              </w:rPr>
            </w:pPr>
            <w:r>
              <w:rPr>
                <w:rFonts w:ascii="Calibri" w:eastAsiaTheme="minorEastAsia" w:hAnsi="Calibri" w:cs="Calibri"/>
                <w:kern w:val="24"/>
                <w:sz w:val="22"/>
                <w:szCs w:val="22"/>
              </w:rPr>
              <w:t>De normatieve bezettingsgraad is een norm die wordt gebaseerd op de verblijfsduur. Bij Respijtzorg/logeren zal deze nooit hoger worden dan 90%. Als de werkelijke bezettingsgraad hoger is dan 90%, dan wordt de werkelijke bezettingsgraad gebruikt om de begeleidingsintensiteit te bepalen.</w:t>
            </w:r>
          </w:p>
        </w:tc>
      </w:tr>
      <w:tr w:rsidR="00130D2F" w:rsidRPr="0081065A" w14:paraId="575C9AEB" w14:textId="77777777" w:rsidTr="00210A27">
        <w:tc>
          <w:tcPr>
            <w:tcW w:w="4531" w:type="dxa"/>
          </w:tcPr>
          <w:p w14:paraId="0AF603C3" w14:textId="77777777" w:rsidR="00130D2F" w:rsidRDefault="00130D2F" w:rsidP="00130D2F">
            <w:pPr>
              <w:pStyle w:val="Lijstalinea"/>
              <w:numPr>
                <w:ilvl w:val="0"/>
                <w:numId w:val="3"/>
              </w:numPr>
              <w:rPr>
                <w:rFonts w:ascii="Calibri" w:eastAsiaTheme="minorEastAsia" w:hAnsi="Calibri" w:cs="Calibri"/>
                <w:kern w:val="24"/>
                <w:sz w:val="22"/>
                <w:szCs w:val="22"/>
              </w:rPr>
            </w:pPr>
            <w:r>
              <w:rPr>
                <w:rFonts w:ascii="Calibri" w:eastAsiaTheme="minorEastAsia" w:hAnsi="Calibri" w:cs="Calibri"/>
                <w:kern w:val="24"/>
                <w:sz w:val="22"/>
                <w:szCs w:val="22"/>
              </w:rPr>
              <w:t>Verblijf crisis op basis van historische bezettingsgraad</w:t>
            </w:r>
          </w:p>
        </w:tc>
        <w:tc>
          <w:tcPr>
            <w:tcW w:w="4531" w:type="dxa"/>
          </w:tcPr>
          <w:p w14:paraId="1AFAF54E" w14:textId="77777777" w:rsidR="00130D2F" w:rsidRDefault="00130D2F" w:rsidP="00210A27">
            <w:pPr>
              <w:rPr>
                <w:rFonts w:ascii="Calibri" w:eastAsiaTheme="minorEastAsia" w:hAnsi="Calibri" w:cs="Calibri"/>
                <w:kern w:val="24"/>
                <w:sz w:val="22"/>
                <w:szCs w:val="22"/>
              </w:rPr>
            </w:pPr>
            <w:r>
              <w:rPr>
                <w:rFonts w:ascii="Calibri" w:eastAsiaTheme="minorEastAsia" w:hAnsi="Calibri" w:cs="Calibri"/>
                <w:kern w:val="24"/>
                <w:sz w:val="22"/>
                <w:szCs w:val="22"/>
              </w:rPr>
              <w:t>Let op: de wijze waarop verblijf crisis gaat worden ingekocht, is nog onderwerp van discussie. Deze wijziging kan om die reden straks niet meer van toepassing zijn.</w:t>
            </w:r>
          </w:p>
          <w:p w14:paraId="28A18449" w14:textId="77777777" w:rsidR="00130D2F" w:rsidRDefault="00130D2F" w:rsidP="00210A27">
            <w:pPr>
              <w:rPr>
                <w:rFonts w:ascii="Calibri" w:eastAsiaTheme="minorEastAsia" w:hAnsi="Calibri" w:cs="Calibri"/>
                <w:kern w:val="24"/>
                <w:sz w:val="22"/>
                <w:szCs w:val="22"/>
              </w:rPr>
            </w:pPr>
            <w:r>
              <w:rPr>
                <w:rFonts w:ascii="Calibri" w:eastAsiaTheme="minorEastAsia" w:hAnsi="Calibri" w:cs="Calibri"/>
                <w:kern w:val="24"/>
                <w:sz w:val="22"/>
                <w:szCs w:val="22"/>
              </w:rPr>
              <w:t>De rekentool Wonen en verblijf berekent een normatieve bezettingsgraad op basis van de verblijfsduur. Als de werkelijke bezettingsgraad lager is, dan wordt de begeleidingsintensiteit berekend met de normatieve bezettingsgraad. Bij verblijf crisis is dit niet meer zo, daar wordt de historische bezettingsgraad worden gebruikt.</w:t>
            </w:r>
          </w:p>
        </w:tc>
      </w:tr>
      <w:tr w:rsidR="00EE259C" w:rsidRPr="0081065A" w14:paraId="0CA6735C" w14:textId="77777777" w:rsidTr="00210A27">
        <w:tc>
          <w:tcPr>
            <w:tcW w:w="4531" w:type="dxa"/>
          </w:tcPr>
          <w:p w14:paraId="14D795E0" w14:textId="385FCD60" w:rsidR="00EE259C" w:rsidRDefault="00EE259C" w:rsidP="00130D2F">
            <w:pPr>
              <w:pStyle w:val="Lijstalinea"/>
              <w:numPr>
                <w:ilvl w:val="0"/>
                <w:numId w:val="3"/>
              </w:numPr>
              <w:rPr>
                <w:rFonts w:ascii="Calibri" w:eastAsiaTheme="minorEastAsia" w:hAnsi="Calibri" w:cs="Calibri"/>
                <w:kern w:val="24"/>
                <w:sz w:val="22"/>
                <w:szCs w:val="22"/>
              </w:rPr>
            </w:pPr>
            <w:r>
              <w:rPr>
                <w:rFonts w:ascii="Calibri" w:eastAsiaTheme="minorEastAsia" w:hAnsi="Calibri" w:cs="Calibri"/>
                <w:kern w:val="24"/>
                <w:sz w:val="22"/>
                <w:szCs w:val="22"/>
              </w:rPr>
              <w:t>Gedragswetenschapper gemiddeld in hogere schaal.</w:t>
            </w:r>
          </w:p>
        </w:tc>
        <w:tc>
          <w:tcPr>
            <w:tcW w:w="4531" w:type="dxa"/>
          </w:tcPr>
          <w:p w14:paraId="2D9D7536" w14:textId="6DC16588" w:rsidR="00EE259C" w:rsidRDefault="00EE259C" w:rsidP="00210A27">
            <w:pPr>
              <w:rPr>
                <w:rFonts w:ascii="Calibri" w:eastAsiaTheme="minorEastAsia" w:hAnsi="Calibri" w:cs="Calibri"/>
                <w:kern w:val="24"/>
                <w:sz w:val="22"/>
                <w:szCs w:val="22"/>
              </w:rPr>
            </w:pPr>
            <w:r>
              <w:rPr>
                <w:rFonts w:ascii="Calibri" w:eastAsiaTheme="minorEastAsia" w:hAnsi="Calibri" w:cs="Calibri"/>
                <w:kern w:val="24"/>
                <w:sz w:val="22"/>
                <w:szCs w:val="22"/>
              </w:rPr>
              <w:t>De gedragswetenschapper – voor het deel cao Gehandicaptenzorg – wordt voor de intensiteiten L-R aangepast van 35% FWG60 15% FWG65 naar 25%-25%. De cao Gehandicaptenzorg weegt voor 33,3% mee.</w:t>
            </w:r>
          </w:p>
        </w:tc>
      </w:tr>
      <w:tr w:rsidR="00EE259C" w:rsidRPr="0081065A" w14:paraId="667C7D66" w14:textId="77777777" w:rsidTr="00210A27">
        <w:tc>
          <w:tcPr>
            <w:tcW w:w="4531" w:type="dxa"/>
          </w:tcPr>
          <w:p w14:paraId="65C4B05E" w14:textId="2BAD4909" w:rsidR="00EE259C" w:rsidRDefault="00EE259C" w:rsidP="00130D2F">
            <w:pPr>
              <w:pStyle w:val="Lijstalinea"/>
              <w:numPr>
                <w:ilvl w:val="0"/>
                <w:numId w:val="3"/>
              </w:numPr>
              <w:rPr>
                <w:rFonts w:ascii="Calibri" w:eastAsiaTheme="minorEastAsia" w:hAnsi="Calibri" w:cs="Calibri"/>
                <w:kern w:val="24"/>
                <w:sz w:val="22"/>
                <w:szCs w:val="22"/>
              </w:rPr>
            </w:pPr>
            <w:r>
              <w:rPr>
                <w:rFonts w:ascii="Calibri" w:eastAsiaTheme="minorEastAsia" w:hAnsi="Calibri" w:cs="Calibri"/>
                <w:kern w:val="24"/>
                <w:sz w:val="22"/>
                <w:szCs w:val="22"/>
              </w:rPr>
              <w:t xml:space="preserve">De salarisschalenmix van 1-op-1 begeleiding is aangepast </w:t>
            </w:r>
          </w:p>
        </w:tc>
        <w:tc>
          <w:tcPr>
            <w:tcW w:w="4531" w:type="dxa"/>
          </w:tcPr>
          <w:p w14:paraId="1DC5B1C2" w14:textId="77777777" w:rsidR="00EE259C" w:rsidRDefault="00636435" w:rsidP="00210A27">
            <w:pPr>
              <w:rPr>
                <w:rFonts w:ascii="Calibri" w:eastAsiaTheme="minorEastAsia" w:hAnsi="Calibri" w:cs="Calibri"/>
                <w:kern w:val="24"/>
                <w:sz w:val="22"/>
                <w:szCs w:val="22"/>
              </w:rPr>
            </w:pPr>
            <w:r>
              <w:rPr>
                <w:rFonts w:ascii="Calibri" w:eastAsiaTheme="minorEastAsia" w:hAnsi="Calibri" w:cs="Calibri"/>
                <w:kern w:val="24"/>
                <w:sz w:val="22"/>
                <w:szCs w:val="22"/>
              </w:rPr>
              <w:t xml:space="preserve">De salarisschalenmix van 1-op-1 begeleiding is aangepast van 25%-25% schaal 7/FWG 40 – schaal </w:t>
            </w:r>
            <w:proofErr w:type="gramStart"/>
            <w:r>
              <w:rPr>
                <w:rFonts w:ascii="Calibri" w:eastAsiaTheme="minorEastAsia" w:hAnsi="Calibri" w:cs="Calibri"/>
                <w:kern w:val="24"/>
                <w:sz w:val="22"/>
                <w:szCs w:val="22"/>
              </w:rPr>
              <w:t>8 /</w:t>
            </w:r>
            <w:proofErr w:type="gramEnd"/>
            <w:r>
              <w:rPr>
                <w:rFonts w:ascii="Calibri" w:eastAsiaTheme="minorEastAsia" w:hAnsi="Calibri" w:cs="Calibri"/>
                <w:kern w:val="24"/>
                <w:sz w:val="22"/>
                <w:szCs w:val="22"/>
              </w:rPr>
              <w:t xml:space="preserve"> FWG 45 naar 15%-35%.</w:t>
            </w:r>
          </w:p>
          <w:p w14:paraId="11BFD273" w14:textId="77777777" w:rsidR="00781333" w:rsidRDefault="00781333" w:rsidP="00210A27">
            <w:pPr>
              <w:rPr>
                <w:rFonts w:ascii="Calibri" w:eastAsiaTheme="minorEastAsia" w:hAnsi="Calibri" w:cs="Calibri"/>
                <w:kern w:val="24"/>
                <w:sz w:val="22"/>
                <w:szCs w:val="22"/>
              </w:rPr>
            </w:pPr>
          </w:p>
          <w:p w14:paraId="45AF05C0" w14:textId="444121F0" w:rsidR="00781333" w:rsidRDefault="00781333" w:rsidP="00210A27">
            <w:pPr>
              <w:rPr>
                <w:rFonts w:ascii="Calibri" w:eastAsiaTheme="minorEastAsia" w:hAnsi="Calibri" w:cs="Calibri"/>
                <w:kern w:val="24"/>
                <w:sz w:val="22"/>
                <w:szCs w:val="22"/>
              </w:rPr>
            </w:pPr>
          </w:p>
        </w:tc>
      </w:tr>
      <w:tr w:rsidR="00253C9C" w:rsidRPr="006A3132" w14:paraId="4A53C8A3" w14:textId="77777777" w:rsidTr="00253C9C">
        <w:tc>
          <w:tcPr>
            <w:tcW w:w="4531" w:type="dxa"/>
          </w:tcPr>
          <w:p w14:paraId="1C169B9F" w14:textId="539B35CF" w:rsidR="00253C9C" w:rsidRPr="00253C9C" w:rsidRDefault="00253C9C" w:rsidP="00540072">
            <w:pPr>
              <w:rPr>
                <w:rFonts w:ascii="Calibri" w:eastAsiaTheme="minorEastAsia" w:hAnsi="Calibri" w:cs="Calibri"/>
                <w:kern w:val="24"/>
                <w:sz w:val="22"/>
                <w:szCs w:val="22"/>
              </w:rPr>
            </w:pPr>
            <w:r w:rsidRPr="00253C9C">
              <w:rPr>
                <w:rFonts w:ascii="Calibri" w:hAnsi="Calibri" w:cs="Calibri"/>
                <w:b/>
                <w:bCs/>
                <w:sz w:val="22"/>
                <w:szCs w:val="22"/>
              </w:rPr>
              <w:lastRenderedPageBreak/>
              <w:t xml:space="preserve">Wijziging </w:t>
            </w:r>
            <w:r>
              <w:rPr>
                <w:rFonts w:ascii="Calibri" w:hAnsi="Calibri" w:cs="Calibri"/>
                <w:b/>
                <w:bCs/>
                <w:sz w:val="22"/>
                <w:szCs w:val="22"/>
              </w:rPr>
              <w:t>Wonen en verblijf</w:t>
            </w:r>
            <w:r w:rsidRPr="00253C9C">
              <w:rPr>
                <w:rFonts w:ascii="Calibri" w:hAnsi="Calibri" w:cs="Calibri"/>
                <w:b/>
                <w:bCs/>
                <w:sz w:val="22"/>
                <w:szCs w:val="22"/>
              </w:rPr>
              <w:t xml:space="preserve"> na </w:t>
            </w:r>
            <w:proofErr w:type="spellStart"/>
            <w:r w:rsidRPr="00253C9C">
              <w:rPr>
                <w:rFonts w:ascii="Calibri" w:hAnsi="Calibri" w:cs="Calibri"/>
                <w:b/>
                <w:bCs/>
                <w:sz w:val="22"/>
                <w:szCs w:val="22"/>
              </w:rPr>
              <w:t>NvI</w:t>
            </w:r>
            <w:proofErr w:type="spellEnd"/>
            <w:r>
              <w:rPr>
                <w:rFonts w:ascii="Calibri" w:hAnsi="Calibri" w:cs="Calibri"/>
                <w:b/>
                <w:bCs/>
                <w:sz w:val="22"/>
                <w:szCs w:val="22"/>
              </w:rPr>
              <w:t xml:space="preserve"> 2</w:t>
            </w:r>
          </w:p>
        </w:tc>
        <w:tc>
          <w:tcPr>
            <w:tcW w:w="4531" w:type="dxa"/>
          </w:tcPr>
          <w:p w14:paraId="2A5CEF44" w14:textId="77777777" w:rsidR="00253C9C" w:rsidRPr="006A3132" w:rsidRDefault="00253C9C" w:rsidP="00540072">
            <w:pPr>
              <w:rPr>
                <w:rFonts w:ascii="Calibri" w:eastAsiaTheme="minorEastAsia" w:hAnsi="Calibri" w:cs="Calibri"/>
                <w:kern w:val="24"/>
                <w:sz w:val="22"/>
                <w:szCs w:val="22"/>
              </w:rPr>
            </w:pPr>
            <w:r>
              <w:rPr>
                <w:rFonts w:ascii="Calibri" w:hAnsi="Calibri" w:cs="Calibri"/>
                <w:b/>
                <w:bCs/>
                <w:sz w:val="22"/>
                <w:szCs w:val="22"/>
              </w:rPr>
              <w:t>Toelichting</w:t>
            </w:r>
          </w:p>
        </w:tc>
      </w:tr>
      <w:tr w:rsidR="00253C9C" w:rsidRPr="006A3132" w14:paraId="544ABEBE" w14:textId="77777777" w:rsidTr="00253C9C">
        <w:tc>
          <w:tcPr>
            <w:tcW w:w="4531" w:type="dxa"/>
          </w:tcPr>
          <w:p w14:paraId="0B44F341" w14:textId="77777777" w:rsidR="00253C9C" w:rsidRDefault="00253C9C" w:rsidP="00253C9C">
            <w:pPr>
              <w:pStyle w:val="Lijstalinea"/>
              <w:numPr>
                <w:ilvl w:val="0"/>
                <w:numId w:val="3"/>
              </w:numPr>
              <w:rPr>
                <w:rFonts w:ascii="Calibri" w:eastAsiaTheme="minorEastAsia" w:hAnsi="Calibri" w:cs="Calibri"/>
                <w:kern w:val="24"/>
                <w:sz w:val="22"/>
                <w:szCs w:val="22"/>
              </w:rPr>
            </w:pPr>
            <w:r w:rsidRPr="00AD0CEA">
              <w:rPr>
                <w:rFonts w:ascii="Calibri" w:eastAsiaTheme="minorEastAsia" w:hAnsi="Calibri" w:cs="Calibri"/>
                <w:kern w:val="24"/>
                <w:sz w:val="22"/>
                <w:szCs w:val="22"/>
              </w:rPr>
              <w:t>0,3% van loonkosten extra toegevoegd bij de overhead cao Jeugdzorg (investeringsruimte van 1,5% naar 1,8% van de loonsom, conform cao)</w:t>
            </w:r>
          </w:p>
        </w:tc>
        <w:tc>
          <w:tcPr>
            <w:tcW w:w="4531" w:type="dxa"/>
          </w:tcPr>
          <w:p w14:paraId="6F34B683" w14:textId="77777777" w:rsidR="00253C9C" w:rsidRPr="006A3132" w:rsidRDefault="00253C9C" w:rsidP="00540072">
            <w:pPr>
              <w:rPr>
                <w:rFonts w:ascii="Calibri" w:eastAsiaTheme="minorEastAsia" w:hAnsi="Calibri" w:cs="Calibri"/>
                <w:kern w:val="24"/>
                <w:sz w:val="22"/>
                <w:szCs w:val="22"/>
              </w:rPr>
            </w:pPr>
            <w:r>
              <w:rPr>
                <w:rFonts w:ascii="Calibri" w:hAnsi="Calibri" w:cs="Calibri"/>
                <w:sz w:val="22"/>
                <w:szCs w:val="22"/>
              </w:rPr>
              <w:t xml:space="preserve">Naar aanleiding van vragen hierover in de </w:t>
            </w:r>
            <w:proofErr w:type="spellStart"/>
            <w:r>
              <w:rPr>
                <w:rFonts w:ascii="Calibri" w:hAnsi="Calibri" w:cs="Calibri"/>
                <w:sz w:val="22"/>
                <w:szCs w:val="22"/>
              </w:rPr>
              <w:t>NvI</w:t>
            </w:r>
            <w:proofErr w:type="spellEnd"/>
            <w:r>
              <w:rPr>
                <w:rFonts w:ascii="Calibri" w:hAnsi="Calibri" w:cs="Calibri"/>
                <w:sz w:val="22"/>
                <w:szCs w:val="22"/>
              </w:rPr>
              <w:t xml:space="preserve"> 2.</w:t>
            </w:r>
          </w:p>
        </w:tc>
      </w:tr>
    </w:tbl>
    <w:p w14:paraId="7A432F31" w14:textId="77777777" w:rsidR="006F6A5E" w:rsidRDefault="006F6A5E" w:rsidP="00636435"/>
    <w:sectPr w:rsidR="006F6A5E" w:rsidSect="00130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856DD"/>
    <w:multiLevelType w:val="hybridMultilevel"/>
    <w:tmpl w:val="2DB841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46D33F0"/>
    <w:multiLevelType w:val="hybridMultilevel"/>
    <w:tmpl w:val="2DB841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E5818EB"/>
    <w:multiLevelType w:val="hybridMultilevel"/>
    <w:tmpl w:val="2DB841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2F"/>
    <w:rsid w:val="00113965"/>
    <w:rsid w:val="00130D2F"/>
    <w:rsid w:val="001D20B1"/>
    <w:rsid w:val="001F2DF7"/>
    <w:rsid w:val="00253C9C"/>
    <w:rsid w:val="003D2979"/>
    <w:rsid w:val="004135D6"/>
    <w:rsid w:val="0062355F"/>
    <w:rsid w:val="00636435"/>
    <w:rsid w:val="006F6A5E"/>
    <w:rsid w:val="00781333"/>
    <w:rsid w:val="007D38B5"/>
    <w:rsid w:val="007D46CC"/>
    <w:rsid w:val="00834044"/>
    <w:rsid w:val="00AD0CEA"/>
    <w:rsid w:val="00B431EF"/>
    <w:rsid w:val="00B7264C"/>
    <w:rsid w:val="00C82C8E"/>
    <w:rsid w:val="00CC3AC3"/>
    <w:rsid w:val="00D40329"/>
    <w:rsid w:val="00DD3C8D"/>
    <w:rsid w:val="00DE3289"/>
    <w:rsid w:val="00EB3641"/>
    <w:rsid w:val="00EE259C"/>
    <w:rsid w:val="00F1724B"/>
    <w:rsid w:val="00F86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F2B7"/>
  <w15:chartTrackingRefBased/>
  <w15:docId w15:val="{9BFCEA5D-82C4-4A43-B61C-FD822E47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D2F"/>
  </w:style>
  <w:style w:type="paragraph" w:styleId="Kop1">
    <w:name w:val="heading 1"/>
    <w:basedOn w:val="Standaard"/>
    <w:next w:val="Standaard"/>
    <w:link w:val="Kop1Char"/>
    <w:uiPriority w:val="9"/>
    <w:qFormat/>
    <w:rsid w:val="00130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0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0D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0D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0D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0D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0D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0D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0D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D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0D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0D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0D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0D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0D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0D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0D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0D2F"/>
    <w:rPr>
      <w:rFonts w:eastAsiaTheme="majorEastAsia" w:cstheme="majorBidi"/>
      <w:color w:val="272727" w:themeColor="text1" w:themeTint="D8"/>
    </w:rPr>
  </w:style>
  <w:style w:type="paragraph" w:styleId="Titel">
    <w:name w:val="Title"/>
    <w:basedOn w:val="Standaard"/>
    <w:next w:val="Standaard"/>
    <w:link w:val="TitelChar"/>
    <w:uiPriority w:val="10"/>
    <w:qFormat/>
    <w:rsid w:val="00130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0D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0D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0D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0D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0D2F"/>
    <w:rPr>
      <w:i/>
      <w:iCs/>
      <w:color w:val="404040" w:themeColor="text1" w:themeTint="BF"/>
    </w:rPr>
  </w:style>
  <w:style w:type="paragraph" w:styleId="Lijstalinea">
    <w:name w:val="List Paragraph"/>
    <w:basedOn w:val="Standaard"/>
    <w:uiPriority w:val="34"/>
    <w:qFormat/>
    <w:rsid w:val="00130D2F"/>
    <w:pPr>
      <w:ind w:left="720"/>
      <w:contextualSpacing/>
    </w:pPr>
  </w:style>
  <w:style w:type="character" w:styleId="Intensievebenadrukking">
    <w:name w:val="Intense Emphasis"/>
    <w:basedOn w:val="Standaardalinea-lettertype"/>
    <w:uiPriority w:val="21"/>
    <w:qFormat/>
    <w:rsid w:val="00130D2F"/>
    <w:rPr>
      <w:i/>
      <w:iCs/>
      <w:color w:val="0F4761" w:themeColor="accent1" w:themeShade="BF"/>
    </w:rPr>
  </w:style>
  <w:style w:type="paragraph" w:styleId="Duidelijkcitaat">
    <w:name w:val="Intense Quote"/>
    <w:basedOn w:val="Standaard"/>
    <w:next w:val="Standaard"/>
    <w:link w:val="DuidelijkcitaatChar"/>
    <w:uiPriority w:val="30"/>
    <w:qFormat/>
    <w:rsid w:val="00130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0D2F"/>
    <w:rPr>
      <w:i/>
      <w:iCs/>
      <w:color w:val="0F4761" w:themeColor="accent1" w:themeShade="BF"/>
    </w:rPr>
  </w:style>
  <w:style w:type="character" w:styleId="Intensieveverwijzing">
    <w:name w:val="Intense Reference"/>
    <w:basedOn w:val="Standaardalinea-lettertype"/>
    <w:uiPriority w:val="32"/>
    <w:qFormat/>
    <w:rsid w:val="00130D2F"/>
    <w:rPr>
      <w:b/>
      <w:bCs/>
      <w:smallCaps/>
      <w:color w:val="0F4761" w:themeColor="accent1" w:themeShade="BF"/>
      <w:spacing w:val="5"/>
    </w:rPr>
  </w:style>
  <w:style w:type="table" w:styleId="Tabelraster">
    <w:name w:val="Table Grid"/>
    <w:basedOn w:val="Standaardtabel"/>
    <w:uiPriority w:val="39"/>
    <w:rsid w:val="0013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2188</Words>
  <Characters>12039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Sybe Bijleveld</dc:creator>
  <cp:keywords/>
  <dc:description/>
  <cp:lastModifiedBy>Herma Hemmen</cp:lastModifiedBy>
  <cp:revision>2</cp:revision>
  <dcterms:created xsi:type="dcterms:W3CDTF">2026-06-17T12:42:00Z</dcterms:created>
  <dcterms:modified xsi:type="dcterms:W3CDTF">2026-06-17T12:42:00Z</dcterms:modified>
</cp:coreProperties>
</file>