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1DA5" w14:textId="77777777" w:rsidR="00A45402" w:rsidRPr="00311AAE" w:rsidRDefault="00000000">
      <w:pPr>
        <w:pStyle w:val="Kop1"/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Concept Mantelovereenkomst ICT Leveringen en Diensten</w:t>
      </w:r>
    </w:p>
    <w:p w14:paraId="4FD21703" w14:textId="77777777" w:rsidR="00A45402" w:rsidRPr="00311AAE" w:rsidRDefault="00000000">
      <w:pPr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Deze Mantelovereenkomst ICT Leveringen en Diensten (hierna: "Mantelovereenkomst") wordt aangegaan tussen:</w:t>
      </w:r>
      <w:r w:rsidRPr="00311AAE">
        <w:rPr>
          <w:rFonts w:ascii="Titillium Web" w:hAnsi="Titillium Web"/>
          <w:sz w:val="20"/>
          <w:szCs w:val="20"/>
        </w:rPr>
        <w:br/>
      </w:r>
      <w:r w:rsidRPr="00311AAE">
        <w:rPr>
          <w:rFonts w:ascii="Titillium Web" w:hAnsi="Titillium Web"/>
          <w:sz w:val="20"/>
          <w:szCs w:val="20"/>
        </w:rPr>
        <w:br/>
        <w:t>Gemeente Oosterhout, gevestigd te Oosterhout, hierna te noemen "Opdrachtgever",</w:t>
      </w:r>
      <w:r w:rsidRPr="00311AAE">
        <w:rPr>
          <w:rFonts w:ascii="Titillium Web" w:hAnsi="Titillium Web"/>
          <w:sz w:val="20"/>
          <w:szCs w:val="20"/>
        </w:rPr>
        <w:br/>
        <w:t>en</w:t>
      </w:r>
      <w:r w:rsidRPr="00311AAE">
        <w:rPr>
          <w:rFonts w:ascii="Titillium Web" w:hAnsi="Titillium Web"/>
          <w:sz w:val="20"/>
          <w:szCs w:val="20"/>
        </w:rPr>
        <w:br/>
        <w:t>Opdrachtnemer, gevestigd te [plaats], hierna te noemen "Opdrachtnemer".</w:t>
      </w:r>
      <w:r w:rsidRPr="00311AAE">
        <w:rPr>
          <w:rFonts w:ascii="Titillium Web" w:hAnsi="Titillium Web"/>
          <w:sz w:val="20"/>
          <w:szCs w:val="20"/>
        </w:rPr>
        <w:br/>
      </w:r>
      <w:r w:rsidRPr="00311AAE">
        <w:rPr>
          <w:rFonts w:ascii="Titillium Web" w:hAnsi="Titillium Web"/>
          <w:sz w:val="20"/>
          <w:szCs w:val="20"/>
        </w:rPr>
        <w:br/>
        <w:t>Partijen komen het volgende overeen.</w:t>
      </w:r>
    </w:p>
    <w:p w14:paraId="49C9A049" w14:textId="77777777" w:rsidR="00A45402" w:rsidRPr="00311AAE" w:rsidRDefault="00000000">
      <w:pPr>
        <w:pStyle w:val="Kop2"/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Artikel 1 – Definities</w:t>
      </w:r>
    </w:p>
    <w:p w14:paraId="5716F453" w14:textId="77777777" w:rsidR="00A45402" w:rsidRPr="00311AAE" w:rsidRDefault="00000000">
      <w:pPr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In deze Mantelovereenkomst wordt verstaan onder:</w:t>
      </w:r>
      <w:r w:rsidRPr="00311AAE">
        <w:rPr>
          <w:rFonts w:ascii="Titillium Web" w:hAnsi="Titillium Web"/>
          <w:sz w:val="20"/>
          <w:szCs w:val="20"/>
        </w:rPr>
        <w:br/>
      </w:r>
      <w:r w:rsidRPr="00311AAE">
        <w:rPr>
          <w:rFonts w:ascii="Titillium Web" w:hAnsi="Titillium Web"/>
          <w:sz w:val="20"/>
          <w:szCs w:val="20"/>
        </w:rPr>
        <w:br/>
        <w:t>a. Deelovereenkomst: een nadere overeenkomst of afroep op basis van deze Mantelovereenkomst.</w:t>
      </w:r>
      <w:r w:rsidRPr="00311AAE">
        <w:rPr>
          <w:rFonts w:ascii="Titillium Web" w:hAnsi="Titillium Web"/>
          <w:sz w:val="20"/>
          <w:szCs w:val="20"/>
        </w:rPr>
        <w:br/>
        <w:t>b. Mantelovereenkomst: deze overeenkomst inclusief bijlagen.</w:t>
      </w:r>
      <w:r w:rsidRPr="00311AAE">
        <w:rPr>
          <w:rFonts w:ascii="Titillium Web" w:hAnsi="Titillium Web"/>
          <w:sz w:val="20"/>
          <w:szCs w:val="20"/>
        </w:rPr>
        <w:br/>
      </w:r>
      <w:r w:rsidRPr="00311AAE">
        <w:rPr>
          <w:rFonts w:ascii="Titillium Web" w:hAnsi="Titillium Web"/>
          <w:sz w:val="20"/>
          <w:szCs w:val="20"/>
        </w:rPr>
        <w:br/>
        <w:t>Voor overige begrippen gelden de definities zoals opgenomen in de Algemene Inkoopvoorwaarden leveringen en diensten Gemeente Oosterhout 2025 (Bijlage H).</w:t>
      </w:r>
    </w:p>
    <w:p w14:paraId="26A7EBE5" w14:textId="77777777" w:rsidR="00A45402" w:rsidRPr="00311AAE" w:rsidRDefault="00000000">
      <w:pPr>
        <w:pStyle w:val="Kop2"/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Artikel 2 – Toepasselijkheid en rangorde</w:t>
      </w:r>
    </w:p>
    <w:p w14:paraId="13117E92" w14:textId="77777777" w:rsidR="00A45402" w:rsidRPr="00311AAE" w:rsidRDefault="00000000">
      <w:pPr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1. Op deze Mantelovereenkomst en alle daarop gebaseerde Deelovereenkomsten zijn integraal van toepassing de Algemene Inkoopvoorwaarden leveringen en diensten Gemeente Oosterhout 2025 (Bijlage H).</w:t>
      </w:r>
      <w:r w:rsidRPr="00311AAE">
        <w:rPr>
          <w:rFonts w:ascii="Titillium Web" w:hAnsi="Titillium Web"/>
          <w:sz w:val="20"/>
          <w:szCs w:val="20"/>
        </w:rPr>
        <w:br/>
        <w:t>2. In geval van tegenstrijdigheid tussen bepalingen uit deze Mantelovereenkomst en de Algemene Inkoopvoorwaarden, prevaleren de Algemene Inkoopvoorwaarden.</w:t>
      </w:r>
      <w:r w:rsidRPr="00311AAE">
        <w:rPr>
          <w:rFonts w:ascii="Titillium Web" w:hAnsi="Titillium Web"/>
          <w:sz w:val="20"/>
          <w:szCs w:val="20"/>
        </w:rPr>
        <w:br/>
        <w:t>3. De toepasselijkheid van algemene voorwaarden van Opdrachtnemer is uitdrukkelijk uitgesloten.</w:t>
      </w:r>
    </w:p>
    <w:p w14:paraId="21315A5E" w14:textId="77777777" w:rsidR="00A45402" w:rsidRPr="00311AAE" w:rsidRDefault="00000000">
      <w:pPr>
        <w:pStyle w:val="Kop2"/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Artikel 3 – Doel en scope</w:t>
      </w:r>
    </w:p>
    <w:p w14:paraId="7D648BE1" w14:textId="77777777" w:rsidR="00A45402" w:rsidRDefault="00000000">
      <w:pPr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 xml:space="preserve">Deze Mantelovereenkomst heeft tot doel het vastleggen van de contractuele en procedurele kaders waarbinnen Opdrachtnemer op afroep ICT-leveringen en -diensten levert aan Opdrachtgever, waaronder maar niet beperkt tot multifunctionals, randapparatuur, software </w:t>
      </w:r>
      <w:proofErr w:type="spellStart"/>
      <w:r w:rsidRPr="00311AAE">
        <w:rPr>
          <w:rFonts w:ascii="Titillium Web" w:hAnsi="Titillium Web"/>
          <w:sz w:val="20"/>
          <w:szCs w:val="20"/>
        </w:rPr>
        <w:t>en</w:t>
      </w:r>
      <w:proofErr w:type="spellEnd"/>
      <w:r w:rsidRPr="00311AAE">
        <w:rPr>
          <w:rFonts w:ascii="Titillium Web" w:hAnsi="Titillium Web"/>
          <w:sz w:val="20"/>
          <w:szCs w:val="20"/>
        </w:rPr>
        <w:t xml:space="preserve"> </w:t>
      </w:r>
      <w:proofErr w:type="spellStart"/>
      <w:r w:rsidRPr="00311AAE">
        <w:rPr>
          <w:rFonts w:ascii="Titillium Web" w:hAnsi="Titillium Web"/>
          <w:sz w:val="20"/>
          <w:szCs w:val="20"/>
        </w:rPr>
        <w:t>bijbehorend</w:t>
      </w:r>
      <w:proofErr w:type="spellEnd"/>
      <w:r w:rsidRPr="00311AAE">
        <w:rPr>
          <w:rFonts w:ascii="Titillium Web" w:hAnsi="Titillium Web"/>
          <w:sz w:val="20"/>
          <w:szCs w:val="20"/>
        </w:rPr>
        <w:t xml:space="preserve"> </w:t>
      </w:r>
      <w:proofErr w:type="spellStart"/>
      <w:r w:rsidRPr="00311AAE">
        <w:rPr>
          <w:rFonts w:ascii="Titillium Web" w:hAnsi="Titillium Web"/>
          <w:sz w:val="20"/>
          <w:szCs w:val="20"/>
        </w:rPr>
        <w:t>onderhoud</w:t>
      </w:r>
      <w:proofErr w:type="spellEnd"/>
      <w:r w:rsidRPr="00311AAE">
        <w:rPr>
          <w:rFonts w:ascii="Titillium Web" w:hAnsi="Titillium Web"/>
          <w:sz w:val="20"/>
          <w:szCs w:val="20"/>
        </w:rPr>
        <w:t>.</w:t>
      </w:r>
    </w:p>
    <w:p w14:paraId="7149C079" w14:textId="77777777" w:rsidR="00880999" w:rsidRDefault="00880999">
      <w:pPr>
        <w:rPr>
          <w:rFonts w:ascii="Titillium Web" w:hAnsi="Titillium Web"/>
          <w:sz w:val="20"/>
          <w:szCs w:val="20"/>
        </w:rPr>
      </w:pPr>
    </w:p>
    <w:p w14:paraId="2E45590B" w14:textId="77777777" w:rsidR="00880999" w:rsidRDefault="00880999">
      <w:pPr>
        <w:rPr>
          <w:rFonts w:ascii="Titillium Web" w:hAnsi="Titillium Web"/>
          <w:sz w:val="20"/>
          <w:szCs w:val="20"/>
        </w:rPr>
      </w:pPr>
    </w:p>
    <w:p w14:paraId="00C9D194" w14:textId="77777777" w:rsidR="00880999" w:rsidRDefault="00880999">
      <w:pPr>
        <w:rPr>
          <w:rFonts w:ascii="Titillium Web" w:hAnsi="Titillium Web"/>
          <w:sz w:val="20"/>
          <w:szCs w:val="20"/>
        </w:rPr>
      </w:pPr>
    </w:p>
    <w:p w14:paraId="30F571AE" w14:textId="77777777" w:rsidR="00880999" w:rsidRPr="00311AAE" w:rsidRDefault="00880999">
      <w:pPr>
        <w:rPr>
          <w:rFonts w:ascii="Titillium Web" w:hAnsi="Titillium Web"/>
          <w:sz w:val="20"/>
          <w:szCs w:val="20"/>
        </w:rPr>
      </w:pPr>
    </w:p>
    <w:p w14:paraId="15573EBC" w14:textId="77777777" w:rsidR="00A45402" w:rsidRPr="00311AAE" w:rsidRDefault="00000000">
      <w:pPr>
        <w:pStyle w:val="Kop2"/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Artikel 4 – Deelovereenkomsten</w:t>
      </w:r>
    </w:p>
    <w:p w14:paraId="4F0E7FD9" w14:textId="77777777" w:rsidR="00A45402" w:rsidRPr="00311AAE" w:rsidRDefault="00000000">
      <w:pPr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1. Leveringen en/of Diensten worden uitsluitend afgenomen via een schriftelijke Deelovereenkomst.</w:t>
      </w:r>
      <w:r w:rsidRPr="00311AAE">
        <w:rPr>
          <w:rFonts w:ascii="Titillium Web" w:hAnsi="Titillium Web"/>
          <w:sz w:val="20"/>
          <w:szCs w:val="20"/>
        </w:rPr>
        <w:br/>
        <w:t>2. In een Deelovereenkomst worden onder meer vastgelegd: aard en omvang van de prestatie, prijs, looptijd en eventuele specifieke afspraken.</w:t>
      </w:r>
      <w:r w:rsidRPr="00311AAE">
        <w:rPr>
          <w:rFonts w:ascii="Titillium Web" w:hAnsi="Titillium Web"/>
          <w:sz w:val="20"/>
          <w:szCs w:val="20"/>
        </w:rPr>
        <w:br/>
        <w:t>3. Op Deelovereenkomsten zijn onverkort deze Mantelovereenkomst en de Algemene Inkoopvoorwaarden van toepassing.</w:t>
      </w:r>
    </w:p>
    <w:p w14:paraId="7A4B8198" w14:textId="77777777" w:rsidR="00A45402" w:rsidRPr="00311AAE" w:rsidRDefault="00000000">
      <w:pPr>
        <w:pStyle w:val="Kop2"/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Artikel 5 – ICT-specifieke bepalingen</w:t>
      </w:r>
    </w:p>
    <w:p w14:paraId="3DB79549" w14:textId="77777777" w:rsidR="00A45402" w:rsidRPr="00311AAE" w:rsidRDefault="00000000">
      <w:pPr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1. Opdrachtnemer levert hardware en software in de meest recente stabiele versie, tenzij in de Deelovereenkomst uitdrukkelijk anders is overeengekomen.</w:t>
      </w:r>
      <w:r w:rsidRPr="00311AAE">
        <w:rPr>
          <w:rFonts w:ascii="Titillium Web" w:hAnsi="Titillium Web"/>
          <w:sz w:val="20"/>
          <w:szCs w:val="20"/>
        </w:rPr>
        <w:br/>
        <w:t>2. Geleverde software is compatibel met gangbare systemen en de door Opdrachtgever gebruikte ICT-omgeving.</w:t>
      </w:r>
    </w:p>
    <w:p w14:paraId="46E6EF1B" w14:textId="77777777" w:rsidR="00A45402" w:rsidRPr="00311AAE" w:rsidRDefault="00000000">
      <w:pPr>
        <w:pStyle w:val="Kop2"/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Artikel 6 – Licenties</w:t>
      </w:r>
    </w:p>
    <w:p w14:paraId="246FB3A1" w14:textId="77777777" w:rsidR="00A45402" w:rsidRPr="00311AAE" w:rsidRDefault="00000000">
      <w:pPr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Indien Leveringen gepaard gaan met licenties, gelden deze als een nadere uitwerking van artikel 8 van de Algemene Inkoopvoorwaarden. Voor zover bepalingen uit dit artikel afwijken van de Algemene Inkoopvoorwaarden, prevaleren de Algemene Inkoopvoorwaarden.</w:t>
      </w:r>
    </w:p>
    <w:p w14:paraId="6C4AF2A4" w14:textId="77777777" w:rsidR="00A45402" w:rsidRPr="00311AAE" w:rsidRDefault="00000000">
      <w:pPr>
        <w:pStyle w:val="Kop2"/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Artikel 7 – Looptijd</w:t>
      </w:r>
    </w:p>
    <w:p w14:paraId="124B5E8A" w14:textId="7BFB9EC1" w:rsidR="00A45402" w:rsidRPr="00311AAE" w:rsidRDefault="00000000">
      <w:pPr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 xml:space="preserve">1. Deze Mantelovereenkomst treedt in werking op [datum] en wordt aangegaan voor een initiële looptijd van </w:t>
      </w:r>
      <w:proofErr w:type="spellStart"/>
      <w:r w:rsidRPr="00311AAE">
        <w:rPr>
          <w:rFonts w:ascii="Titillium Web" w:hAnsi="Titillium Web"/>
          <w:sz w:val="20"/>
          <w:szCs w:val="20"/>
        </w:rPr>
        <w:t>vijf</w:t>
      </w:r>
      <w:proofErr w:type="spellEnd"/>
      <w:r w:rsidRPr="00311AAE">
        <w:rPr>
          <w:rFonts w:ascii="Titillium Web" w:hAnsi="Titillium Web"/>
          <w:sz w:val="20"/>
          <w:szCs w:val="20"/>
        </w:rPr>
        <w:t xml:space="preserve"> (5) </w:t>
      </w:r>
      <w:proofErr w:type="spellStart"/>
      <w:r w:rsidRPr="00311AAE">
        <w:rPr>
          <w:rFonts w:ascii="Titillium Web" w:hAnsi="Titillium Web"/>
          <w:sz w:val="20"/>
          <w:szCs w:val="20"/>
        </w:rPr>
        <w:t>jaar</w:t>
      </w:r>
      <w:proofErr w:type="spellEnd"/>
      <w:r w:rsidR="00311AAE" w:rsidRPr="00311AAE">
        <w:rPr>
          <w:rFonts w:ascii="Titillium Web" w:hAnsi="Titillium Web"/>
          <w:sz w:val="20"/>
          <w:szCs w:val="20"/>
        </w:rPr>
        <w:t xml:space="preserve"> met de </w:t>
      </w:r>
      <w:proofErr w:type="spellStart"/>
      <w:r w:rsidR="00311AAE" w:rsidRPr="00311AAE">
        <w:rPr>
          <w:rFonts w:ascii="Titillium Web" w:hAnsi="Titillium Web"/>
          <w:sz w:val="20"/>
          <w:szCs w:val="20"/>
        </w:rPr>
        <w:t>optie</w:t>
      </w:r>
      <w:proofErr w:type="spellEnd"/>
      <w:r w:rsidR="00311AAE" w:rsidRPr="00311AAE">
        <w:rPr>
          <w:rFonts w:ascii="Titillium Web" w:hAnsi="Titillium Web"/>
          <w:sz w:val="20"/>
          <w:szCs w:val="20"/>
        </w:rPr>
        <w:t xml:space="preserve"> </w:t>
      </w:r>
      <w:proofErr w:type="spellStart"/>
      <w:r w:rsidR="00311AAE" w:rsidRPr="00311AAE">
        <w:rPr>
          <w:rFonts w:ascii="Titillium Web" w:hAnsi="Titillium Web"/>
          <w:sz w:val="20"/>
          <w:szCs w:val="20"/>
        </w:rPr>
        <w:t>deze</w:t>
      </w:r>
      <w:proofErr w:type="spellEnd"/>
      <w:r w:rsidR="00311AAE" w:rsidRPr="00311AAE">
        <w:rPr>
          <w:rFonts w:ascii="Titillium Web" w:hAnsi="Titillium Web"/>
          <w:sz w:val="20"/>
          <w:szCs w:val="20"/>
        </w:rPr>
        <w:t xml:space="preserve"> twee (2) </w:t>
      </w:r>
      <w:proofErr w:type="spellStart"/>
      <w:proofErr w:type="gramStart"/>
      <w:r w:rsidR="00311AAE" w:rsidRPr="00311AAE">
        <w:rPr>
          <w:rFonts w:ascii="Titillium Web" w:hAnsi="Titillium Web"/>
          <w:sz w:val="20"/>
          <w:szCs w:val="20"/>
        </w:rPr>
        <w:t>keer</w:t>
      </w:r>
      <w:proofErr w:type="spellEnd"/>
      <w:r w:rsidR="00311AAE" w:rsidRPr="00311AAE">
        <w:rPr>
          <w:rFonts w:ascii="Titillium Web" w:hAnsi="Titillium Web"/>
          <w:sz w:val="20"/>
          <w:szCs w:val="20"/>
        </w:rPr>
        <w:t xml:space="preserve">  </w:t>
      </w:r>
      <w:proofErr w:type="spellStart"/>
      <w:r w:rsidR="00311AAE" w:rsidRPr="00311AAE">
        <w:rPr>
          <w:rFonts w:ascii="Titillium Web" w:hAnsi="Titillium Web"/>
          <w:sz w:val="20"/>
          <w:szCs w:val="20"/>
        </w:rPr>
        <w:t>te</w:t>
      </w:r>
      <w:proofErr w:type="spellEnd"/>
      <w:proofErr w:type="gramEnd"/>
      <w:r w:rsidR="00311AAE" w:rsidRPr="00311AAE">
        <w:rPr>
          <w:rFonts w:ascii="Titillium Web" w:hAnsi="Titillium Web"/>
          <w:sz w:val="20"/>
          <w:szCs w:val="20"/>
        </w:rPr>
        <w:t xml:space="preserve"> </w:t>
      </w:r>
      <w:proofErr w:type="spellStart"/>
      <w:r w:rsidR="00311AAE" w:rsidRPr="00311AAE">
        <w:rPr>
          <w:rFonts w:ascii="Titillium Web" w:hAnsi="Titillium Web"/>
          <w:sz w:val="20"/>
          <w:szCs w:val="20"/>
        </w:rPr>
        <w:t>verlengen</w:t>
      </w:r>
      <w:proofErr w:type="spellEnd"/>
      <w:r w:rsidR="00311AAE" w:rsidRPr="00311AAE">
        <w:rPr>
          <w:rFonts w:ascii="Titillium Web" w:hAnsi="Titillium Web"/>
          <w:sz w:val="20"/>
          <w:szCs w:val="20"/>
        </w:rPr>
        <w:t xml:space="preserve"> met </w:t>
      </w:r>
      <w:proofErr w:type="spellStart"/>
      <w:r w:rsidR="00311AAE" w:rsidRPr="00311AAE">
        <w:rPr>
          <w:rFonts w:ascii="Titillium Web" w:hAnsi="Titillium Web"/>
          <w:sz w:val="20"/>
          <w:szCs w:val="20"/>
        </w:rPr>
        <w:t>zes</w:t>
      </w:r>
      <w:proofErr w:type="spellEnd"/>
      <w:r w:rsidR="00311AAE" w:rsidRPr="00311AAE">
        <w:rPr>
          <w:rFonts w:ascii="Titillium Web" w:hAnsi="Titillium Web"/>
          <w:sz w:val="20"/>
          <w:szCs w:val="20"/>
        </w:rPr>
        <w:t xml:space="preserve"> (6) </w:t>
      </w:r>
      <w:proofErr w:type="spellStart"/>
      <w:r w:rsidR="00311AAE" w:rsidRPr="00311AAE">
        <w:rPr>
          <w:rFonts w:ascii="Titillium Web" w:hAnsi="Titillium Web"/>
          <w:sz w:val="20"/>
          <w:szCs w:val="20"/>
        </w:rPr>
        <w:t>maanden</w:t>
      </w:r>
      <w:proofErr w:type="spellEnd"/>
      <w:r w:rsidRPr="00311AAE">
        <w:rPr>
          <w:rFonts w:ascii="Titillium Web" w:hAnsi="Titillium Web"/>
          <w:sz w:val="20"/>
          <w:szCs w:val="20"/>
        </w:rPr>
        <w:t>.</w:t>
      </w:r>
      <w:r w:rsidRPr="00311AAE">
        <w:rPr>
          <w:rFonts w:ascii="Titillium Web" w:hAnsi="Titillium Web"/>
          <w:sz w:val="20"/>
          <w:szCs w:val="20"/>
        </w:rPr>
        <w:br/>
        <w:t>2. Verlenging en beëindiging geschieden conform artikel 27 tot en met 29 van de Algemene Inkoopvoorwaarden.</w:t>
      </w:r>
    </w:p>
    <w:p w14:paraId="70768967" w14:textId="77777777" w:rsidR="00A45402" w:rsidRPr="00311AAE" w:rsidRDefault="00000000">
      <w:pPr>
        <w:pStyle w:val="Kop2"/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Artikel 8 – Broncodes en escrow</w:t>
      </w:r>
    </w:p>
    <w:p w14:paraId="0E823A3E" w14:textId="77777777" w:rsidR="00A45402" w:rsidRPr="00311AAE" w:rsidRDefault="00000000">
      <w:pPr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Voor zover Opdrachtnemer software ontwikkelt of levert waarvoor broncode relevant is, geldt dit artikel als nadere uitwerking van artikel 8 van de Algemene Inkoopvoorwaarden betreffende intellectuele eigendom. Opdrachtnemer draagt zorg voor adequate escrow-regelingen indien van toepassing.</w:t>
      </w:r>
    </w:p>
    <w:p w14:paraId="35011FE3" w14:textId="77777777" w:rsidR="00A45402" w:rsidRPr="00311AAE" w:rsidRDefault="00000000">
      <w:pPr>
        <w:pStyle w:val="Kop2"/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Artikel 9 – Slotbepalingen</w:t>
      </w:r>
    </w:p>
    <w:p w14:paraId="07310642" w14:textId="77777777" w:rsidR="00A45402" w:rsidRPr="00311AAE" w:rsidRDefault="00000000">
      <w:pPr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1. Wijzigingen van deze Mantelovereenkomst zijn slechts geldig indien schriftelijk overeengekomen.</w:t>
      </w:r>
      <w:r w:rsidRPr="00311AAE">
        <w:rPr>
          <w:rFonts w:ascii="Titillium Web" w:hAnsi="Titillium Web"/>
          <w:sz w:val="20"/>
          <w:szCs w:val="20"/>
        </w:rPr>
        <w:br/>
        <w:t>2. Op deze Mantelovereenkomst is Nederlands recht van toepassing, conform de Algemene Inkoopvoorwaarden.</w:t>
      </w:r>
    </w:p>
    <w:p w14:paraId="7EC9CDB1" w14:textId="77777777" w:rsidR="00A45402" w:rsidRPr="00311AAE" w:rsidRDefault="00000000">
      <w:pPr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br/>
        <w:t>Aldus overeengekomen en in tweevoud ondertekend.</w:t>
      </w:r>
      <w:r w:rsidRPr="00311AAE">
        <w:rPr>
          <w:rFonts w:ascii="Titillium Web" w:hAnsi="Titillium Web"/>
          <w:sz w:val="20"/>
          <w:szCs w:val="20"/>
        </w:rPr>
        <w:br/>
      </w:r>
    </w:p>
    <w:p w14:paraId="1EE4F697" w14:textId="77777777" w:rsidR="00A45402" w:rsidRPr="00311AAE" w:rsidRDefault="00000000">
      <w:pPr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lastRenderedPageBreak/>
        <w:t>Plaats: Oosterhout</w:t>
      </w:r>
      <w:r w:rsidRPr="00311AAE">
        <w:rPr>
          <w:rFonts w:ascii="Titillium Web" w:hAnsi="Titillium Web"/>
          <w:sz w:val="20"/>
          <w:szCs w:val="20"/>
        </w:rPr>
        <w:br/>
        <w:t>Datum: ............</w:t>
      </w:r>
      <w:r w:rsidRPr="00311AAE">
        <w:rPr>
          <w:rFonts w:ascii="Titillium Web" w:hAnsi="Titillium Web"/>
          <w:sz w:val="20"/>
          <w:szCs w:val="20"/>
        </w:rPr>
        <w:br/>
      </w:r>
    </w:p>
    <w:p w14:paraId="50D4B8ED" w14:textId="77777777" w:rsidR="00A45402" w:rsidRPr="00311AAE" w:rsidRDefault="00000000">
      <w:pPr>
        <w:rPr>
          <w:rFonts w:ascii="Titillium Web" w:hAnsi="Titillium Web"/>
          <w:sz w:val="20"/>
          <w:szCs w:val="20"/>
        </w:rPr>
      </w:pPr>
      <w:r w:rsidRPr="00311AAE">
        <w:rPr>
          <w:rFonts w:ascii="Titillium Web" w:hAnsi="Titillium Web"/>
          <w:sz w:val="20"/>
          <w:szCs w:val="20"/>
        </w:rPr>
        <w:t>Opdrachtgever:</w:t>
      </w:r>
      <w:r w:rsidRPr="00311AAE">
        <w:rPr>
          <w:rFonts w:ascii="Titillium Web" w:hAnsi="Titillium Web"/>
          <w:sz w:val="20"/>
          <w:szCs w:val="20"/>
        </w:rPr>
        <w:br/>
        <w:t>Gemeente Oosterhout</w:t>
      </w:r>
      <w:r w:rsidRPr="00311AAE">
        <w:rPr>
          <w:rFonts w:ascii="Titillium Web" w:hAnsi="Titillium Web"/>
          <w:sz w:val="20"/>
          <w:szCs w:val="20"/>
        </w:rPr>
        <w:br/>
      </w:r>
      <w:r w:rsidRPr="00311AAE">
        <w:rPr>
          <w:rFonts w:ascii="Titillium Web" w:hAnsi="Titillium Web"/>
          <w:sz w:val="20"/>
          <w:szCs w:val="20"/>
        </w:rPr>
        <w:br/>
        <w:t>Opdrachtnemer:</w:t>
      </w:r>
      <w:r w:rsidRPr="00311AAE">
        <w:rPr>
          <w:rFonts w:ascii="Titillium Web" w:hAnsi="Titillium Web"/>
          <w:sz w:val="20"/>
          <w:szCs w:val="20"/>
        </w:rPr>
        <w:br/>
        <w:t>[Naam]</w:t>
      </w:r>
    </w:p>
    <w:sectPr w:rsidR="00A45402" w:rsidRPr="00311AA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7207" w14:textId="77777777" w:rsidR="001C4140" w:rsidRDefault="001C4140" w:rsidP="00F201E8">
      <w:pPr>
        <w:spacing w:after="0" w:line="240" w:lineRule="auto"/>
      </w:pPr>
      <w:r>
        <w:separator/>
      </w:r>
    </w:p>
  </w:endnote>
  <w:endnote w:type="continuationSeparator" w:id="0">
    <w:p w14:paraId="377569BC" w14:textId="77777777" w:rsidR="001C4140" w:rsidRDefault="001C4140" w:rsidP="00F2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9B72" w14:textId="77777777" w:rsidR="001C4140" w:rsidRDefault="001C4140" w:rsidP="00F201E8">
      <w:pPr>
        <w:spacing w:after="0" w:line="240" w:lineRule="auto"/>
      </w:pPr>
      <w:r>
        <w:separator/>
      </w:r>
    </w:p>
  </w:footnote>
  <w:footnote w:type="continuationSeparator" w:id="0">
    <w:p w14:paraId="0851F21D" w14:textId="77777777" w:rsidR="001C4140" w:rsidRDefault="001C4140" w:rsidP="00F20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5846" w14:textId="3E183001" w:rsidR="00F201E8" w:rsidRDefault="00F201E8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F65CA5" wp14:editId="597F86A5">
          <wp:simplePos x="0" y="0"/>
          <wp:positionH relativeFrom="column">
            <wp:posOffset>0</wp:posOffset>
          </wp:positionH>
          <wp:positionV relativeFrom="paragraph">
            <wp:posOffset>-153619</wp:posOffset>
          </wp:positionV>
          <wp:extent cx="726440" cy="497205"/>
          <wp:effectExtent l="0" t="0" r="0" b="0"/>
          <wp:wrapNone/>
          <wp:docPr id="1997952958" name="Afbeelding 1" descr="Over Equal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er Equal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8138978">
    <w:abstractNumId w:val="8"/>
  </w:num>
  <w:num w:numId="2" w16cid:durableId="1248029054">
    <w:abstractNumId w:val="6"/>
  </w:num>
  <w:num w:numId="3" w16cid:durableId="230698334">
    <w:abstractNumId w:val="5"/>
  </w:num>
  <w:num w:numId="4" w16cid:durableId="710224569">
    <w:abstractNumId w:val="4"/>
  </w:num>
  <w:num w:numId="5" w16cid:durableId="1038697606">
    <w:abstractNumId w:val="7"/>
  </w:num>
  <w:num w:numId="6" w16cid:durableId="1659844826">
    <w:abstractNumId w:val="3"/>
  </w:num>
  <w:num w:numId="7" w16cid:durableId="1435780426">
    <w:abstractNumId w:val="2"/>
  </w:num>
  <w:num w:numId="8" w16cid:durableId="793254859">
    <w:abstractNumId w:val="1"/>
  </w:num>
  <w:num w:numId="9" w16cid:durableId="118528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4140"/>
    <w:rsid w:val="0029639D"/>
    <w:rsid w:val="00311AAE"/>
    <w:rsid w:val="00326F90"/>
    <w:rsid w:val="00525C4A"/>
    <w:rsid w:val="00880999"/>
    <w:rsid w:val="00A45402"/>
    <w:rsid w:val="00AA1D8D"/>
    <w:rsid w:val="00B47730"/>
    <w:rsid w:val="00CB0664"/>
    <w:rsid w:val="00F201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42190"/>
  <w14:defaultImageDpi w14:val="300"/>
  <w15:docId w15:val="{F715D307-CF6B-284F-ABEA-E34A105E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Rogier Diecke | DocuVision</cp:lastModifiedBy>
  <cp:revision>4</cp:revision>
  <dcterms:created xsi:type="dcterms:W3CDTF">2026-04-08T15:37:00Z</dcterms:created>
  <dcterms:modified xsi:type="dcterms:W3CDTF">2026-04-08T15:38:00Z</dcterms:modified>
  <cp:category/>
</cp:coreProperties>
</file>