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D4F2" w14:textId="66193637" w:rsidR="00BE78AA" w:rsidRPr="00BE78AA" w:rsidRDefault="00BE78AA" w:rsidP="00BE78AA">
      <w:pPr>
        <w:pStyle w:val="Kop1"/>
      </w:pPr>
      <w:r w:rsidRPr="00BE78AA">
        <w:t>Programma van Eisen (PvE) Gemeente Veenendaal Raamovereenkomst bodemkundig advies en begeleiding 2026-2030</w:t>
      </w:r>
    </w:p>
    <w:p w14:paraId="7EAE3953" w14:textId="41BCEA17" w:rsidR="00BE78AA" w:rsidRDefault="00BE78AA">
      <w:r w:rsidRPr="00BE78AA">
        <w:t>De punten die in het PvE worden opgenomen zijn ter toelichting of aanvulling van het gestelde in het beschrijvend document. In het programma van eisen worden de te volgen normen, protocollen en richtlijnen genoemd. Mogelijk is niet sprake van een 100% sluitende lijst. We hebben wel ons best gedaan om de meest relevante zaken te noemen</w:t>
      </w:r>
      <w:r w:rsidR="00690D9D">
        <w:t xml:space="preserve"> die veelvuldig voorkomen in de gemeente Veenendaal</w:t>
      </w:r>
      <w:r w:rsidRPr="00BE78AA">
        <w:t xml:space="preserve">. Gemeente Veenendaal volgt alle gangbare in de markt te volgen onderzoeksrichtlijnen en wijkt daar alleen bij uitzondering vanaf. Tevens zullen we in dit PvE aangeven wat we verwachten bij de doorlooptijden van de verschillende producten en diensten die geleverd dienen te worden. </w:t>
      </w:r>
    </w:p>
    <w:p w14:paraId="05D3C4B0" w14:textId="77777777" w:rsidR="00BE78AA" w:rsidRPr="00BE78AA" w:rsidRDefault="00BE78AA" w:rsidP="00BE78AA">
      <w:pPr>
        <w:pStyle w:val="Lijstalinea"/>
        <w:numPr>
          <w:ilvl w:val="0"/>
          <w:numId w:val="1"/>
        </w:numPr>
        <w:rPr>
          <w:b/>
          <w:bCs/>
        </w:rPr>
      </w:pPr>
      <w:r w:rsidRPr="00BE78AA">
        <w:rPr>
          <w:b/>
          <w:bCs/>
        </w:rPr>
        <w:t xml:space="preserve">Normeringen en richtlijnen </w:t>
      </w:r>
    </w:p>
    <w:p w14:paraId="6CBA8EEE" w14:textId="77777777" w:rsidR="00BE78AA" w:rsidRDefault="00BE78AA" w:rsidP="00BE78AA">
      <w:pPr>
        <w:pStyle w:val="Lijstalinea"/>
      </w:pPr>
      <w:r w:rsidRPr="00BE78AA">
        <w:t xml:space="preserve">Het uit te voeren onderzoek dient te voldoen aan de meest recente versies van de hieronder genoemde norm-documenten: </w:t>
      </w:r>
    </w:p>
    <w:p w14:paraId="3C928752" w14:textId="77777777" w:rsidR="00BE78AA" w:rsidRDefault="00BE78AA" w:rsidP="00BE78AA">
      <w:pPr>
        <w:pStyle w:val="Lijstalinea"/>
      </w:pPr>
      <w:r w:rsidRPr="00BE78AA">
        <w:t xml:space="preserve">- NEN 5717 en NEN 5725, Strategie voor het uitvoeren van milieu hygiënisch vooronderzoek; </w:t>
      </w:r>
    </w:p>
    <w:p w14:paraId="2204E11F" w14:textId="77777777" w:rsidR="00BE78AA" w:rsidRDefault="00BE78AA" w:rsidP="00BE78AA">
      <w:pPr>
        <w:pStyle w:val="Lijstalinea"/>
      </w:pPr>
      <w:r w:rsidRPr="00BE78AA">
        <w:t xml:space="preserve">- NEN 5720, Strategie voor het uitvoeren van waterbodemonderzoek; </w:t>
      </w:r>
    </w:p>
    <w:p w14:paraId="369C759D" w14:textId="77777777" w:rsidR="00BE78AA" w:rsidRDefault="00BE78AA" w:rsidP="00BE78AA">
      <w:pPr>
        <w:pStyle w:val="Lijstalinea"/>
      </w:pPr>
      <w:r w:rsidRPr="00BE78AA">
        <w:t xml:space="preserve">- NEN 5740, Bodem. Strategie voor het uitvoeren van verkennend bodemonderzoek; </w:t>
      </w:r>
    </w:p>
    <w:p w14:paraId="0820EB1E" w14:textId="77777777" w:rsidR="00BE78AA" w:rsidRDefault="00BE78AA" w:rsidP="00BE78AA">
      <w:pPr>
        <w:pStyle w:val="Lijstalinea"/>
      </w:pPr>
      <w:r w:rsidRPr="00BE78AA">
        <w:t xml:space="preserve">- NEN 5707, Bodem. Inspectie en monsterneming van asbest in bodem en partijen grond; </w:t>
      </w:r>
    </w:p>
    <w:p w14:paraId="00BC5175" w14:textId="77777777" w:rsidR="00BE78AA" w:rsidRDefault="00BE78AA" w:rsidP="00BE78AA">
      <w:pPr>
        <w:pStyle w:val="Lijstalinea"/>
      </w:pPr>
      <w:r w:rsidRPr="00BE78AA">
        <w:t xml:space="preserve">- NEN 5897, Inspectie en monsterneming van asbest in bouw- en sloopafval en recyclinggranulaat. </w:t>
      </w:r>
    </w:p>
    <w:p w14:paraId="59283699" w14:textId="71E88828" w:rsidR="00BE78AA" w:rsidRDefault="00BE78AA" w:rsidP="00BE78AA">
      <w:pPr>
        <w:pStyle w:val="Lijstalinea"/>
      </w:pPr>
      <w:r w:rsidRPr="00BE78AA">
        <w:t xml:space="preserve">- CROW 210, Richtlijn omgaan met vrijgekomen asfalt </w:t>
      </w:r>
      <w:r>
        <w:t>–</w:t>
      </w:r>
    </w:p>
    <w:p w14:paraId="1E7485AD" w14:textId="77777777" w:rsidR="00BE78AA" w:rsidRDefault="00BE78AA" w:rsidP="00BE78AA">
      <w:pPr>
        <w:pStyle w:val="Lijstalinea"/>
      </w:pPr>
    </w:p>
    <w:p w14:paraId="13425D43" w14:textId="07794814" w:rsidR="00BE78AA" w:rsidRDefault="00BE78AA" w:rsidP="00BE78AA">
      <w:pPr>
        <w:pStyle w:val="Lijstalinea"/>
      </w:pPr>
      <w:r w:rsidRPr="00BE78AA">
        <w:t>De onderzoeken dienen te worden uitgevoerd onder Kwalibo (erkenningsregeling bodem van het SIKB, Stichting Infrastructuur Kwaliteitsborging Bodembeheer) en dienen onder certificaat van de respectievelijke BRL-documenten en protocollen te worden uitgevoerd. De te leveren rapportages dienen door de respectievelijke bevoegde gezagen te worden geaccepteerd en goedgekeurd als onderbouwing van de bodemkwaliteit voor het aanvragen van R</w:t>
      </w:r>
      <w:r>
        <w:t xml:space="preserve">O </w:t>
      </w:r>
      <w:r w:rsidRPr="00BE78AA">
        <w:t xml:space="preserve">plannen (Omgevingswet etc.) en het uitvoeren van werkzaamheden in de bodem. </w:t>
      </w:r>
    </w:p>
    <w:p w14:paraId="72748BC9" w14:textId="77777777" w:rsidR="00BE78AA" w:rsidRDefault="00BE78AA" w:rsidP="00BE78AA">
      <w:pPr>
        <w:pStyle w:val="Lijstalinea"/>
      </w:pPr>
    </w:p>
    <w:p w14:paraId="5E976E6F" w14:textId="77777777" w:rsidR="00BE78AA" w:rsidRDefault="00BE78AA" w:rsidP="00BE78AA">
      <w:pPr>
        <w:pStyle w:val="Lijstalinea"/>
      </w:pPr>
    </w:p>
    <w:p w14:paraId="0B27676F" w14:textId="77777777" w:rsidR="00690D9D" w:rsidRDefault="00690D9D">
      <w:pPr>
        <w:rPr>
          <w:b/>
          <w:bCs/>
        </w:rPr>
      </w:pPr>
      <w:r>
        <w:rPr>
          <w:b/>
          <w:bCs/>
        </w:rPr>
        <w:br w:type="page"/>
      </w:r>
    </w:p>
    <w:p w14:paraId="55C064D2" w14:textId="2FB3433E" w:rsidR="00BE78AA" w:rsidRPr="00BE78AA" w:rsidRDefault="00BE78AA" w:rsidP="00BE78AA">
      <w:pPr>
        <w:pStyle w:val="Lijstalinea"/>
        <w:numPr>
          <w:ilvl w:val="0"/>
          <w:numId w:val="1"/>
        </w:numPr>
        <w:rPr>
          <w:b/>
          <w:bCs/>
        </w:rPr>
      </w:pPr>
      <w:r w:rsidRPr="00BE78AA">
        <w:rPr>
          <w:b/>
          <w:bCs/>
        </w:rPr>
        <w:lastRenderedPageBreak/>
        <w:t xml:space="preserve">Certificering </w:t>
      </w:r>
    </w:p>
    <w:p w14:paraId="0A9C319B" w14:textId="50DE9129" w:rsidR="00BE78AA" w:rsidRDefault="00BE78AA" w:rsidP="00BE78AA">
      <w:pPr>
        <w:pStyle w:val="Lijstalinea"/>
      </w:pPr>
      <w:r w:rsidRPr="00BE78AA">
        <w:t>De onderzoeken dienen te worden uitgevoerd onder Kwalibo (erkenningsregeling bodem van het SIKB, Stichting Infrastructuur Kwaliteitsborging Bodembeheer) en dienen onder certificaat van de respectievelijke BRL-documenten en protocollen te worden uitgevoerd. De te leveren rapportages dienen door de respectievelijke bevoegde gezagen te worden geaccepteerd en goedgekeurd als onderbouwing van de bodemkwaliteit voor het aanvragen van R</w:t>
      </w:r>
      <w:r>
        <w:t xml:space="preserve">O </w:t>
      </w:r>
      <w:r w:rsidRPr="00BE78AA">
        <w:t xml:space="preserve">plannen (Omgevingswet etc.) en het uitvoeren van werkzaamheden in de bodem. </w:t>
      </w:r>
    </w:p>
    <w:p w14:paraId="41901CF8" w14:textId="77777777" w:rsidR="00BE78AA" w:rsidRDefault="00BE78AA" w:rsidP="00BE78AA">
      <w:pPr>
        <w:pStyle w:val="Lijstalinea"/>
      </w:pPr>
    </w:p>
    <w:p w14:paraId="2E309A5D" w14:textId="77777777" w:rsidR="00BE78AA" w:rsidRDefault="00BE78AA" w:rsidP="00BE78AA">
      <w:pPr>
        <w:pStyle w:val="Lijstalinea"/>
      </w:pPr>
      <w:r w:rsidRPr="00BE78AA">
        <w:t xml:space="preserve">De inschrijver moet over een deugdelijke kwaliteitszorg- en borging beschikken. Dit houdt in dat Inschrijver beschikt over de volgende, geldige (BRL) certificaten: </w:t>
      </w:r>
    </w:p>
    <w:p w14:paraId="3F1B3CDC" w14:textId="54B62650" w:rsidR="00BE78AA" w:rsidRDefault="00BE78AA" w:rsidP="00BE78AA">
      <w:pPr>
        <w:pStyle w:val="Lijstalinea"/>
        <w:numPr>
          <w:ilvl w:val="0"/>
          <w:numId w:val="8"/>
        </w:numPr>
      </w:pPr>
      <w:r w:rsidRPr="00BE78AA">
        <w:t xml:space="preserve">BRL SIKB 1000 Monsterneming voor partijkeuringen (certificatie) </w:t>
      </w:r>
    </w:p>
    <w:p w14:paraId="0DE7525B" w14:textId="007E9B32" w:rsidR="00BE78AA" w:rsidRDefault="00BE78AA" w:rsidP="00BE78AA">
      <w:pPr>
        <w:pStyle w:val="Lijstalinea"/>
        <w:ind w:firstLine="360"/>
      </w:pPr>
      <w:r w:rsidRPr="00BE78AA">
        <w:t xml:space="preserve">• </w:t>
      </w:r>
      <w:r>
        <w:tab/>
      </w:r>
      <w:r w:rsidRPr="00BE78AA">
        <w:t xml:space="preserve">Protocol 1001 Monsterneming voor partijkeuringen grond en baggerspecie </w:t>
      </w:r>
    </w:p>
    <w:p w14:paraId="34F302F5" w14:textId="4FA8241F" w:rsidR="00BE78AA" w:rsidRDefault="00BE78AA" w:rsidP="00BE78AA">
      <w:pPr>
        <w:pStyle w:val="Lijstalinea"/>
        <w:ind w:left="1416" w:hanging="336"/>
      </w:pPr>
      <w:r w:rsidRPr="00BE78AA">
        <w:t xml:space="preserve">• </w:t>
      </w:r>
      <w:r>
        <w:tab/>
      </w:r>
      <w:r w:rsidRPr="00BE78AA">
        <w:t xml:space="preserve">Protocol 1002 Monsterneming voor partijkeuringen niet-vormgegeven bouwstoffen </w:t>
      </w:r>
    </w:p>
    <w:p w14:paraId="05879454" w14:textId="5B4164BB" w:rsidR="00BE78AA" w:rsidRDefault="00BE78AA" w:rsidP="00BE78AA">
      <w:pPr>
        <w:pStyle w:val="Lijstalinea"/>
        <w:numPr>
          <w:ilvl w:val="0"/>
          <w:numId w:val="5"/>
        </w:numPr>
      </w:pPr>
      <w:r w:rsidRPr="00BE78AA">
        <w:t xml:space="preserve">BRL SIKB 2000 Veldwerk milieuhygiënisch bodem- en waterbodemonderzoek </w:t>
      </w:r>
    </w:p>
    <w:p w14:paraId="430E2B59" w14:textId="73EAEA7A" w:rsidR="00BE78AA" w:rsidRDefault="00BE78AA" w:rsidP="00BE78AA">
      <w:pPr>
        <w:pStyle w:val="Lijstalinea"/>
        <w:ind w:left="1776" w:hanging="360"/>
      </w:pPr>
      <w:r w:rsidRPr="00BE78AA">
        <w:t xml:space="preserve">• </w:t>
      </w:r>
      <w:r>
        <w:tab/>
      </w:r>
      <w:r w:rsidRPr="00BE78AA">
        <w:t xml:space="preserve">Protocol 2001 Plaatsen van handboringen en peilbuizen, maken van boorbeschrijvingen, nemen van grondmonsters en waterpassen </w:t>
      </w:r>
    </w:p>
    <w:p w14:paraId="3810A81B" w14:textId="77777777" w:rsidR="00BE78AA" w:rsidRDefault="00BE78AA" w:rsidP="00BE78AA">
      <w:pPr>
        <w:pStyle w:val="Lijstalinea"/>
        <w:numPr>
          <w:ilvl w:val="0"/>
          <w:numId w:val="7"/>
        </w:numPr>
      </w:pPr>
      <w:r w:rsidRPr="00BE78AA">
        <w:t xml:space="preserve">Protocol 2002 Het nemen van grondwatermonsters </w:t>
      </w:r>
    </w:p>
    <w:p w14:paraId="30A64A1A" w14:textId="55A50DD6" w:rsidR="00BE78AA" w:rsidRDefault="00BE78AA" w:rsidP="00BE78AA">
      <w:pPr>
        <w:pStyle w:val="Lijstalinea"/>
        <w:numPr>
          <w:ilvl w:val="0"/>
          <w:numId w:val="7"/>
        </w:numPr>
      </w:pPr>
      <w:r w:rsidRPr="00BE78AA">
        <w:t xml:space="preserve">Protocol 2003 Veldwerk bij milieuhygienisch waterbodemonderzoek </w:t>
      </w:r>
    </w:p>
    <w:p w14:paraId="18A26BBD" w14:textId="2B0C20C3" w:rsidR="00BE78AA" w:rsidRDefault="00BE78AA" w:rsidP="00BE78AA">
      <w:pPr>
        <w:pStyle w:val="Lijstalinea"/>
        <w:numPr>
          <w:ilvl w:val="0"/>
          <w:numId w:val="6"/>
        </w:numPr>
      </w:pPr>
      <w:r w:rsidRPr="00BE78AA">
        <w:t xml:space="preserve"> Protocol 2018 Maaiveldinspectie en monsterneming van asbest in bodem </w:t>
      </w:r>
    </w:p>
    <w:p w14:paraId="3469E116" w14:textId="3B362965" w:rsidR="00BE78AA" w:rsidRDefault="00BE78AA" w:rsidP="00BE78AA">
      <w:pPr>
        <w:pStyle w:val="Lijstalinea"/>
        <w:numPr>
          <w:ilvl w:val="0"/>
          <w:numId w:val="2"/>
        </w:numPr>
      </w:pPr>
      <w:r w:rsidRPr="00BE78AA">
        <w:t xml:space="preserve">BRL SIKB 6000 Milieukundige begeleiding van (water-)bodemsaneringen en nazorg </w:t>
      </w:r>
      <w:r>
        <w:t>,</w:t>
      </w:r>
      <w:r w:rsidRPr="00BE78AA">
        <w:t xml:space="preserve"> </w:t>
      </w:r>
      <w:r>
        <w:t>met bijhorende protocol(len)</w:t>
      </w:r>
    </w:p>
    <w:p w14:paraId="57EA7FD0" w14:textId="7D330E0C" w:rsidR="00BE78AA" w:rsidRDefault="00BE78AA" w:rsidP="00BE78AA">
      <w:pPr>
        <w:pStyle w:val="Lijstalinea"/>
        <w:numPr>
          <w:ilvl w:val="0"/>
          <w:numId w:val="2"/>
        </w:numPr>
      </w:pPr>
      <w:r w:rsidRPr="00BE78AA">
        <w:t xml:space="preserve">BRL SIKB 2100 Mechanisch boren </w:t>
      </w:r>
      <w:r>
        <w:t>met bijhorende protocol(len)</w:t>
      </w:r>
    </w:p>
    <w:p w14:paraId="62B94614" w14:textId="22174AD0" w:rsidR="00BE78AA" w:rsidRDefault="00BE78AA" w:rsidP="00BE78AA">
      <w:pPr>
        <w:pStyle w:val="Lijstalinea"/>
        <w:numPr>
          <w:ilvl w:val="0"/>
          <w:numId w:val="3"/>
        </w:numPr>
      </w:pPr>
      <w:r w:rsidRPr="00BE78AA">
        <w:t xml:space="preserve"> VCA-vol </w:t>
      </w:r>
    </w:p>
    <w:p w14:paraId="534DDB88" w14:textId="77777777" w:rsidR="00BE78AA" w:rsidRDefault="00BE78AA" w:rsidP="00BE78AA">
      <w:pPr>
        <w:pStyle w:val="Lijstalinea"/>
      </w:pPr>
    </w:p>
    <w:p w14:paraId="3AAE0BB2" w14:textId="74F0E54C" w:rsidR="00BE78AA" w:rsidRDefault="00BE78AA" w:rsidP="00BE78AA">
      <w:pPr>
        <w:pStyle w:val="Lijstalinea"/>
      </w:pPr>
      <w:r w:rsidRPr="00BE78AA">
        <w:t xml:space="preserve">Medewerkers van opdrachtnemer, die in opdracht van de Gemeente Veenendaal, de werkzaamheden uitvoeren dienen te allen tijde te beschikken over een geldig VCA-VOL certificaat. Opdrachtgever </w:t>
      </w:r>
      <w:r w:rsidR="000F7869">
        <w:t>heeft</w:t>
      </w:r>
      <w:r w:rsidRPr="00BE78AA">
        <w:t xml:space="preserve"> het recht om dit op ieder willekeurig moment te toetsen. </w:t>
      </w:r>
    </w:p>
    <w:p w14:paraId="1C30F705" w14:textId="77777777" w:rsidR="00BE78AA" w:rsidRDefault="00BE78AA" w:rsidP="00BE78AA">
      <w:pPr>
        <w:pStyle w:val="Lijstalinea"/>
      </w:pPr>
    </w:p>
    <w:p w14:paraId="04210AFB" w14:textId="77777777" w:rsidR="00690D9D" w:rsidRDefault="00690D9D">
      <w:pPr>
        <w:rPr>
          <w:b/>
          <w:bCs/>
        </w:rPr>
      </w:pPr>
      <w:r>
        <w:rPr>
          <w:b/>
          <w:bCs/>
        </w:rPr>
        <w:br w:type="page"/>
      </w:r>
    </w:p>
    <w:p w14:paraId="030FDFEF" w14:textId="01B7D2DD" w:rsidR="00BE78AA" w:rsidRPr="00BE78AA" w:rsidRDefault="00BE78AA" w:rsidP="00BE78AA">
      <w:pPr>
        <w:pStyle w:val="Lijstalinea"/>
        <w:numPr>
          <w:ilvl w:val="0"/>
          <w:numId w:val="1"/>
        </w:numPr>
        <w:rPr>
          <w:b/>
          <w:bCs/>
        </w:rPr>
      </w:pPr>
      <w:r w:rsidRPr="00BE78AA">
        <w:rPr>
          <w:b/>
          <w:bCs/>
        </w:rPr>
        <w:lastRenderedPageBreak/>
        <w:t xml:space="preserve">Doorlooptijden en overige eisen </w:t>
      </w:r>
    </w:p>
    <w:p w14:paraId="2B8E7646" w14:textId="77777777" w:rsidR="00BE78AA" w:rsidRDefault="00BE78AA" w:rsidP="00BE78AA">
      <w:pPr>
        <w:pStyle w:val="Lijstalinea"/>
      </w:pPr>
      <w:r w:rsidRPr="00BE78AA">
        <w:t xml:space="preserve">De wensen: Gemeente Veenendaal gaat uit van de doorlooptijden die gelden voor de “standaard” onderzoeken zoals die in de markt gebruikelijk zijn. We zullen dit toelichten met een aantal voorbeelden: </w:t>
      </w:r>
    </w:p>
    <w:p w14:paraId="5158020D" w14:textId="77777777" w:rsidR="00BE78AA" w:rsidRDefault="00BE78AA" w:rsidP="00BE78AA">
      <w:pPr>
        <w:pStyle w:val="Lijstalinea"/>
      </w:pPr>
      <w:r w:rsidRPr="00BE78AA">
        <w:t xml:space="preserve">• Een (gemiddeld) verkennend bodemonderzoek heeft een doorlooptijd van circa 5 tot 6 weken. </w:t>
      </w:r>
    </w:p>
    <w:p w14:paraId="70859F0F" w14:textId="77777777" w:rsidR="00690D9D" w:rsidRDefault="00BE78AA" w:rsidP="00BE78AA">
      <w:pPr>
        <w:pStyle w:val="Lijstalinea"/>
      </w:pPr>
      <w:r w:rsidRPr="00BE78AA">
        <w:t xml:space="preserve">• Bij een (echte) calamiteit verwachten we een aanrijtijd die niet langer is dan 4 uur. Calamiteiten komen in Veenendaal ongeveer 2x per jaar voor en soms langere tijd niet. </w:t>
      </w:r>
    </w:p>
    <w:p w14:paraId="4EE445A1" w14:textId="77777777" w:rsidR="00690D9D" w:rsidRDefault="00BE78AA" w:rsidP="00BE78AA">
      <w:pPr>
        <w:pStyle w:val="Lijstalinea"/>
      </w:pPr>
      <w:r w:rsidRPr="00BE78AA">
        <w:t xml:space="preserve">• Nadere onderzoeken zullen in tijd variëren, erg afhankelijk van het soort werk en de hoeveelheid werk. We verwachten wel dat -indien noodzakelijk- een nader onderzoek direct aansluitend aan de verkennende fase kan worden uitgevoerd en dat geen wachttijd noodzakelijk is. </w:t>
      </w:r>
    </w:p>
    <w:p w14:paraId="4DEE38AA" w14:textId="6DB0F8CD" w:rsidR="00690D9D" w:rsidRDefault="00BE78AA" w:rsidP="00690D9D">
      <w:pPr>
        <w:pStyle w:val="Lijstalinea"/>
      </w:pPr>
      <w:r w:rsidRPr="00BE78AA">
        <w:t xml:space="preserve">• Een gelijksoortige redenering gaat op voor het opstellen van saneringsdocumenten (zoals </w:t>
      </w:r>
      <w:r w:rsidR="001B7FAD">
        <w:t>‘</w:t>
      </w:r>
      <w:r w:rsidRPr="00BE78AA">
        <w:t>s</w:t>
      </w:r>
      <w:r w:rsidR="000F7869">
        <w:t>aneringsplan</w:t>
      </w:r>
      <w:r w:rsidR="001B7FAD">
        <w:t>’</w:t>
      </w:r>
      <w:r w:rsidRPr="00BE78AA">
        <w:t xml:space="preserve"> en </w:t>
      </w:r>
      <w:r w:rsidR="001B7FAD">
        <w:t>‘opstellen en indienen plan van aanpak</w:t>
      </w:r>
      <w:r w:rsidR="00052E52">
        <w:t xml:space="preserve"> saneren van de bodem’</w:t>
      </w:r>
      <w:r w:rsidR="00690D9D">
        <w:t xml:space="preserve"> danwel meldingen voor het DSO indien omgevingswet van toepassing is</w:t>
      </w:r>
      <w:r w:rsidRPr="00BE78AA">
        <w:t xml:space="preserve">) </w:t>
      </w:r>
    </w:p>
    <w:p w14:paraId="7FCF5DBC" w14:textId="77777777" w:rsidR="00690D9D" w:rsidRDefault="00BE78AA" w:rsidP="00BE78AA">
      <w:pPr>
        <w:pStyle w:val="Lijstalinea"/>
      </w:pPr>
      <w:r w:rsidRPr="00BE78AA">
        <w:t xml:space="preserve">De eisen: We gaan samenvattend uit van de volgende maximale termijnen: </w:t>
      </w:r>
    </w:p>
    <w:p w14:paraId="678C5E79" w14:textId="21DCA32B" w:rsidR="00690D9D" w:rsidRDefault="00BE78AA" w:rsidP="00BE78AA">
      <w:pPr>
        <w:pStyle w:val="Lijstalinea"/>
      </w:pPr>
      <w:r w:rsidRPr="00BE78AA">
        <w:t xml:space="preserve">• Een verkennend bodemonderzoek (zonder aanvullende fase) duurt maximaal </w:t>
      </w:r>
      <w:r w:rsidR="00690D9D">
        <w:t>6</w:t>
      </w:r>
      <w:r w:rsidRPr="00BE78AA">
        <w:t xml:space="preserve"> weken </w:t>
      </w:r>
    </w:p>
    <w:p w14:paraId="62520304" w14:textId="77777777" w:rsidR="00690D9D" w:rsidRDefault="00BE78AA" w:rsidP="00BE78AA">
      <w:pPr>
        <w:pStyle w:val="Lijstalinea"/>
      </w:pPr>
      <w:r w:rsidRPr="00BE78AA">
        <w:t xml:space="preserve">• Een nadere onderzoeksfase wordt (na kenbaar maken van de wenselijkheid door de opdrachtgever) opgestart na maximaal 2 weken. </w:t>
      </w:r>
    </w:p>
    <w:p w14:paraId="6D2BE870" w14:textId="77777777" w:rsidR="00690D9D" w:rsidRDefault="00BE78AA" w:rsidP="00BE78AA">
      <w:pPr>
        <w:pStyle w:val="Lijstalinea"/>
      </w:pPr>
      <w:r w:rsidRPr="00BE78AA">
        <w:t xml:space="preserve">• Er wordt begonnen aan een saneringsdocument (na kenbaar maken van de wenselijkheid door de opdrachtgever) binnen maximaal 2 weken </w:t>
      </w:r>
    </w:p>
    <w:p w14:paraId="16CE767B" w14:textId="77777777" w:rsidR="00690D9D" w:rsidRDefault="00BE78AA" w:rsidP="00BE78AA">
      <w:pPr>
        <w:pStyle w:val="Lijstalinea"/>
      </w:pPr>
      <w:r w:rsidRPr="00BE78AA">
        <w:t xml:space="preserve">• Een aangevraagde offerte bij opdrachtnemer zal binnen maximaal 2 weken worden aangeleverd aan opdrachtgever. </w:t>
      </w:r>
    </w:p>
    <w:p w14:paraId="2EDBD0D8" w14:textId="4880F89D" w:rsidR="00FB637A" w:rsidRDefault="00BE78AA" w:rsidP="00BE78AA">
      <w:pPr>
        <w:pStyle w:val="Lijstalinea"/>
      </w:pPr>
      <w:r w:rsidRPr="00BE78AA">
        <w:t>• De aanrijtijd is voor een calamiteit maximaal 4 uur.</w:t>
      </w:r>
    </w:p>
    <w:p w14:paraId="6725C01D" w14:textId="77777777" w:rsidR="00BE78AA" w:rsidRDefault="00BE78AA" w:rsidP="00BE78AA">
      <w:pPr>
        <w:pStyle w:val="Lijstalinea"/>
      </w:pPr>
    </w:p>
    <w:p w14:paraId="4196684C" w14:textId="77777777" w:rsidR="00BE78AA" w:rsidRPr="00690D9D" w:rsidRDefault="00BE78AA" w:rsidP="00BE78AA">
      <w:pPr>
        <w:pStyle w:val="Lijstalinea"/>
        <w:rPr>
          <w:i/>
          <w:iCs/>
        </w:rPr>
      </w:pPr>
      <w:r w:rsidRPr="00690D9D">
        <w:rPr>
          <w:i/>
          <w:iCs/>
        </w:rPr>
        <w:t>Rapportage:</w:t>
      </w:r>
    </w:p>
    <w:p w14:paraId="1A972E20" w14:textId="20B22E41" w:rsidR="00BE78AA" w:rsidRDefault="00BE78AA" w:rsidP="00BE78AA">
      <w:pPr>
        <w:pStyle w:val="Lijstalinea"/>
      </w:pPr>
      <w:r>
        <w:t>Bij de rapportage wordt naast een digitaal pdf bestand een pdf bestand aangeleverd welke voldoet aan de AVG en een xml bestand welke voldoet aan de BRO-standaard</w:t>
      </w:r>
      <w:r w:rsidR="00690D9D">
        <w:t>(IMBRO)</w:t>
      </w:r>
      <w:r>
        <w:t>.</w:t>
      </w:r>
    </w:p>
    <w:sectPr w:rsidR="00BE78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1FE"/>
    <w:multiLevelType w:val="hybridMultilevel"/>
    <w:tmpl w:val="A5181038"/>
    <w:lvl w:ilvl="0" w:tplc="255461D6">
      <w:start w:val="2"/>
      <w:numFmt w:val="bullet"/>
      <w:lvlText w:val=""/>
      <w:lvlJc w:val="left"/>
      <w:pPr>
        <w:ind w:left="1776" w:hanging="360"/>
      </w:pPr>
      <w:rPr>
        <w:rFonts w:ascii="Symbol" w:eastAsiaTheme="minorHAnsi" w:hAnsi="Symbol"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116C0C8D"/>
    <w:multiLevelType w:val="hybridMultilevel"/>
    <w:tmpl w:val="966670B8"/>
    <w:lvl w:ilvl="0" w:tplc="593A87AE">
      <w:start w:val="2"/>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465865E5"/>
    <w:multiLevelType w:val="hybridMultilevel"/>
    <w:tmpl w:val="DE8A1068"/>
    <w:lvl w:ilvl="0" w:tplc="6608A52A">
      <w:start w:val="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7042F2F"/>
    <w:multiLevelType w:val="hybridMultilevel"/>
    <w:tmpl w:val="4754E1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1084523"/>
    <w:multiLevelType w:val="hybridMultilevel"/>
    <w:tmpl w:val="3D4E2792"/>
    <w:lvl w:ilvl="0" w:tplc="C9F8C098">
      <w:start w:val="2"/>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64113C80"/>
    <w:multiLevelType w:val="hybridMultilevel"/>
    <w:tmpl w:val="CFFA4746"/>
    <w:lvl w:ilvl="0" w:tplc="25CC5BA2">
      <w:start w:val="2"/>
      <w:numFmt w:val="bullet"/>
      <w:lvlText w:val="•"/>
      <w:lvlJc w:val="left"/>
      <w:pPr>
        <w:ind w:left="1776" w:hanging="360"/>
      </w:pPr>
      <w:rPr>
        <w:rFonts w:ascii="Aptos" w:eastAsiaTheme="minorHAnsi" w:hAnsi="Aptos"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6" w15:restartNumberingAfterBreak="0">
    <w:nsid w:val="6D150EBC"/>
    <w:multiLevelType w:val="hybridMultilevel"/>
    <w:tmpl w:val="43DEF8B2"/>
    <w:lvl w:ilvl="0" w:tplc="8B56FCC8">
      <w:start w:val="1"/>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6E377FFC"/>
    <w:multiLevelType w:val="hybridMultilevel"/>
    <w:tmpl w:val="0CC68408"/>
    <w:lvl w:ilvl="0" w:tplc="CFB4C19C">
      <w:start w:val="2"/>
      <w:numFmt w:val="bullet"/>
      <w:lvlText w:val="•"/>
      <w:lvlJc w:val="left"/>
      <w:pPr>
        <w:ind w:left="1776" w:hanging="360"/>
      </w:pPr>
      <w:rPr>
        <w:rFonts w:ascii="Aptos" w:eastAsiaTheme="minorHAnsi" w:hAnsi="Aptos"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16cid:durableId="2146778169">
    <w:abstractNumId w:val="3"/>
  </w:num>
  <w:num w:numId="2" w16cid:durableId="563830337">
    <w:abstractNumId w:val="2"/>
  </w:num>
  <w:num w:numId="3" w16cid:durableId="906766783">
    <w:abstractNumId w:val="6"/>
  </w:num>
  <w:num w:numId="4" w16cid:durableId="375932132">
    <w:abstractNumId w:val="0"/>
  </w:num>
  <w:num w:numId="5" w16cid:durableId="1188056658">
    <w:abstractNumId w:val="4"/>
  </w:num>
  <w:num w:numId="6" w16cid:durableId="646906281">
    <w:abstractNumId w:val="7"/>
  </w:num>
  <w:num w:numId="7" w16cid:durableId="89208645">
    <w:abstractNumId w:val="5"/>
  </w:num>
  <w:num w:numId="8" w16cid:durableId="1892377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AA"/>
    <w:rsid w:val="00052E52"/>
    <w:rsid w:val="000F7869"/>
    <w:rsid w:val="001B7FAD"/>
    <w:rsid w:val="00432636"/>
    <w:rsid w:val="005D3E90"/>
    <w:rsid w:val="00690D9D"/>
    <w:rsid w:val="009E5589"/>
    <w:rsid w:val="00B41D83"/>
    <w:rsid w:val="00BE78AA"/>
    <w:rsid w:val="00C1367A"/>
    <w:rsid w:val="00E86505"/>
    <w:rsid w:val="00FB63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DF50"/>
  <w15:chartTrackingRefBased/>
  <w15:docId w15:val="{7D537500-20E8-4009-A51E-2863FC19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7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E7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E78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78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78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78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78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78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78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78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78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78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78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78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78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78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78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78AA"/>
    <w:rPr>
      <w:rFonts w:eastAsiaTheme="majorEastAsia" w:cstheme="majorBidi"/>
      <w:color w:val="272727" w:themeColor="text1" w:themeTint="D8"/>
    </w:rPr>
  </w:style>
  <w:style w:type="paragraph" w:styleId="Titel">
    <w:name w:val="Title"/>
    <w:basedOn w:val="Standaard"/>
    <w:next w:val="Standaard"/>
    <w:link w:val="TitelChar"/>
    <w:uiPriority w:val="10"/>
    <w:qFormat/>
    <w:rsid w:val="00BE7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78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78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78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78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78AA"/>
    <w:rPr>
      <w:i/>
      <w:iCs/>
      <w:color w:val="404040" w:themeColor="text1" w:themeTint="BF"/>
    </w:rPr>
  </w:style>
  <w:style w:type="paragraph" w:styleId="Lijstalinea">
    <w:name w:val="List Paragraph"/>
    <w:basedOn w:val="Standaard"/>
    <w:uiPriority w:val="34"/>
    <w:qFormat/>
    <w:rsid w:val="00BE78AA"/>
    <w:pPr>
      <w:ind w:left="720"/>
      <w:contextualSpacing/>
    </w:pPr>
  </w:style>
  <w:style w:type="character" w:styleId="Intensievebenadrukking">
    <w:name w:val="Intense Emphasis"/>
    <w:basedOn w:val="Standaardalinea-lettertype"/>
    <w:uiPriority w:val="21"/>
    <w:qFormat/>
    <w:rsid w:val="00BE78AA"/>
    <w:rPr>
      <w:i/>
      <w:iCs/>
      <w:color w:val="0F4761" w:themeColor="accent1" w:themeShade="BF"/>
    </w:rPr>
  </w:style>
  <w:style w:type="paragraph" w:styleId="Duidelijkcitaat">
    <w:name w:val="Intense Quote"/>
    <w:basedOn w:val="Standaard"/>
    <w:next w:val="Standaard"/>
    <w:link w:val="DuidelijkcitaatChar"/>
    <w:uiPriority w:val="30"/>
    <w:qFormat/>
    <w:rsid w:val="00BE7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78AA"/>
    <w:rPr>
      <w:i/>
      <w:iCs/>
      <w:color w:val="0F4761" w:themeColor="accent1" w:themeShade="BF"/>
    </w:rPr>
  </w:style>
  <w:style w:type="character" w:styleId="Intensieveverwijzing">
    <w:name w:val="Intense Reference"/>
    <w:basedOn w:val="Standaardalinea-lettertype"/>
    <w:uiPriority w:val="32"/>
    <w:qFormat/>
    <w:rsid w:val="00BE78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ummers xmlns="fe5f401c-c6e8-4ab0-979c-7ffd3732f1c8" xsi:nil="true"/>
    <TaxCatchAll xmlns="fc54d795-4c03-4faf-bbbd-4dd36bba82c3"/>
    <Datum xmlns="fe5f401c-c6e8-4ab0-979c-7ffd3732f1c8" xsi:nil="true"/>
    <Hyperlink xmlns="fe5f401c-c6e8-4ab0-979c-7ffd3732f1c8">
      <Url xsi:nil="true"/>
      <Description xsi:nil="true"/>
    </Hyperlink>
    <lcf76f155ced4ddcb4097134ff3c332f xmlns="fe5f401c-c6e8-4ab0-979c-7ffd3732f1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E219858917CF4B9FA64BD8975E0F39" ma:contentTypeVersion="19" ma:contentTypeDescription="Een nieuw document maken." ma:contentTypeScope="" ma:versionID="b1450bc18e478ddc5ad0e7edb85e566e">
  <xsd:schema xmlns:xsd="http://www.w3.org/2001/XMLSchema" xmlns:xs="http://www.w3.org/2001/XMLSchema" xmlns:p="http://schemas.microsoft.com/office/2006/metadata/properties" xmlns:ns2="fc54d795-4c03-4faf-bbbd-4dd36bba82c3" xmlns:ns3="fe5f401c-c6e8-4ab0-979c-7ffd3732f1c8" targetNamespace="http://schemas.microsoft.com/office/2006/metadata/properties" ma:root="true" ma:fieldsID="14d9b2b4a9e66fa20a1fbb395167b6d5" ns2:_="" ns3:_="">
    <xsd:import namespace="fc54d795-4c03-4faf-bbbd-4dd36bba82c3"/>
    <xsd:import namespace="fe5f401c-c6e8-4ab0-979c-7ffd3732f1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element ref="ns3:nummers" minOccurs="0"/>
                <xsd:element ref="ns3:MediaServiceSearchProperties" minOccurs="0"/>
                <xsd:element ref="ns3:MediaServiceObjectDetectorVersions" minOccurs="0"/>
                <xsd:element ref="ns3:Datum" minOccurs="0"/>
                <xsd:element ref="ns3:MediaServiceBillingMetadata" minOccurs="0"/>
                <xsd:element ref="ns3: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4d795-4c03-4faf-bbbd-4dd36bba82c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eb42c298-9da2-4cb5-bc7b-83f4e6639dcc}" ma:internalName="TaxCatchAll" ma:showField="CatchAllData" ma:web="fc54d795-4c03-4faf-bbbd-4dd36bba82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5f401c-c6e8-4ab0-979c-7ffd3732f1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b7573e4-dcf2-418b-8cc9-0f8e9e5155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ummers" ma:index="21" nillable="true" ma:displayName="nummers" ma:format="Dropdown" ma:internalName="nummers" ma:percentage="FALSE">
      <xsd:simpleType>
        <xsd:restriction base="dms:Number"/>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Datum" ma:index="24" nillable="true" ma:displayName="Datum" ma:format="DateOnly" ma:internalName="Datum">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E6859-1C6A-415F-9F04-007AC02A4727}">
  <ds:schemaRefs>
    <ds:schemaRef ds:uri="http://schemas.microsoft.com/office/2006/metadata/properties"/>
    <ds:schemaRef ds:uri="http://schemas.microsoft.com/office/infopath/2007/PartnerControls"/>
    <ds:schemaRef ds:uri="fe5f401c-c6e8-4ab0-979c-7ffd3732f1c8"/>
    <ds:schemaRef ds:uri="fc54d795-4c03-4faf-bbbd-4dd36bba82c3"/>
  </ds:schemaRefs>
</ds:datastoreItem>
</file>

<file path=customXml/itemProps2.xml><?xml version="1.0" encoding="utf-8"?>
<ds:datastoreItem xmlns:ds="http://schemas.openxmlformats.org/officeDocument/2006/customXml" ds:itemID="{48B7AD95-C28E-4157-AD15-F92F2EF4A6FC}">
  <ds:schemaRefs>
    <ds:schemaRef ds:uri="http://schemas.microsoft.com/sharepoint/v3/contenttype/forms"/>
  </ds:schemaRefs>
</ds:datastoreItem>
</file>

<file path=customXml/itemProps3.xml><?xml version="1.0" encoding="utf-8"?>
<ds:datastoreItem xmlns:ds="http://schemas.openxmlformats.org/officeDocument/2006/customXml" ds:itemID="{8F516F30-A6FC-41D7-8D9D-0EA19A25A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4d795-4c03-4faf-bbbd-4dd36bba82c3"/>
    <ds:schemaRef ds:uri="fe5f401c-c6e8-4ab0-979c-7ffd3732f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835</Words>
  <Characters>4594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den Hartog</dc:creator>
  <cp:keywords/>
  <dc:description/>
  <cp:lastModifiedBy>Eric Schrauwen</cp:lastModifiedBy>
  <cp:revision>6</cp:revision>
  <dcterms:created xsi:type="dcterms:W3CDTF">2026-03-13T09:11:00Z</dcterms:created>
  <dcterms:modified xsi:type="dcterms:W3CDTF">2026-03-13T09:13:00Z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0x010100B8E219858917CF4B9FA64BD8975E0F39</vt:lpwstr>
  </property>
</Properties>
</file>